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836F" w14:textId="6A032239" w:rsidR="00957E1C" w:rsidRDefault="0088092F" w:rsidP="00957E1C">
      <w:pPr>
        <w:spacing w:line="360" w:lineRule="auto"/>
        <w:ind w:left="-142"/>
        <w:jc w:val="center"/>
        <w:rPr>
          <w:rFonts w:ascii="Times New Roman" w:hAnsi="Times New Roman" w:cs="Times New Roman"/>
        </w:rPr>
      </w:pPr>
      <w:r w:rsidRPr="00E316B4">
        <w:rPr>
          <w:rFonts w:ascii="Times New Roman" w:hAnsi="Times New Roman" w:cs="Times New Roman"/>
          <w:b/>
        </w:rPr>
        <w:t>TEMA 2</w:t>
      </w:r>
      <w:r w:rsidRPr="00E316B4">
        <w:rPr>
          <w:rFonts w:ascii="Times New Roman" w:hAnsi="Times New Roman" w:cs="Times New Roman"/>
        </w:rPr>
        <w:t>.</w:t>
      </w:r>
    </w:p>
    <w:p w14:paraId="17E217B5" w14:textId="151F47DC" w:rsidR="006D2BA3" w:rsidRPr="00957E1C" w:rsidRDefault="0088092F" w:rsidP="00C67074">
      <w:pPr>
        <w:spacing w:line="360" w:lineRule="auto"/>
        <w:ind w:left="-142"/>
        <w:jc w:val="both"/>
        <w:rPr>
          <w:rFonts w:ascii="Times New Roman" w:hAnsi="Times New Roman" w:cs="Times New Roman"/>
          <w:b/>
          <w:bCs/>
        </w:rPr>
      </w:pPr>
      <w:r w:rsidRPr="00957E1C">
        <w:rPr>
          <w:rFonts w:ascii="Times New Roman" w:hAnsi="Times New Roman" w:cs="Times New Roman"/>
          <w:b/>
          <w:bCs/>
        </w:rPr>
        <w:t>DERECHO DE LA UNIÓN EUROPEA. SUS FUENTES. PRINCIPIOS DE APLICACIÓN: PRIMACÍA, EFICACIA DIRECTA Y RESPONSABILIDAD DE LOS ESTADOS MIEMBROS POR INCUMPLIMIENTO DEL DERECHO COMUNITARIO. SU GARANTÍA JUDICIAL: EN ESPECIAL, LAS CUESTIONES PREJUDICIALES. VALOR DE LA JURISPRUDENCIA DEL TRIBUNAL DE JUSTICIA DE LA UNIÓN EUROPEA.</w:t>
      </w:r>
    </w:p>
    <w:p w14:paraId="57B42FBA" w14:textId="77777777" w:rsidR="006D2BA3" w:rsidRPr="00957E1C" w:rsidRDefault="00C8773D" w:rsidP="00E316B4">
      <w:pPr>
        <w:pStyle w:val="Prrafodelista"/>
        <w:spacing w:line="360" w:lineRule="auto"/>
        <w:ind w:left="-142"/>
        <w:jc w:val="both"/>
        <w:rPr>
          <w:rFonts w:ascii="Times New Roman" w:hAnsi="Times New Roman" w:cs="Times New Roman"/>
          <w:b/>
          <w:bCs/>
        </w:rPr>
      </w:pPr>
      <w:r w:rsidRPr="00957E1C">
        <w:rPr>
          <w:rFonts w:ascii="Times New Roman" w:hAnsi="Times New Roman" w:cs="Times New Roman"/>
          <w:b/>
          <w:bCs/>
        </w:rPr>
        <w:t>EL DERECHO DE LA UNIÓN EUROPEA</w:t>
      </w:r>
    </w:p>
    <w:p w14:paraId="3697DC85" w14:textId="1312B85E" w:rsidR="00E168A0" w:rsidRPr="00E316B4" w:rsidRDefault="00E168A0"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La idea de Europa en la historia nace como consecuencia de la comunidad de culturas y la voluntad de unificación de las mismas. La integración europea no ha sido pues una idea esp</w:t>
      </w:r>
      <w:r w:rsidR="00472CD4" w:rsidRPr="00E316B4">
        <w:rPr>
          <w:rFonts w:ascii="Times New Roman" w:hAnsi="Times New Roman"/>
          <w:szCs w:val="22"/>
        </w:rPr>
        <w:t>ontánea,</w:t>
      </w:r>
      <w:r w:rsidRPr="00E316B4">
        <w:rPr>
          <w:rFonts w:ascii="Times New Roman" w:hAnsi="Times New Roman"/>
          <w:szCs w:val="22"/>
        </w:rPr>
        <w:t xml:space="preserve"> sino </w:t>
      </w:r>
      <w:r w:rsidR="00472CD4" w:rsidRPr="00E316B4">
        <w:rPr>
          <w:rFonts w:ascii="Times New Roman" w:hAnsi="Times New Roman"/>
          <w:szCs w:val="22"/>
        </w:rPr>
        <w:t>que tras la Segunda Guerra Mundial algunos países europeos acuerdan crear unas instituciones supranacionales encaminadas a la integración europea, al principio con unos objetivos más modestos (CECA –Comunidad Europea del Carbón y del Acero-) para luego ir abarcando otros sectores como la cooperación judicial y policial en materia penal.</w:t>
      </w:r>
    </w:p>
    <w:p w14:paraId="5C763079" w14:textId="77777777" w:rsidR="00A510E5" w:rsidRPr="00E316B4" w:rsidRDefault="00A510E5"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p>
    <w:p w14:paraId="3D2E747D" w14:textId="77777777" w:rsidR="00DA3DB0" w:rsidRPr="00E316B4" w:rsidRDefault="00DA3DB0" w:rsidP="00DA3DB0">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 xml:space="preserve">Debido a la existencia de instituciones europeas, nace el derecho comunitario, que se viene definiendo como el conjunto de normas estructuradas con arreglo a unos principios propios de la Comunidad Europea. No obstante, no se habla ya de CE sino de UE. </w:t>
      </w:r>
    </w:p>
    <w:p w14:paraId="3A37B3C8" w14:textId="337EFF1D" w:rsidR="00215FC3" w:rsidRPr="00E316B4" w:rsidRDefault="006D2BA3" w:rsidP="00AF1EF5">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Des</w:t>
      </w:r>
      <w:r w:rsidR="00C67074" w:rsidRPr="00E316B4">
        <w:rPr>
          <w:rFonts w:ascii="Times New Roman" w:hAnsi="Times New Roman"/>
          <w:szCs w:val="22"/>
        </w:rPr>
        <w:t>de un punto de vista jurídico la</w:t>
      </w:r>
      <w:r w:rsidRPr="00E316B4">
        <w:rPr>
          <w:rFonts w:ascii="Times New Roman" w:hAnsi="Times New Roman"/>
          <w:szCs w:val="22"/>
        </w:rPr>
        <w:t xml:space="preserve"> p</w:t>
      </w:r>
      <w:r w:rsidR="00DA3DB0" w:rsidRPr="00E316B4">
        <w:rPr>
          <w:rFonts w:ascii="Times New Roman" w:hAnsi="Times New Roman"/>
          <w:szCs w:val="22"/>
        </w:rPr>
        <w:t>rincipal innovación que conllevó la creación de la UE</w:t>
      </w:r>
      <w:r w:rsidRPr="00E316B4">
        <w:rPr>
          <w:rFonts w:ascii="Times New Roman" w:hAnsi="Times New Roman"/>
          <w:szCs w:val="22"/>
        </w:rPr>
        <w:t xml:space="preserve"> fue la aparición de un or</w:t>
      </w:r>
      <w:r w:rsidR="00A510E5" w:rsidRPr="00E316B4">
        <w:rPr>
          <w:rFonts w:ascii="Times New Roman" w:hAnsi="Times New Roman"/>
          <w:szCs w:val="22"/>
        </w:rPr>
        <w:t>denamiento jurídico propio</w:t>
      </w:r>
      <w:r w:rsidR="00DA3DB0" w:rsidRPr="00E316B4">
        <w:rPr>
          <w:rFonts w:ascii="Times New Roman" w:hAnsi="Times New Roman"/>
          <w:szCs w:val="22"/>
        </w:rPr>
        <w:t>,</w:t>
      </w:r>
      <w:r w:rsidR="00A510E5" w:rsidRPr="00E316B4">
        <w:rPr>
          <w:rFonts w:ascii="Times New Roman" w:hAnsi="Times New Roman"/>
          <w:szCs w:val="22"/>
        </w:rPr>
        <w:t xml:space="preserve"> y así</w:t>
      </w:r>
      <w:r w:rsidRPr="00E316B4">
        <w:rPr>
          <w:rFonts w:ascii="Times New Roman" w:hAnsi="Times New Roman"/>
          <w:szCs w:val="22"/>
        </w:rPr>
        <w:t xml:space="preserve"> lo reconoció desde sus inicios el TJUE</w:t>
      </w:r>
      <w:r w:rsidR="00472CD4" w:rsidRPr="00E316B4">
        <w:rPr>
          <w:rFonts w:ascii="Times New Roman" w:hAnsi="Times New Roman"/>
          <w:szCs w:val="22"/>
        </w:rPr>
        <w:t xml:space="preserve"> (Sentencia Van </w:t>
      </w:r>
      <w:proofErr w:type="spellStart"/>
      <w:r w:rsidR="00472CD4" w:rsidRPr="00E316B4">
        <w:rPr>
          <w:rFonts w:ascii="Times New Roman" w:hAnsi="Times New Roman"/>
          <w:szCs w:val="22"/>
        </w:rPr>
        <w:t>Gend</w:t>
      </w:r>
      <w:proofErr w:type="spellEnd"/>
      <w:r w:rsidR="00472CD4" w:rsidRPr="00E316B4">
        <w:rPr>
          <w:rFonts w:ascii="Times New Roman" w:hAnsi="Times New Roman"/>
          <w:szCs w:val="22"/>
        </w:rPr>
        <w:t xml:space="preserve"> and Loos de 5 de febrero de 1963 y sentencia Costa/Enel, de 15 de julio de 1964).</w:t>
      </w:r>
    </w:p>
    <w:p w14:paraId="2A0DDC7E" w14:textId="77777777" w:rsidR="00472CD4" w:rsidRPr="00E316B4" w:rsidRDefault="00472CD4" w:rsidP="00AF1EF5">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p>
    <w:p w14:paraId="0E9729BE" w14:textId="29BE642E" w:rsidR="00472CD4" w:rsidRPr="00E316B4" w:rsidRDefault="00AF1EF5" w:rsidP="00957E1C">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Los car</w:t>
      </w:r>
      <w:r w:rsidR="00472CD4" w:rsidRPr="00E316B4">
        <w:rPr>
          <w:rFonts w:ascii="Times New Roman" w:hAnsi="Times New Roman"/>
          <w:szCs w:val="22"/>
        </w:rPr>
        <w:t>a</w:t>
      </w:r>
      <w:r w:rsidRPr="00E316B4">
        <w:rPr>
          <w:rFonts w:ascii="Times New Roman" w:hAnsi="Times New Roman"/>
          <w:szCs w:val="22"/>
        </w:rPr>
        <w:t>cteres del der</w:t>
      </w:r>
      <w:r w:rsidR="00472CD4" w:rsidRPr="00E316B4">
        <w:rPr>
          <w:rFonts w:ascii="Times New Roman" w:hAnsi="Times New Roman"/>
          <w:szCs w:val="22"/>
        </w:rPr>
        <w:t>e</w:t>
      </w:r>
      <w:r w:rsidRPr="00E316B4">
        <w:rPr>
          <w:rFonts w:ascii="Times New Roman" w:hAnsi="Times New Roman"/>
          <w:szCs w:val="22"/>
        </w:rPr>
        <w:t xml:space="preserve">cho de la UE son: </w:t>
      </w:r>
    </w:p>
    <w:p w14:paraId="34050E1B" w14:textId="77777777" w:rsidR="00215FC3"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b/>
          <w:szCs w:val="22"/>
        </w:rPr>
      </w:pPr>
      <w:r w:rsidRPr="00E316B4">
        <w:rPr>
          <w:rFonts w:ascii="Times New Roman" w:hAnsi="Times New Roman"/>
          <w:b/>
          <w:szCs w:val="22"/>
        </w:rPr>
        <w:t xml:space="preserve">1. Autonomía. </w:t>
      </w:r>
      <w:r w:rsidRPr="00E316B4">
        <w:rPr>
          <w:rFonts w:ascii="Times New Roman" w:hAnsi="Times New Roman"/>
          <w:szCs w:val="22"/>
        </w:rPr>
        <w:t xml:space="preserve">El derecho comunitario no es un derecho extranjero ni derecho interno de los Estados miembros, sino un derecho </w:t>
      </w:r>
      <w:r w:rsidRPr="00E316B4">
        <w:rPr>
          <w:rFonts w:ascii="Times New Roman" w:hAnsi="Times New Roman"/>
          <w:i/>
          <w:szCs w:val="22"/>
        </w:rPr>
        <w:t>sui generis</w:t>
      </w:r>
      <w:r w:rsidRPr="00E316B4">
        <w:rPr>
          <w:rFonts w:ascii="Times New Roman" w:hAnsi="Times New Roman"/>
          <w:szCs w:val="22"/>
        </w:rPr>
        <w:t>, independiente, tanto en el ámbito normativo como institucional.</w:t>
      </w:r>
    </w:p>
    <w:p w14:paraId="40FAFB0C" w14:textId="77777777" w:rsidR="00C67074"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bCs/>
          <w:szCs w:val="22"/>
        </w:rPr>
      </w:pPr>
      <w:r w:rsidRPr="00E316B4">
        <w:rPr>
          <w:rFonts w:ascii="Times New Roman" w:hAnsi="Times New Roman"/>
          <w:bCs/>
          <w:szCs w:val="22"/>
        </w:rPr>
        <w:t>Así, las Comunidades disponen</w:t>
      </w:r>
      <w:r w:rsidR="00DA3DB0" w:rsidRPr="00E316B4">
        <w:rPr>
          <w:rFonts w:ascii="Times New Roman" w:hAnsi="Times New Roman"/>
          <w:bCs/>
          <w:szCs w:val="22"/>
        </w:rPr>
        <w:t xml:space="preserve"> de sus propias instituciones; é</w:t>
      </w:r>
      <w:r w:rsidRPr="00E316B4">
        <w:rPr>
          <w:rFonts w:ascii="Times New Roman" w:hAnsi="Times New Roman"/>
          <w:bCs/>
          <w:szCs w:val="22"/>
        </w:rPr>
        <w:t>stas son</w:t>
      </w:r>
      <w:r w:rsidR="00C67074" w:rsidRPr="00E316B4">
        <w:rPr>
          <w:rFonts w:ascii="Times New Roman" w:hAnsi="Times New Roman"/>
          <w:bCs/>
          <w:szCs w:val="22"/>
        </w:rPr>
        <w:t>:</w:t>
      </w:r>
      <w:r w:rsidR="00DA3DB0" w:rsidRPr="00E316B4">
        <w:rPr>
          <w:rFonts w:ascii="Times New Roman" w:hAnsi="Times New Roman"/>
          <w:bCs/>
          <w:szCs w:val="22"/>
        </w:rPr>
        <w:t xml:space="preserve"> (Desde el TL 2007) (Art. 13 TUE)</w:t>
      </w:r>
    </w:p>
    <w:p w14:paraId="777DE202" w14:textId="77777777" w:rsidR="00215FC3" w:rsidRPr="00E316B4" w:rsidRDefault="00215FC3" w:rsidP="00F973F6">
      <w:pPr>
        <w:pStyle w:val="temas"/>
        <w:widowControl w:val="0"/>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bCs/>
          <w:szCs w:val="22"/>
        </w:rPr>
      </w:pPr>
      <w:r w:rsidRPr="00E316B4">
        <w:rPr>
          <w:rFonts w:ascii="Times New Roman" w:hAnsi="Times New Roman"/>
          <w:bCs/>
          <w:szCs w:val="22"/>
        </w:rPr>
        <w:t>Conse</w:t>
      </w:r>
      <w:r w:rsidR="00DA3DB0" w:rsidRPr="00E316B4">
        <w:rPr>
          <w:rFonts w:ascii="Times New Roman" w:hAnsi="Times New Roman"/>
          <w:bCs/>
          <w:szCs w:val="22"/>
        </w:rPr>
        <w:t>jo Europeo</w:t>
      </w:r>
    </w:p>
    <w:p w14:paraId="33546116" w14:textId="77777777" w:rsidR="00215FC3" w:rsidRPr="00E316B4" w:rsidRDefault="00DA3DB0" w:rsidP="00F973F6">
      <w:pPr>
        <w:pStyle w:val="temas"/>
        <w:widowControl w:val="0"/>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bCs/>
          <w:szCs w:val="22"/>
        </w:rPr>
      </w:pPr>
      <w:r w:rsidRPr="00E316B4">
        <w:rPr>
          <w:rFonts w:ascii="Times New Roman" w:hAnsi="Times New Roman"/>
          <w:bCs/>
          <w:szCs w:val="22"/>
        </w:rPr>
        <w:t>Consejo</w:t>
      </w:r>
    </w:p>
    <w:p w14:paraId="471D544C" w14:textId="77777777" w:rsidR="00215FC3" w:rsidRPr="00E316B4" w:rsidRDefault="00DA3DB0" w:rsidP="00F973F6">
      <w:pPr>
        <w:pStyle w:val="temas"/>
        <w:widowControl w:val="0"/>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bCs/>
          <w:szCs w:val="22"/>
        </w:rPr>
      </w:pPr>
      <w:r w:rsidRPr="00E316B4">
        <w:rPr>
          <w:rFonts w:ascii="Times New Roman" w:hAnsi="Times New Roman"/>
          <w:bCs/>
          <w:szCs w:val="22"/>
        </w:rPr>
        <w:t>Comisión Europea</w:t>
      </w:r>
    </w:p>
    <w:p w14:paraId="4B37B024" w14:textId="77777777" w:rsidR="00215FC3" w:rsidRPr="00E316B4" w:rsidRDefault="00DA3DB0" w:rsidP="00F973F6">
      <w:pPr>
        <w:pStyle w:val="temas"/>
        <w:widowControl w:val="0"/>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bCs/>
          <w:szCs w:val="22"/>
        </w:rPr>
      </w:pPr>
      <w:r w:rsidRPr="00E316B4">
        <w:rPr>
          <w:rFonts w:ascii="Times New Roman" w:hAnsi="Times New Roman"/>
          <w:bCs/>
          <w:szCs w:val="22"/>
        </w:rPr>
        <w:t>Parlamento Europeo</w:t>
      </w:r>
    </w:p>
    <w:p w14:paraId="326D2853" w14:textId="77777777" w:rsidR="00215FC3" w:rsidRPr="00E316B4" w:rsidRDefault="00215FC3" w:rsidP="00F973F6">
      <w:pPr>
        <w:pStyle w:val="temas"/>
        <w:widowControl w:val="0"/>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bCs/>
          <w:szCs w:val="22"/>
        </w:rPr>
      </w:pPr>
      <w:r w:rsidRPr="00E316B4">
        <w:rPr>
          <w:rFonts w:ascii="Times New Roman" w:hAnsi="Times New Roman"/>
          <w:bCs/>
          <w:szCs w:val="22"/>
        </w:rPr>
        <w:t>Tribunal de justicia de la UE</w:t>
      </w:r>
    </w:p>
    <w:p w14:paraId="20B0CA6D" w14:textId="77777777" w:rsidR="00215FC3" w:rsidRPr="00E316B4" w:rsidRDefault="00215FC3" w:rsidP="00F973F6">
      <w:pPr>
        <w:pStyle w:val="temas"/>
        <w:widowControl w:val="0"/>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bCs/>
          <w:szCs w:val="22"/>
        </w:rPr>
      </w:pPr>
      <w:r w:rsidRPr="00E316B4">
        <w:rPr>
          <w:rFonts w:ascii="Times New Roman" w:hAnsi="Times New Roman"/>
          <w:bCs/>
          <w:szCs w:val="22"/>
        </w:rPr>
        <w:t>Banco Central Europeo</w:t>
      </w:r>
    </w:p>
    <w:p w14:paraId="2C6C2C59" w14:textId="7157E74B" w:rsidR="006D2BA3" w:rsidRPr="00957E1C" w:rsidRDefault="00215FC3" w:rsidP="00957E1C">
      <w:pPr>
        <w:pStyle w:val="temas"/>
        <w:widowControl w:val="0"/>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bCs/>
          <w:szCs w:val="22"/>
        </w:rPr>
      </w:pPr>
      <w:r w:rsidRPr="00E316B4">
        <w:rPr>
          <w:rFonts w:ascii="Times New Roman" w:hAnsi="Times New Roman"/>
          <w:bCs/>
          <w:szCs w:val="22"/>
        </w:rPr>
        <w:lastRenderedPageBreak/>
        <w:t>Tribunal de Cuentas</w:t>
      </w:r>
    </w:p>
    <w:p w14:paraId="4CEE2115" w14:textId="77777777" w:rsidR="00215FC3"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bCs/>
          <w:szCs w:val="22"/>
        </w:rPr>
      </w:pPr>
      <w:r w:rsidRPr="00E316B4">
        <w:rPr>
          <w:rFonts w:ascii="Times New Roman" w:hAnsi="Times New Roman"/>
          <w:szCs w:val="22"/>
        </w:rPr>
        <w:t xml:space="preserve">2. </w:t>
      </w:r>
      <w:r w:rsidRPr="00E316B4">
        <w:rPr>
          <w:rFonts w:ascii="Times New Roman" w:hAnsi="Times New Roman"/>
          <w:b/>
          <w:szCs w:val="22"/>
        </w:rPr>
        <w:t xml:space="preserve">Unidad. </w:t>
      </w:r>
      <w:r w:rsidRPr="00E316B4">
        <w:rPr>
          <w:rFonts w:ascii="Times New Roman" w:hAnsi="Times New Roman"/>
          <w:bCs/>
          <w:szCs w:val="22"/>
        </w:rPr>
        <w:t>La unidad del derecho comunitario queda asegurada en última instancia por el TJUE y se refleja en el denominado acervo comunitario, que comprende el conjunto de realizaciones logradas hasta el momento en la UE y cuya recepción es obligatoria para todo Estado que se adhiera.</w:t>
      </w:r>
    </w:p>
    <w:p w14:paraId="6677F8CB" w14:textId="77777777" w:rsidR="00215FC3"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p>
    <w:p w14:paraId="23907F9B" w14:textId="77777777" w:rsidR="00C67074" w:rsidRPr="00E316B4" w:rsidRDefault="00215FC3" w:rsidP="00DA3DB0">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3</w:t>
      </w:r>
      <w:r w:rsidRPr="00E316B4">
        <w:rPr>
          <w:rFonts w:ascii="Times New Roman" w:hAnsi="Times New Roman"/>
          <w:b/>
          <w:szCs w:val="22"/>
        </w:rPr>
        <w:t>. Es un derecho supraestatal</w:t>
      </w:r>
      <w:r w:rsidRPr="00E316B4">
        <w:rPr>
          <w:rFonts w:ascii="Times New Roman" w:hAnsi="Times New Roman"/>
          <w:szCs w:val="22"/>
        </w:rPr>
        <w:t>. El fundamento del derecho comunitario reside en una cesión de los estados a la UE del ejercicio de competencias soberanas.</w:t>
      </w:r>
      <w:r w:rsidR="00DA3DB0" w:rsidRPr="00E316B4">
        <w:rPr>
          <w:rFonts w:ascii="Times New Roman" w:hAnsi="Times New Roman"/>
          <w:szCs w:val="22"/>
        </w:rPr>
        <w:t xml:space="preserve"> </w:t>
      </w:r>
      <w:r w:rsidRPr="00E316B4">
        <w:rPr>
          <w:rFonts w:ascii="Times New Roman" w:hAnsi="Times New Roman"/>
          <w:szCs w:val="22"/>
        </w:rPr>
        <w:t>Se ha discutido largamente si esta cesión implica o no una cesión de soberanía</w:t>
      </w:r>
      <w:r w:rsidR="00100A8A" w:rsidRPr="00E316B4">
        <w:rPr>
          <w:rFonts w:ascii="Times New Roman" w:hAnsi="Times New Roman"/>
          <w:szCs w:val="22"/>
        </w:rPr>
        <w:t>.</w:t>
      </w:r>
    </w:p>
    <w:p w14:paraId="797C1A72" w14:textId="77777777" w:rsidR="00215FC3" w:rsidRPr="00E316B4" w:rsidRDefault="00215FC3" w:rsidP="00DA3DB0">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Debe, al respecto advertirse que más de una vez se ha referido el Tribunal de Justicia de una "limitación, en esferas concretas de los derechos sobera</w:t>
      </w:r>
      <w:r w:rsidRPr="00E316B4">
        <w:rPr>
          <w:rFonts w:ascii="Times New Roman" w:hAnsi="Times New Roman"/>
          <w:szCs w:val="22"/>
        </w:rPr>
        <w:softHyphen/>
        <w:t>nos". Pero como afirma ARAGÓN REYES, lo cierto es que los rasgos propios de la  soberanía no quedan afectados por la integración en la Unión Europea:</w:t>
      </w:r>
    </w:p>
    <w:p w14:paraId="290F9003" w14:textId="77777777" w:rsidR="00215FC3" w:rsidRPr="00E316B4" w:rsidRDefault="00215FC3" w:rsidP="00F973F6">
      <w:pPr>
        <w:pStyle w:val="temas"/>
        <w:widowControl w:val="0"/>
        <w:numPr>
          <w:ilvl w:val="0"/>
          <w:numId w:val="2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b/>
          <w:szCs w:val="22"/>
        </w:rPr>
        <w:t>La independencia</w:t>
      </w:r>
      <w:r w:rsidR="00100A8A" w:rsidRPr="00E316B4">
        <w:rPr>
          <w:rFonts w:ascii="Times New Roman" w:hAnsi="Times New Roman"/>
          <w:szCs w:val="22"/>
        </w:rPr>
        <w:t xml:space="preserve">: </w:t>
      </w:r>
      <w:r w:rsidRPr="00E316B4">
        <w:rPr>
          <w:rFonts w:ascii="Times New Roman" w:hAnsi="Times New Roman"/>
          <w:szCs w:val="22"/>
        </w:rPr>
        <w:t>porque los Estados pueden, en</w:t>
      </w:r>
      <w:r w:rsidR="00DA3DB0" w:rsidRPr="00E316B4">
        <w:rPr>
          <w:rFonts w:ascii="Times New Roman" w:hAnsi="Times New Roman"/>
          <w:szCs w:val="22"/>
        </w:rPr>
        <w:t xml:space="preserve"> cualquier momento, </w:t>
      </w:r>
      <w:r w:rsidRPr="00E316B4">
        <w:rPr>
          <w:rFonts w:ascii="Times New Roman" w:hAnsi="Times New Roman"/>
          <w:szCs w:val="22"/>
        </w:rPr>
        <w:t xml:space="preserve">separarse de la Unión) y </w:t>
      </w:r>
    </w:p>
    <w:p w14:paraId="55147BA9" w14:textId="77777777" w:rsidR="00AF1EF5" w:rsidRPr="00E316B4" w:rsidRDefault="00215FC3" w:rsidP="00F973F6">
      <w:pPr>
        <w:pStyle w:val="temas"/>
        <w:widowControl w:val="0"/>
        <w:numPr>
          <w:ilvl w:val="0"/>
          <w:numId w:val="2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b/>
          <w:szCs w:val="22"/>
        </w:rPr>
        <w:t>El poder constituyente</w:t>
      </w:r>
      <w:r w:rsidR="00100A8A" w:rsidRPr="00E316B4">
        <w:rPr>
          <w:rFonts w:ascii="Times New Roman" w:hAnsi="Times New Roman"/>
          <w:szCs w:val="22"/>
        </w:rPr>
        <w:t xml:space="preserve">: </w:t>
      </w:r>
      <w:r w:rsidRPr="00E316B4">
        <w:rPr>
          <w:rFonts w:ascii="Times New Roman" w:hAnsi="Times New Roman"/>
          <w:szCs w:val="22"/>
        </w:rPr>
        <w:t>porque permanece incólume en el pueblo español, que es el único legitimado</w:t>
      </w:r>
      <w:r w:rsidR="00100A8A" w:rsidRPr="00E316B4">
        <w:rPr>
          <w:rFonts w:ascii="Times New Roman" w:hAnsi="Times New Roman"/>
          <w:szCs w:val="22"/>
        </w:rPr>
        <w:t xml:space="preserve"> para la reforma constitucional</w:t>
      </w:r>
      <w:r w:rsidRPr="00E316B4">
        <w:rPr>
          <w:rFonts w:ascii="Times New Roman" w:hAnsi="Times New Roman"/>
          <w:szCs w:val="22"/>
        </w:rPr>
        <w:t>.</w:t>
      </w:r>
    </w:p>
    <w:p w14:paraId="61FD2238" w14:textId="77777777" w:rsidR="00AF1EF5" w:rsidRPr="00E316B4" w:rsidRDefault="00AF1EF5" w:rsidP="00957E1C">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p>
    <w:p w14:paraId="4716A72B" w14:textId="77777777" w:rsidR="00215FC3" w:rsidRPr="00E316B4" w:rsidRDefault="00215FC3" w:rsidP="00DA3DB0">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Por o</w:t>
      </w:r>
      <w:r w:rsidR="00DA3DB0" w:rsidRPr="00E316B4">
        <w:rPr>
          <w:rFonts w:ascii="Times New Roman" w:hAnsi="Times New Roman"/>
          <w:szCs w:val="22"/>
        </w:rPr>
        <w:t>tra parte, los principios qu</w:t>
      </w:r>
      <w:r w:rsidRPr="00E316B4">
        <w:rPr>
          <w:rFonts w:ascii="Times New Roman" w:hAnsi="Times New Roman"/>
          <w:szCs w:val="22"/>
        </w:rPr>
        <w:t xml:space="preserve">e presiden las relaciones entre el derecho de la UE y los derechos nacionales son: </w:t>
      </w:r>
    </w:p>
    <w:p w14:paraId="4B17FAE1" w14:textId="77777777" w:rsidR="00AF1EF5" w:rsidRPr="00E316B4" w:rsidRDefault="00AF1EF5" w:rsidP="00F973F6">
      <w:pPr>
        <w:pStyle w:val="temas"/>
        <w:widowControl w:val="0"/>
        <w:numPr>
          <w:ilvl w:val="0"/>
          <w:numId w:val="2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El de democracia</w:t>
      </w:r>
    </w:p>
    <w:p w14:paraId="720076E8" w14:textId="77777777" w:rsidR="00AF1EF5" w:rsidRPr="00E316B4" w:rsidRDefault="00AF1EF5" w:rsidP="00F973F6">
      <w:pPr>
        <w:pStyle w:val="temas"/>
        <w:widowControl w:val="0"/>
        <w:numPr>
          <w:ilvl w:val="0"/>
          <w:numId w:val="2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 xml:space="preserve">El de respeto a los DDHH </w:t>
      </w:r>
    </w:p>
    <w:p w14:paraId="16DE9513" w14:textId="77777777" w:rsidR="00AF1EF5" w:rsidRPr="00E316B4" w:rsidRDefault="00AF1EF5" w:rsidP="00F973F6">
      <w:pPr>
        <w:pStyle w:val="temas"/>
        <w:widowControl w:val="0"/>
        <w:numPr>
          <w:ilvl w:val="0"/>
          <w:numId w:val="2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El de igualdad de los EEMM</w:t>
      </w:r>
    </w:p>
    <w:p w14:paraId="7409B7DD" w14:textId="77777777" w:rsidR="00AF1EF5" w:rsidRPr="00E316B4" w:rsidRDefault="00AF1EF5" w:rsidP="00F973F6">
      <w:pPr>
        <w:pStyle w:val="temas"/>
        <w:widowControl w:val="0"/>
        <w:numPr>
          <w:ilvl w:val="0"/>
          <w:numId w:val="2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El de respeto a la identidad nacional de los EEMM y sus funciones esenciales</w:t>
      </w:r>
    </w:p>
    <w:p w14:paraId="33DFA1CE" w14:textId="77777777" w:rsidR="00AF1EF5" w:rsidRPr="00E316B4" w:rsidRDefault="00AF1EF5" w:rsidP="00F973F6">
      <w:pPr>
        <w:pStyle w:val="temas"/>
        <w:widowControl w:val="0"/>
        <w:numPr>
          <w:ilvl w:val="0"/>
          <w:numId w:val="2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 xml:space="preserve">El de cooperación leal </w:t>
      </w:r>
    </w:p>
    <w:p w14:paraId="254F33E1" w14:textId="77777777" w:rsidR="00AF1EF5" w:rsidRPr="00E316B4" w:rsidRDefault="00AF1EF5" w:rsidP="00F973F6">
      <w:pPr>
        <w:pStyle w:val="temas"/>
        <w:widowControl w:val="0"/>
        <w:numPr>
          <w:ilvl w:val="0"/>
          <w:numId w:val="2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El de solidaridad</w:t>
      </w:r>
    </w:p>
    <w:p w14:paraId="6A86029F" w14:textId="77777777" w:rsidR="00AF1EF5" w:rsidRPr="00E316B4" w:rsidRDefault="00AF1EF5" w:rsidP="00F973F6">
      <w:pPr>
        <w:pStyle w:val="temas"/>
        <w:widowControl w:val="0"/>
        <w:numPr>
          <w:ilvl w:val="0"/>
          <w:numId w:val="2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El de transparencia y proximidad</w:t>
      </w:r>
    </w:p>
    <w:p w14:paraId="321F7D55" w14:textId="77777777" w:rsidR="00AF1EF5" w:rsidRPr="00E316B4" w:rsidRDefault="00AF1EF5" w:rsidP="00AF1EF5">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218"/>
        <w:jc w:val="both"/>
        <w:rPr>
          <w:rFonts w:ascii="Times New Roman" w:hAnsi="Times New Roman"/>
          <w:szCs w:val="22"/>
        </w:rPr>
      </w:pPr>
    </w:p>
    <w:p w14:paraId="7D17EB1C" w14:textId="0B03BEE1" w:rsidR="00215FC3" w:rsidRPr="00957E1C" w:rsidRDefault="00215FC3" w:rsidP="00C67074">
      <w:pPr>
        <w:spacing w:line="360" w:lineRule="auto"/>
        <w:ind w:left="-142"/>
        <w:jc w:val="both"/>
        <w:rPr>
          <w:rFonts w:ascii="Times New Roman" w:hAnsi="Times New Roman" w:cs="Times New Roman"/>
          <w:b/>
          <w:bCs/>
          <w:spacing w:val="-3"/>
          <w:lang w:val="es-ES_tradnl"/>
        </w:rPr>
      </w:pPr>
      <w:r w:rsidRPr="00957E1C">
        <w:rPr>
          <w:rFonts w:ascii="Times New Roman" w:hAnsi="Times New Roman" w:cs="Times New Roman"/>
          <w:b/>
          <w:bCs/>
          <w:spacing w:val="-3"/>
          <w:lang w:val="es-ES_tradnl"/>
        </w:rPr>
        <w:t>SUS FUENTES: TRATADOS BÁSICOS; REGLAMENTOS Y</w:t>
      </w:r>
      <w:r w:rsidR="00957E1C" w:rsidRPr="00957E1C">
        <w:rPr>
          <w:rFonts w:ascii="Times New Roman" w:hAnsi="Times New Roman" w:cs="Times New Roman"/>
          <w:b/>
          <w:bCs/>
          <w:spacing w:val="-3"/>
          <w:lang w:val="es-ES_tradnl"/>
        </w:rPr>
        <w:t xml:space="preserve"> </w:t>
      </w:r>
      <w:r w:rsidRPr="00957E1C">
        <w:rPr>
          <w:rFonts w:ascii="Times New Roman" w:hAnsi="Times New Roman" w:cs="Times New Roman"/>
          <w:b/>
          <w:bCs/>
          <w:spacing w:val="-3"/>
          <w:lang w:val="es-ES_tradnl"/>
        </w:rPr>
        <w:t xml:space="preserve">DIRECTIVAS </w:t>
      </w:r>
    </w:p>
    <w:p w14:paraId="19A38B15" w14:textId="77777777" w:rsidR="00100A8A" w:rsidRPr="00E316B4" w:rsidRDefault="00215FC3" w:rsidP="00100A8A">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Según el art</w:t>
      </w:r>
      <w:r w:rsidR="00100A8A" w:rsidRPr="00E316B4">
        <w:rPr>
          <w:rFonts w:ascii="Times New Roman" w:hAnsi="Times New Roman" w:cs="Times New Roman"/>
          <w:spacing w:val="-3"/>
          <w:lang w:val="es-ES_tradnl"/>
        </w:rPr>
        <w:t>.</w:t>
      </w:r>
      <w:r w:rsidRPr="00E316B4">
        <w:rPr>
          <w:rFonts w:ascii="Times New Roman" w:hAnsi="Times New Roman" w:cs="Times New Roman"/>
          <w:spacing w:val="-3"/>
          <w:lang w:val="es-ES_tradnl"/>
        </w:rPr>
        <w:t xml:space="preserve"> 288 TFUE</w:t>
      </w:r>
      <w:r w:rsidRPr="00E316B4">
        <w:rPr>
          <w:rFonts w:ascii="Times New Roman" w:hAnsi="Times New Roman" w:cs="Times New Roman"/>
          <w:spacing w:val="-3"/>
          <w:lang w:val="es-ES_tradnl"/>
        </w:rPr>
        <w:tab/>
        <w:t>"Para eje</w:t>
      </w:r>
      <w:r w:rsidR="00100A8A" w:rsidRPr="00E316B4">
        <w:rPr>
          <w:rFonts w:ascii="Times New Roman" w:hAnsi="Times New Roman" w:cs="Times New Roman"/>
          <w:spacing w:val="-3"/>
          <w:lang w:val="es-ES_tradnl"/>
        </w:rPr>
        <w:t>rcer las competencias de la Unión las instituciones adoptará</w:t>
      </w:r>
      <w:r w:rsidRPr="00E316B4">
        <w:rPr>
          <w:rFonts w:ascii="Times New Roman" w:hAnsi="Times New Roman" w:cs="Times New Roman"/>
          <w:spacing w:val="-3"/>
          <w:lang w:val="es-ES_tradnl"/>
        </w:rPr>
        <w:t>n reglamentos y directivas, tomarán decisiones</w:t>
      </w:r>
      <w:r w:rsidR="00DA3DB0" w:rsidRPr="00E316B4">
        <w:rPr>
          <w:rFonts w:ascii="Times New Roman" w:hAnsi="Times New Roman" w:cs="Times New Roman"/>
          <w:spacing w:val="-3"/>
          <w:lang w:val="es-ES_tradnl"/>
        </w:rPr>
        <w:t xml:space="preserve">, recomendaciones </w:t>
      </w:r>
      <w:proofErr w:type="gramStart"/>
      <w:r w:rsidR="00DA3DB0" w:rsidRPr="00E316B4">
        <w:rPr>
          <w:rFonts w:ascii="Times New Roman" w:hAnsi="Times New Roman" w:cs="Times New Roman"/>
          <w:spacing w:val="-3"/>
          <w:lang w:val="es-ES_tradnl"/>
        </w:rPr>
        <w:t>y  dictámenes</w:t>
      </w:r>
      <w:proofErr w:type="gramEnd"/>
      <w:r w:rsidR="00DA3DB0" w:rsidRPr="00E316B4">
        <w:rPr>
          <w:rFonts w:ascii="Times New Roman" w:hAnsi="Times New Roman" w:cs="Times New Roman"/>
          <w:spacing w:val="-3"/>
          <w:lang w:val="es-ES_tradnl"/>
        </w:rPr>
        <w:t xml:space="preserve">. </w:t>
      </w:r>
      <w:r w:rsidRPr="00E316B4">
        <w:rPr>
          <w:rFonts w:ascii="Times New Roman" w:hAnsi="Times New Roman" w:cs="Times New Roman"/>
          <w:spacing w:val="-3"/>
          <w:lang w:val="es-ES_tradnl"/>
        </w:rPr>
        <w:t>Pero este artíc</w:t>
      </w:r>
      <w:r w:rsidR="00DA3DB0" w:rsidRPr="00E316B4">
        <w:rPr>
          <w:rFonts w:ascii="Times New Roman" w:hAnsi="Times New Roman" w:cs="Times New Roman"/>
          <w:spacing w:val="-3"/>
          <w:lang w:val="es-ES_tradnl"/>
        </w:rPr>
        <w:t>ulo no cita todas las fuentes, p</w:t>
      </w:r>
      <w:r w:rsidRPr="00E316B4">
        <w:rPr>
          <w:rFonts w:ascii="Times New Roman" w:hAnsi="Times New Roman" w:cs="Times New Roman"/>
          <w:spacing w:val="-3"/>
          <w:lang w:val="es-ES_tradnl"/>
        </w:rPr>
        <w:t>ara la determinación completa del sistema de fuen</w:t>
      </w:r>
      <w:r w:rsidR="00AF1EF5" w:rsidRPr="00E316B4">
        <w:rPr>
          <w:rFonts w:ascii="Times New Roman" w:hAnsi="Times New Roman" w:cs="Times New Roman"/>
          <w:spacing w:val="-3"/>
          <w:lang w:val="es-ES_tradnl"/>
        </w:rPr>
        <w:t>tes es preciso añadir otras; así</w:t>
      </w:r>
      <w:r w:rsidRPr="00E316B4">
        <w:rPr>
          <w:rFonts w:ascii="Times New Roman" w:hAnsi="Times New Roman" w:cs="Times New Roman"/>
          <w:spacing w:val="-3"/>
          <w:lang w:val="es-ES_tradnl"/>
        </w:rPr>
        <w:t xml:space="preserve"> puede afirmarse que las fuentes son:</w:t>
      </w:r>
    </w:p>
    <w:p w14:paraId="321B6C7C" w14:textId="77777777" w:rsidR="00100A8A" w:rsidRPr="00E316B4" w:rsidRDefault="00215FC3" w:rsidP="00100A8A">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a)</w:t>
      </w:r>
      <w:r w:rsidRPr="00E316B4">
        <w:rPr>
          <w:rFonts w:ascii="Times New Roman" w:hAnsi="Times New Roman" w:cs="Times New Roman"/>
          <w:b/>
          <w:spacing w:val="-3"/>
          <w:lang w:val="es-ES_tradnl"/>
        </w:rPr>
        <w:t>Derecho primario</w:t>
      </w:r>
      <w:r w:rsidRPr="00E316B4">
        <w:rPr>
          <w:rFonts w:ascii="Times New Roman" w:hAnsi="Times New Roman" w:cs="Times New Roman"/>
          <w:spacing w:val="-3"/>
          <w:lang w:val="es-ES_tradnl"/>
        </w:rPr>
        <w:t>: Los Tratados fundacionales.</w:t>
      </w:r>
    </w:p>
    <w:p w14:paraId="611DB24D" w14:textId="77777777" w:rsidR="00100A8A" w:rsidRPr="00E316B4" w:rsidRDefault="00215FC3" w:rsidP="00100A8A">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b)</w:t>
      </w:r>
      <w:r w:rsidRPr="00E316B4">
        <w:rPr>
          <w:rFonts w:ascii="Times New Roman" w:hAnsi="Times New Roman" w:cs="Times New Roman"/>
          <w:b/>
          <w:spacing w:val="-3"/>
          <w:lang w:val="es-ES_tradnl"/>
        </w:rPr>
        <w:t>Derecho derivado</w:t>
      </w:r>
      <w:r w:rsidRPr="00E316B4">
        <w:rPr>
          <w:rFonts w:ascii="Times New Roman" w:hAnsi="Times New Roman" w:cs="Times New Roman"/>
          <w:spacing w:val="-3"/>
          <w:lang w:val="es-ES_tradnl"/>
        </w:rPr>
        <w:t>: Reglamentos, directivas, decisiones, recomendaciones y dictámenes.</w:t>
      </w:r>
    </w:p>
    <w:p w14:paraId="4B4E2B55" w14:textId="77777777" w:rsidR="00100A8A" w:rsidRPr="00E316B4" w:rsidRDefault="00215FC3" w:rsidP="00100A8A">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lastRenderedPageBreak/>
        <w:t>c)</w:t>
      </w:r>
      <w:r w:rsidRPr="00E316B4">
        <w:rPr>
          <w:rFonts w:ascii="Times New Roman" w:hAnsi="Times New Roman" w:cs="Times New Roman"/>
          <w:b/>
          <w:spacing w:val="-3"/>
          <w:lang w:val="es-ES_tradnl"/>
        </w:rPr>
        <w:t>Principios generales del Derecho comunitario</w:t>
      </w:r>
    </w:p>
    <w:p w14:paraId="10E14348" w14:textId="77777777" w:rsidR="00215FC3" w:rsidRPr="00E316B4" w:rsidRDefault="00215FC3" w:rsidP="00100A8A">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d)</w:t>
      </w:r>
      <w:r w:rsidRPr="00E316B4">
        <w:rPr>
          <w:rFonts w:ascii="Times New Roman" w:hAnsi="Times New Roman" w:cs="Times New Roman"/>
          <w:b/>
          <w:spacing w:val="-3"/>
          <w:lang w:val="es-ES_tradnl"/>
        </w:rPr>
        <w:t>Derecho internacional comunitario</w:t>
      </w:r>
      <w:r w:rsidRPr="00E316B4">
        <w:rPr>
          <w:rFonts w:ascii="Times New Roman" w:hAnsi="Times New Roman" w:cs="Times New Roman"/>
          <w:spacing w:val="-3"/>
          <w:lang w:val="es-ES_tradnl"/>
        </w:rPr>
        <w:t>: Acue</w:t>
      </w:r>
      <w:r w:rsidR="00100A8A" w:rsidRPr="00E316B4">
        <w:rPr>
          <w:rFonts w:ascii="Times New Roman" w:hAnsi="Times New Roman" w:cs="Times New Roman"/>
          <w:spacing w:val="-3"/>
          <w:lang w:val="es-ES_tradnl"/>
        </w:rPr>
        <w:t xml:space="preserve">rdos concluidos por las </w:t>
      </w:r>
      <w:r w:rsidRPr="00E316B4">
        <w:rPr>
          <w:rFonts w:ascii="Times New Roman" w:hAnsi="Times New Roman" w:cs="Times New Roman"/>
          <w:spacing w:val="-3"/>
          <w:lang w:val="es-ES_tradnl"/>
        </w:rPr>
        <w:t>Comunidades Europeas con terceros Estados.</w:t>
      </w:r>
    </w:p>
    <w:p w14:paraId="2CDEEE1C"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 </w:t>
      </w:r>
      <w:r w:rsidRPr="00E316B4">
        <w:rPr>
          <w:rFonts w:ascii="Times New Roman" w:hAnsi="Times New Roman" w:cs="Times New Roman"/>
          <w:b/>
          <w:spacing w:val="-3"/>
          <w:lang w:val="es-ES_tradnl"/>
        </w:rPr>
        <w:t>Derecho complementario</w:t>
      </w:r>
      <w:r w:rsidRPr="00E316B4">
        <w:rPr>
          <w:rFonts w:ascii="Times New Roman" w:hAnsi="Times New Roman" w:cs="Times New Roman"/>
          <w:spacing w:val="-3"/>
          <w:lang w:val="es-ES_tradnl"/>
        </w:rPr>
        <w:t>: Los Convenios comunitarios y las decisiones o acuerdos de los Estados reunidos en Consejo.</w:t>
      </w:r>
    </w:p>
    <w:p w14:paraId="7F61708D" w14:textId="77777777" w:rsidR="00C8773D" w:rsidRPr="00E316B4" w:rsidRDefault="00C8773D" w:rsidP="00C67074">
      <w:pPr>
        <w:spacing w:line="360" w:lineRule="auto"/>
        <w:ind w:left="-142"/>
        <w:jc w:val="both"/>
        <w:rPr>
          <w:rFonts w:ascii="Times New Roman" w:hAnsi="Times New Roman" w:cs="Times New Roman"/>
          <w:b/>
          <w:spacing w:val="-3"/>
          <w:lang w:val="es-ES_tradnl"/>
        </w:rPr>
      </w:pPr>
    </w:p>
    <w:p w14:paraId="5827BCE5" w14:textId="77777777" w:rsidR="00215FC3" w:rsidRPr="00E316B4" w:rsidRDefault="00AF1EF5" w:rsidP="00472CD4">
      <w:pPr>
        <w:spacing w:line="360" w:lineRule="auto"/>
        <w:ind w:left="-142"/>
        <w:jc w:val="both"/>
        <w:outlineLvl w:val="0"/>
        <w:rPr>
          <w:rFonts w:ascii="Times New Roman" w:hAnsi="Times New Roman" w:cs="Times New Roman"/>
          <w:spacing w:val="-3"/>
          <w:lang w:val="es-ES_tradnl"/>
        </w:rPr>
      </w:pPr>
      <w:r w:rsidRPr="00E316B4">
        <w:rPr>
          <w:rFonts w:ascii="Times New Roman" w:hAnsi="Times New Roman" w:cs="Times New Roman"/>
          <w:b/>
          <w:spacing w:val="-3"/>
          <w:lang w:val="es-ES_tradnl"/>
        </w:rPr>
        <w:t xml:space="preserve">A) </w:t>
      </w:r>
      <w:r w:rsidR="00C8773D" w:rsidRPr="00E316B4">
        <w:rPr>
          <w:rFonts w:ascii="Times New Roman" w:hAnsi="Times New Roman" w:cs="Times New Roman"/>
          <w:b/>
          <w:spacing w:val="-3"/>
          <w:lang w:val="es-ES_tradnl"/>
        </w:rPr>
        <w:t>Derecho primario</w:t>
      </w:r>
    </w:p>
    <w:p w14:paraId="078677C9"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Está constituido por los Tratados Constitutivos de las Comunidades Europeas, y los numerosos Tratados  modificativos:</w:t>
      </w:r>
    </w:p>
    <w:p w14:paraId="4CADFE49"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Los</w:t>
      </w:r>
      <w:r w:rsidRPr="00E316B4">
        <w:rPr>
          <w:rFonts w:ascii="Times New Roman" w:hAnsi="Times New Roman" w:cs="Times New Roman"/>
          <w:b/>
          <w:spacing w:val="-3"/>
          <w:lang w:val="es-ES_tradnl"/>
        </w:rPr>
        <w:t xml:space="preserve"> Tratados constitutivos</w:t>
      </w:r>
      <w:r w:rsidRPr="00E316B4">
        <w:rPr>
          <w:rFonts w:ascii="Times New Roman" w:hAnsi="Times New Roman" w:cs="Times New Roman"/>
          <w:spacing w:val="-3"/>
          <w:lang w:val="es-ES_tradnl"/>
        </w:rPr>
        <w:t xml:space="preserve"> son: </w:t>
      </w:r>
    </w:p>
    <w:p w14:paraId="4A010D10" w14:textId="77777777" w:rsidR="00215FC3" w:rsidRPr="00F973F6" w:rsidRDefault="00AF1EF5" w:rsidP="00F973F6">
      <w:pPr>
        <w:pStyle w:val="Prrafodelista"/>
        <w:numPr>
          <w:ilvl w:val="0"/>
          <w:numId w:val="26"/>
        </w:numPr>
        <w:spacing w:line="360" w:lineRule="auto"/>
        <w:jc w:val="both"/>
        <w:rPr>
          <w:rFonts w:ascii="Times New Roman" w:hAnsi="Times New Roman" w:cs="Times New Roman"/>
          <w:spacing w:val="-3"/>
          <w:lang w:val="es-ES_tradnl"/>
        </w:rPr>
      </w:pPr>
      <w:r w:rsidRPr="00F973F6">
        <w:rPr>
          <w:rFonts w:ascii="Times New Roman" w:hAnsi="Times New Roman" w:cs="Times New Roman"/>
          <w:spacing w:val="-3"/>
          <w:lang w:val="es-ES_tradnl"/>
        </w:rPr>
        <w:t>E</w:t>
      </w:r>
      <w:r w:rsidR="00215FC3" w:rsidRPr="00F973F6">
        <w:rPr>
          <w:rFonts w:ascii="Times New Roman" w:hAnsi="Times New Roman" w:cs="Times New Roman"/>
          <w:spacing w:val="-3"/>
          <w:lang w:val="es-ES_tradnl"/>
        </w:rPr>
        <w:t xml:space="preserve">l </w:t>
      </w:r>
      <w:r w:rsidR="00215FC3" w:rsidRPr="00F973F6">
        <w:rPr>
          <w:rFonts w:ascii="Times New Roman" w:hAnsi="Times New Roman" w:cs="Times New Roman"/>
          <w:b/>
          <w:spacing w:val="-3"/>
          <w:lang w:val="es-ES_tradnl"/>
        </w:rPr>
        <w:t>Tratado de París de 1951</w:t>
      </w:r>
      <w:r w:rsidR="00215FC3" w:rsidRPr="00F973F6">
        <w:rPr>
          <w:rFonts w:ascii="Times New Roman" w:hAnsi="Times New Roman" w:cs="Times New Roman"/>
          <w:spacing w:val="-3"/>
          <w:lang w:val="es-ES_tradnl"/>
        </w:rPr>
        <w:t>, por el que se crea la Comunidad</w:t>
      </w:r>
      <w:r w:rsidRPr="00F973F6">
        <w:rPr>
          <w:rFonts w:ascii="Times New Roman" w:hAnsi="Times New Roman" w:cs="Times New Roman"/>
          <w:spacing w:val="-3"/>
          <w:lang w:val="es-ES_tradnl"/>
        </w:rPr>
        <w:t xml:space="preserve"> Europea del Carbón y del Acero y que entra en vigor en 1952.</w:t>
      </w:r>
      <w:r w:rsidR="00215FC3" w:rsidRPr="00F973F6">
        <w:rPr>
          <w:rFonts w:ascii="Times New Roman" w:hAnsi="Times New Roman" w:cs="Times New Roman"/>
          <w:spacing w:val="-3"/>
          <w:lang w:val="es-ES_tradnl"/>
        </w:rPr>
        <w:t xml:space="preserve"> Esta Comunidad tenía prevista una duración de cincuenta años, por lo que </w:t>
      </w:r>
      <w:r w:rsidR="00A50819" w:rsidRPr="00F973F6">
        <w:rPr>
          <w:rFonts w:ascii="Times New Roman" w:hAnsi="Times New Roman" w:cs="Times New Roman"/>
          <w:spacing w:val="-3"/>
          <w:lang w:val="es-ES_tradnl"/>
        </w:rPr>
        <w:t>desapareció en 2002</w:t>
      </w:r>
      <w:r w:rsidR="00215FC3" w:rsidRPr="00F973F6">
        <w:rPr>
          <w:rFonts w:ascii="Times New Roman" w:hAnsi="Times New Roman" w:cs="Times New Roman"/>
          <w:spacing w:val="-3"/>
          <w:lang w:val="es-ES_tradnl"/>
        </w:rPr>
        <w:t xml:space="preserve">. </w:t>
      </w:r>
    </w:p>
    <w:p w14:paraId="255EF0C9" w14:textId="77777777" w:rsidR="00215FC3" w:rsidRPr="00F973F6" w:rsidRDefault="00AF1EF5" w:rsidP="00F973F6">
      <w:pPr>
        <w:pStyle w:val="Prrafodelista"/>
        <w:numPr>
          <w:ilvl w:val="0"/>
          <w:numId w:val="26"/>
        </w:numPr>
        <w:spacing w:line="360" w:lineRule="auto"/>
        <w:jc w:val="both"/>
        <w:rPr>
          <w:rFonts w:ascii="Times New Roman" w:hAnsi="Times New Roman" w:cs="Times New Roman"/>
          <w:spacing w:val="-3"/>
          <w:lang w:val="es-ES_tradnl"/>
        </w:rPr>
      </w:pPr>
      <w:r w:rsidRPr="00F973F6">
        <w:rPr>
          <w:rFonts w:ascii="Times New Roman" w:hAnsi="Times New Roman" w:cs="Times New Roman"/>
          <w:spacing w:val="-3"/>
          <w:lang w:val="es-ES_tradnl"/>
        </w:rPr>
        <w:t>E</w:t>
      </w:r>
      <w:r w:rsidR="00215FC3" w:rsidRPr="00F973F6">
        <w:rPr>
          <w:rFonts w:ascii="Times New Roman" w:hAnsi="Times New Roman" w:cs="Times New Roman"/>
          <w:spacing w:val="-3"/>
          <w:lang w:val="es-ES_tradnl"/>
        </w:rPr>
        <w:t xml:space="preserve">l </w:t>
      </w:r>
      <w:r w:rsidR="00215FC3" w:rsidRPr="00F973F6">
        <w:rPr>
          <w:rFonts w:ascii="Times New Roman" w:hAnsi="Times New Roman" w:cs="Times New Roman"/>
          <w:b/>
          <w:spacing w:val="-3"/>
          <w:lang w:val="es-ES_tradnl"/>
        </w:rPr>
        <w:t>Tratado de Roma de 1957</w:t>
      </w:r>
      <w:r w:rsidR="00215FC3" w:rsidRPr="00F973F6">
        <w:rPr>
          <w:rFonts w:ascii="Times New Roman" w:hAnsi="Times New Roman" w:cs="Times New Roman"/>
          <w:spacing w:val="-3"/>
          <w:lang w:val="es-ES_tradnl"/>
        </w:rPr>
        <w:t>, o Tratado de la Comunidad Europea, que crea la Comunidad Económica Europea y la C.E. de la Energía Atómica, siendo la duración de ésta última ilimitada.</w:t>
      </w:r>
    </w:p>
    <w:p w14:paraId="46481DEB"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Los </w:t>
      </w:r>
      <w:r w:rsidRPr="00E316B4">
        <w:rPr>
          <w:rFonts w:ascii="Times New Roman" w:hAnsi="Times New Roman" w:cs="Times New Roman"/>
          <w:b/>
          <w:spacing w:val="-3"/>
          <w:lang w:val="es-ES_tradnl"/>
        </w:rPr>
        <w:t>Tratados modificativos</w:t>
      </w:r>
      <w:r w:rsidRPr="00E316B4">
        <w:rPr>
          <w:rFonts w:ascii="Times New Roman" w:hAnsi="Times New Roman" w:cs="Times New Roman"/>
          <w:spacing w:val="-3"/>
          <w:lang w:val="es-ES_tradnl"/>
        </w:rPr>
        <w:t xml:space="preserve"> son:</w:t>
      </w:r>
    </w:p>
    <w:p w14:paraId="57B0A479" w14:textId="77777777" w:rsidR="00215FC3" w:rsidRPr="00F973F6" w:rsidRDefault="00215FC3" w:rsidP="00F973F6">
      <w:pPr>
        <w:pStyle w:val="Prrafodelista"/>
        <w:numPr>
          <w:ilvl w:val="0"/>
          <w:numId w:val="28"/>
        </w:numPr>
        <w:spacing w:line="360" w:lineRule="auto"/>
        <w:jc w:val="both"/>
        <w:rPr>
          <w:rFonts w:ascii="Times New Roman" w:hAnsi="Times New Roman" w:cs="Times New Roman"/>
          <w:spacing w:val="-3"/>
          <w:lang w:val="es-ES_tradnl"/>
        </w:rPr>
      </w:pPr>
      <w:r w:rsidRPr="00F973F6">
        <w:rPr>
          <w:rFonts w:ascii="Times New Roman" w:hAnsi="Times New Roman" w:cs="Times New Roman"/>
          <w:spacing w:val="-3"/>
          <w:lang w:val="es-ES_tradnl"/>
        </w:rPr>
        <w:t>El Tratado por el que se constituye un Consejo único y una Comisión única de las Comunidades Europeas, firmado en Bruselas el 8 abril de 1965</w:t>
      </w:r>
    </w:p>
    <w:p w14:paraId="2EA2A993" w14:textId="77777777" w:rsidR="00215FC3" w:rsidRPr="00F973F6" w:rsidRDefault="00215FC3" w:rsidP="00F973F6">
      <w:pPr>
        <w:pStyle w:val="Prrafodelista"/>
        <w:numPr>
          <w:ilvl w:val="0"/>
          <w:numId w:val="28"/>
        </w:numPr>
        <w:spacing w:line="360" w:lineRule="auto"/>
        <w:jc w:val="both"/>
        <w:rPr>
          <w:rFonts w:ascii="Times New Roman" w:hAnsi="Times New Roman" w:cs="Times New Roman"/>
          <w:spacing w:val="-3"/>
          <w:lang w:val="es-ES_tradnl"/>
        </w:rPr>
      </w:pPr>
      <w:r w:rsidRPr="00F973F6">
        <w:rPr>
          <w:rFonts w:ascii="Times New Roman" w:hAnsi="Times New Roman" w:cs="Times New Roman"/>
          <w:b/>
          <w:spacing w:val="-3"/>
          <w:lang w:val="es-ES_tradnl"/>
        </w:rPr>
        <w:t>El Acta Única Europea</w:t>
      </w:r>
      <w:r w:rsidRPr="00F973F6">
        <w:rPr>
          <w:rFonts w:ascii="Times New Roman" w:hAnsi="Times New Roman" w:cs="Times New Roman"/>
          <w:spacing w:val="-3"/>
          <w:lang w:val="es-ES_tradnl"/>
        </w:rPr>
        <w:t>, firmada en Luxemburgo y en la Haya 17 y 28 de febrero en 1986, que introduce numerosas modificaciones en los Trata</w:t>
      </w:r>
      <w:r w:rsidR="00C8773D" w:rsidRPr="00F973F6">
        <w:rPr>
          <w:rFonts w:ascii="Times New Roman" w:hAnsi="Times New Roman" w:cs="Times New Roman"/>
          <w:spacing w:val="-3"/>
          <w:lang w:val="es-ES_tradnl"/>
        </w:rPr>
        <w:t xml:space="preserve">dos fundacionales, </w:t>
      </w:r>
      <w:r w:rsidRPr="00F973F6">
        <w:rPr>
          <w:rFonts w:ascii="Times New Roman" w:hAnsi="Times New Roman" w:cs="Times New Roman"/>
          <w:spacing w:val="-3"/>
          <w:lang w:val="es-ES_tradnl"/>
        </w:rPr>
        <w:t>por el que se modifica el TUE, y que preveía la incorporación futura de ciertos países del Este de Europa.</w:t>
      </w:r>
    </w:p>
    <w:p w14:paraId="31502A4B" w14:textId="77777777" w:rsidR="00215FC3" w:rsidRPr="00F973F6" w:rsidRDefault="00215FC3" w:rsidP="00F973F6">
      <w:pPr>
        <w:pStyle w:val="Prrafodelista"/>
        <w:numPr>
          <w:ilvl w:val="0"/>
          <w:numId w:val="28"/>
        </w:numPr>
        <w:spacing w:line="360" w:lineRule="auto"/>
        <w:jc w:val="both"/>
        <w:rPr>
          <w:rFonts w:ascii="Times New Roman" w:hAnsi="Times New Roman" w:cs="Times New Roman"/>
          <w:spacing w:val="-3"/>
          <w:lang w:val="es-ES_tradnl"/>
        </w:rPr>
      </w:pPr>
      <w:r w:rsidRPr="00F973F6">
        <w:rPr>
          <w:rFonts w:ascii="Times New Roman" w:hAnsi="Times New Roman" w:cs="Times New Roman"/>
          <w:b/>
          <w:spacing w:val="-3"/>
          <w:lang w:val="es-ES_tradnl"/>
        </w:rPr>
        <w:t>El tratado de la Unión</w:t>
      </w:r>
      <w:r w:rsidRPr="00F973F6">
        <w:rPr>
          <w:rFonts w:ascii="Times New Roman" w:hAnsi="Times New Roman" w:cs="Times New Roman"/>
          <w:spacing w:val="-3"/>
          <w:lang w:val="es-ES_tradnl"/>
        </w:rPr>
        <w:t>, firmado en Maastricht de 7 II 1992</w:t>
      </w:r>
    </w:p>
    <w:p w14:paraId="6B735A6E" w14:textId="77777777" w:rsidR="00215FC3" w:rsidRPr="00F973F6" w:rsidRDefault="00215FC3" w:rsidP="00F973F6">
      <w:pPr>
        <w:pStyle w:val="Prrafodelista"/>
        <w:numPr>
          <w:ilvl w:val="0"/>
          <w:numId w:val="28"/>
        </w:numPr>
        <w:spacing w:line="360" w:lineRule="auto"/>
        <w:jc w:val="both"/>
        <w:rPr>
          <w:rFonts w:ascii="Times New Roman" w:hAnsi="Times New Roman" w:cs="Times New Roman"/>
          <w:spacing w:val="-3"/>
          <w:lang w:val="es-ES_tradnl"/>
        </w:rPr>
      </w:pPr>
      <w:r w:rsidRPr="00F973F6">
        <w:rPr>
          <w:rFonts w:ascii="Times New Roman" w:hAnsi="Times New Roman" w:cs="Times New Roman"/>
          <w:b/>
          <w:spacing w:val="-3"/>
          <w:lang w:val="es-ES_tradnl"/>
        </w:rPr>
        <w:t xml:space="preserve">El Tratado de </w:t>
      </w:r>
      <w:r w:rsidR="00A50819" w:rsidRPr="00F973F6">
        <w:rPr>
          <w:rFonts w:ascii="Times New Roman" w:hAnsi="Times New Roman" w:cs="Times New Roman"/>
          <w:b/>
          <w:spacing w:val="-3"/>
          <w:lang w:val="es-ES_tradnl"/>
        </w:rPr>
        <w:t>Ámsterdam</w:t>
      </w:r>
      <w:r w:rsidR="00AF1EF5" w:rsidRPr="00F973F6">
        <w:rPr>
          <w:rFonts w:ascii="Times New Roman" w:hAnsi="Times New Roman" w:cs="Times New Roman"/>
          <w:spacing w:val="-3"/>
          <w:lang w:val="es-ES_tradnl"/>
        </w:rPr>
        <w:t>, de 2 X 1997</w:t>
      </w:r>
    </w:p>
    <w:p w14:paraId="43613056" w14:textId="77777777" w:rsidR="00215FC3" w:rsidRPr="00F973F6" w:rsidRDefault="00215FC3" w:rsidP="00F973F6">
      <w:pPr>
        <w:pStyle w:val="Prrafodelista"/>
        <w:numPr>
          <w:ilvl w:val="0"/>
          <w:numId w:val="28"/>
        </w:numPr>
        <w:spacing w:line="360" w:lineRule="auto"/>
        <w:jc w:val="both"/>
        <w:rPr>
          <w:rFonts w:ascii="Times New Roman" w:hAnsi="Times New Roman" w:cs="Times New Roman"/>
          <w:spacing w:val="-3"/>
          <w:lang w:val="es-ES_tradnl"/>
        </w:rPr>
      </w:pPr>
      <w:r w:rsidRPr="00F973F6">
        <w:rPr>
          <w:rFonts w:ascii="Times New Roman" w:hAnsi="Times New Roman" w:cs="Times New Roman"/>
          <w:b/>
          <w:bCs/>
        </w:rPr>
        <w:t>El Tratado de Niza</w:t>
      </w:r>
      <w:r w:rsidRPr="00F973F6">
        <w:rPr>
          <w:rFonts w:ascii="Times New Roman" w:hAnsi="Times New Roman" w:cs="Times New Roman"/>
        </w:rPr>
        <w:t>, de 11 de diciembre de 2001, que adaptó las comunidades comunitarias a los futuros ingresos de los Estados miembros.</w:t>
      </w:r>
    </w:p>
    <w:p w14:paraId="02882F2F" w14:textId="77777777" w:rsidR="00215FC3"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 xml:space="preserve">Por otro lado, debe destacarse </w:t>
      </w:r>
      <w:r w:rsidRPr="00E316B4">
        <w:rPr>
          <w:rFonts w:ascii="Times New Roman" w:hAnsi="Times New Roman"/>
          <w:color w:val="auto"/>
          <w:szCs w:val="22"/>
        </w:rPr>
        <w:t>la firma en Roma en 2004</w:t>
      </w:r>
      <w:r w:rsidRPr="00E316B4">
        <w:rPr>
          <w:rFonts w:ascii="Times New Roman" w:hAnsi="Times New Roman"/>
          <w:szCs w:val="22"/>
        </w:rPr>
        <w:t xml:space="preserve"> del Tratado por el que se establece una Constitución para Europa, que no llegó a ser ratificado por todos los Estados miembros</w:t>
      </w:r>
      <w:r w:rsidR="00AF1EF5" w:rsidRPr="00E316B4">
        <w:rPr>
          <w:rFonts w:ascii="Times New Roman" w:hAnsi="Times New Roman"/>
          <w:szCs w:val="22"/>
        </w:rPr>
        <w:t>.</w:t>
      </w:r>
    </w:p>
    <w:p w14:paraId="3D86CCAE" w14:textId="77777777" w:rsidR="00215FC3"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p>
    <w:p w14:paraId="7767084D" w14:textId="77777777" w:rsidR="00215FC3" w:rsidRPr="00E316B4" w:rsidRDefault="00215FC3" w:rsidP="00AF1EF5">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 xml:space="preserve">No obstante, el </w:t>
      </w:r>
      <w:r w:rsidRPr="00E316B4">
        <w:rPr>
          <w:rFonts w:ascii="Times New Roman" w:hAnsi="Times New Roman"/>
          <w:b/>
          <w:szCs w:val="22"/>
        </w:rPr>
        <w:t>Tratado de Lisboa de 13 de diciembre de 2007</w:t>
      </w:r>
      <w:r w:rsidRPr="00E316B4">
        <w:rPr>
          <w:rFonts w:ascii="Times New Roman" w:hAnsi="Times New Roman"/>
          <w:szCs w:val="22"/>
        </w:rPr>
        <w:t xml:space="preserve"> recoge las principales aportaciones materiales del tr</w:t>
      </w:r>
      <w:r w:rsidR="00AF1EF5" w:rsidRPr="00E316B4">
        <w:rPr>
          <w:rFonts w:ascii="Times New Roman" w:hAnsi="Times New Roman"/>
          <w:szCs w:val="22"/>
        </w:rPr>
        <w:t>atado constitucional. Surgen así</w:t>
      </w:r>
      <w:r w:rsidRPr="00E316B4">
        <w:rPr>
          <w:rFonts w:ascii="Times New Roman" w:hAnsi="Times New Roman"/>
          <w:szCs w:val="22"/>
        </w:rPr>
        <w:t xml:space="preserve"> dos </w:t>
      </w:r>
      <w:r w:rsidR="00C8773D" w:rsidRPr="00E316B4">
        <w:rPr>
          <w:rFonts w:ascii="Times New Roman" w:hAnsi="Times New Roman"/>
          <w:szCs w:val="22"/>
        </w:rPr>
        <w:t>tratados</w:t>
      </w:r>
      <w:r w:rsidRPr="00E316B4">
        <w:rPr>
          <w:rFonts w:ascii="Times New Roman" w:hAnsi="Times New Roman"/>
          <w:szCs w:val="22"/>
        </w:rPr>
        <w:t xml:space="preserve"> :</w:t>
      </w:r>
    </w:p>
    <w:p w14:paraId="46B661B1" w14:textId="77777777" w:rsidR="00215FC3" w:rsidRPr="00E316B4" w:rsidRDefault="00215FC3" w:rsidP="00F973F6">
      <w:pPr>
        <w:pStyle w:val="temas"/>
        <w:widowControl w:val="0"/>
        <w:numPr>
          <w:ilvl w:val="0"/>
          <w:numId w:val="2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lastRenderedPageBreak/>
        <w:t xml:space="preserve">Tratado de la UE </w:t>
      </w:r>
    </w:p>
    <w:p w14:paraId="5DCE968B" w14:textId="77777777" w:rsidR="00215FC3" w:rsidRPr="00E316B4" w:rsidRDefault="00215FC3" w:rsidP="00F973F6">
      <w:pPr>
        <w:pStyle w:val="temas"/>
        <w:widowControl w:val="0"/>
        <w:numPr>
          <w:ilvl w:val="0"/>
          <w:numId w:val="2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 xml:space="preserve">Tratado de Funcionamiento de la UE. </w:t>
      </w:r>
    </w:p>
    <w:p w14:paraId="59724B21" w14:textId="77777777" w:rsidR="00215FC3"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p>
    <w:p w14:paraId="10B91BC4" w14:textId="77777777" w:rsidR="00215FC3" w:rsidRPr="00E316B4" w:rsidRDefault="00215FC3" w:rsidP="00680F4A">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 xml:space="preserve">De ellos cabe destacar las </w:t>
      </w:r>
      <w:proofErr w:type="spellStart"/>
      <w:r w:rsidRPr="00E316B4">
        <w:rPr>
          <w:rFonts w:ascii="Times New Roman" w:hAnsi="Times New Roman"/>
          <w:szCs w:val="22"/>
        </w:rPr>
        <w:t>ss</w:t>
      </w:r>
      <w:proofErr w:type="spellEnd"/>
      <w:r w:rsidRPr="00E316B4">
        <w:rPr>
          <w:rFonts w:ascii="Times New Roman" w:hAnsi="Times New Roman"/>
          <w:szCs w:val="22"/>
        </w:rPr>
        <w:t xml:space="preserve"> innovaciones:</w:t>
      </w:r>
    </w:p>
    <w:p w14:paraId="286ADB76" w14:textId="77777777" w:rsidR="00215FC3" w:rsidRPr="00E316B4" w:rsidRDefault="00215FC3" w:rsidP="00F973F6">
      <w:pPr>
        <w:pStyle w:val="temas"/>
        <w:widowControl w:val="0"/>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szCs w:val="22"/>
        </w:rPr>
      </w:pPr>
      <w:r w:rsidRPr="00E316B4">
        <w:rPr>
          <w:rFonts w:ascii="Times New Roman" w:hAnsi="Times New Roman"/>
          <w:szCs w:val="22"/>
        </w:rPr>
        <w:t>Se refuerzan las competencias del Parlamento</w:t>
      </w:r>
    </w:p>
    <w:p w14:paraId="26720C9E" w14:textId="028823FC" w:rsidR="00215FC3" w:rsidRPr="00E316B4" w:rsidRDefault="00215FC3" w:rsidP="00F973F6">
      <w:pPr>
        <w:pStyle w:val="temas"/>
        <w:widowControl w:val="0"/>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olor w:val="auto"/>
          <w:szCs w:val="22"/>
        </w:rPr>
      </w:pPr>
      <w:r w:rsidRPr="00E316B4">
        <w:rPr>
          <w:rFonts w:ascii="Times New Roman" w:hAnsi="Times New Roman"/>
          <w:color w:val="auto"/>
          <w:szCs w:val="22"/>
        </w:rPr>
        <w:t xml:space="preserve">Se recoge de forma </w:t>
      </w:r>
      <w:proofErr w:type="spellStart"/>
      <w:r w:rsidRPr="00E316B4">
        <w:rPr>
          <w:rFonts w:ascii="Times New Roman" w:hAnsi="Times New Roman"/>
          <w:color w:val="auto"/>
          <w:szCs w:val="22"/>
        </w:rPr>
        <w:t>explicita</w:t>
      </w:r>
      <w:proofErr w:type="spellEnd"/>
      <w:r w:rsidRPr="00E316B4">
        <w:rPr>
          <w:rFonts w:ascii="Times New Roman" w:hAnsi="Times New Roman"/>
          <w:color w:val="auto"/>
          <w:szCs w:val="22"/>
        </w:rPr>
        <w:t xml:space="preserve"> el </w:t>
      </w:r>
      <w:proofErr w:type="spellStart"/>
      <w:r w:rsidRPr="00E316B4">
        <w:rPr>
          <w:rFonts w:ascii="Times New Roman" w:hAnsi="Times New Roman"/>
          <w:color w:val="auto"/>
          <w:szCs w:val="22"/>
        </w:rPr>
        <w:t>ppio</w:t>
      </w:r>
      <w:proofErr w:type="spellEnd"/>
      <w:r w:rsidRPr="00E316B4">
        <w:rPr>
          <w:rFonts w:ascii="Times New Roman" w:hAnsi="Times New Roman"/>
          <w:color w:val="auto"/>
          <w:szCs w:val="22"/>
        </w:rPr>
        <w:t xml:space="preserve"> de cooperación entre la UE y los </w:t>
      </w:r>
      <w:r w:rsidR="00957E1C" w:rsidRPr="00E316B4">
        <w:rPr>
          <w:rFonts w:ascii="Times New Roman" w:hAnsi="Times New Roman"/>
          <w:color w:val="auto"/>
          <w:szCs w:val="22"/>
        </w:rPr>
        <w:t>E miembros</w:t>
      </w:r>
    </w:p>
    <w:p w14:paraId="005ADF92" w14:textId="77777777" w:rsidR="00215FC3" w:rsidRPr="00E316B4" w:rsidRDefault="00215FC3" w:rsidP="00F973F6">
      <w:pPr>
        <w:pStyle w:val="temas"/>
        <w:widowControl w:val="0"/>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olor w:val="auto"/>
          <w:szCs w:val="22"/>
        </w:rPr>
      </w:pPr>
      <w:r w:rsidRPr="00E316B4">
        <w:rPr>
          <w:rFonts w:ascii="Times New Roman" w:hAnsi="Times New Roman"/>
          <w:color w:val="auto"/>
          <w:szCs w:val="22"/>
        </w:rPr>
        <w:t>Se prevé la iniciativa legislativa popular a través del millón de firmas</w:t>
      </w:r>
    </w:p>
    <w:p w14:paraId="393F932B" w14:textId="77777777" w:rsidR="00215FC3" w:rsidRPr="00E316B4" w:rsidRDefault="00215FC3" w:rsidP="00F973F6">
      <w:pPr>
        <w:pStyle w:val="temas"/>
        <w:widowControl w:val="0"/>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olor w:val="auto"/>
          <w:szCs w:val="22"/>
        </w:rPr>
      </w:pPr>
      <w:r w:rsidRPr="00E316B4">
        <w:rPr>
          <w:rFonts w:ascii="Times New Roman" w:hAnsi="Times New Roman"/>
          <w:color w:val="auto"/>
          <w:szCs w:val="22"/>
        </w:rPr>
        <w:t xml:space="preserve">Se otorga el rango de </w:t>
      </w:r>
      <w:proofErr w:type="spellStart"/>
      <w:r w:rsidRPr="00E316B4">
        <w:rPr>
          <w:rFonts w:ascii="Times New Roman" w:hAnsi="Times New Roman"/>
          <w:color w:val="auto"/>
          <w:szCs w:val="22"/>
        </w:rPr>
        <w:t>Institucion</w:t>
      </w:r>
      <w:proofErr w:type="spellEnd"/>
      <w:r w:rsidRPr="00E316B4">
        <w:rPr>
          <w:rFonts w:ascii="Times New Roman" w:hAnsi="Times New Roman"/>
          <w:color w:val="auto"/>
          <w:szCs w:val="22"/>
        </w:rPr>
        <w:t xml:space="preserve"> al Consejo Europeo y al Banco Central</w:t>
      </w:r>
    </w:p>
    <w:p w14:paraId="56FDBC20" w14:textId="77777777" w:rsidR="00215FC3" w:rsidRPr="00E316B4" w:rsidRDefault="00215FC3" w:rsidP="00F973F6">
      <w:pPr>
        <w:pStyle w:val="temas"/>
        <w:widowControl w:val="0"/>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olor w:val="auto"/>
          <w:szCs w:val="22"/>
        </w:rPr>
      </w:pPr>
      <w:r w:rsidRPr="00E316B4">
        <w:rPr>
          <w:rFonts w:ascii="Times New Roman" w:hAnsi="Times New Roman"/>
          <w:color w:val="auto"/>
          <w:szCs w:val="22"/>
        </w:rPr>
        <w:t xml:space="preserve">Se crea la figura de </w:t>
      </w:r>
      <w:proofErr w:type="gramStart"/>
      <w:r w:rsidRPr="00E316B4">
        <w:rPr>
          <w:rFonts w:ascii="Times New Roman" w:hAnsi="Times New Roman"/>
          <w:color w:val="auto"/>
          <w:szCs w:val="22"/>
        </w:rPr>
        <w:t>Presidente</w:t>
      </w:r>
      <w:proofErr w:type="gramEnd"/>
      <w:r w:rsidRPr="00E316B4">
        <w:rPr>
          <w:rFonts w:ascii="Times New Roman" w:hAnsi="Times New Roman"/>
          <w:color w:val="auto"/>
          <w:szCs w:val="22"/>
        </w:rPr>
        <w:t xml:space="preserve"> del Consejo Europeo y la de Alto representante de la </w:t>
      </w:r>
      <w:r w:rsidR="00AF1EF5" w:rsidRPr="00E316B4">
        <w:rPr>
          <w:rFonts w:ascii="Times New Roman" w:hAnsi="Times New Roman"/>
          <w:color w:val="auto"/>
          <w:szCs w:val="22"/>
        </w:rPr>
        <w:t>Unión</w:t>
      </w:r>
      <w:r w:rsidRPr="00E316B4">
        <w:rPr>
          <w:rFonts w:ascii="Times New Roman" w:hAnsi="Times New Roman"/>
          <w:color w:val="auto"/>
          <w:szCs w:val="22"/>
        </w:rPr>
        <w:t xml:space="preserve"> para Asuntos Exteriores y </w:t>
      </w:r>
      <w:r w:rsidR="00AF1EF5" w:rsidRPr="00E316B4">
        <w:rPr>
          <w:rFonts w:ascii="Times New Roman" w:hAnsi="Times New Roman"/>
          <w:color w:val="auto"/>
          <w:szCs w:val="22"/>
        </w:rPr>
        <w:t>Política</w:t>
      </w:r>
      <w:r w:rsidRPr="00E316B4">
        <w:rPr>
          <w:rFonts w:ascii="Times New Roman" w:hAnsi="Times New Roman"/>
          <w:color w:val="auto"/>
          <w:szCs w:val="22"/>
        </w:rPr>
        <w:t xml:space="preserve"> de Seguridad</w:t>
      </w:r>
    </w:p>
    <w:p w14:paraId="5F27083E" w14:textId="77777777" w:rsidR="00215FC3" w:rsidRPr="00E316B4" w:rsidRDefault="00215FC3" w:rsidP="00F973F6">
      <w:pPr>
        <w:pStyle w:val="temas"/>
        <w:widowControl w:val="0"/>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olor w:val="auto"/>
          <w:szCs w:val="22"/>
        </w:rPr>
      </w:pPr>
      <w:r w:rsidRPr="00E316B4">
        <w:rPr>
          <w:rFonts w:ascii="Times New Roman" w:hAnsi="Times New Roman"/>
          <w:color w:val="auto"/>
          <w:szCs w:val="22"/>
        </w:rPr>
        <w:t>Se limita la unanimidad y extiende el voto por mayoría cualificada a casi medio centenar de materias</w:t>
      </w:r>
    </w:p>
    <w:p w14:paraId="77740C96" w14:textId="77777777" w:rsidR="00215FC3" w:rsidRPr="00E316B4" w:rsidRDefault="00215FC3" w:rsidP="00F973F6">
      <w:pPr>
        <w:pStyle w:val="temas"/>
        <w:widowControl w:val="0"/>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olor w:val="auto"/>
          <w:szCs w:val="22"/>
        </w:rPr>
      </w:pPr>
      <w:r w:rsidRPr="00E316B4">
        <w:rPr>
          <w:rFonts w:ascii="Times New Roman" w:hAnsi="Times New Roman"/>
          <w:color w:val="auto"/>
          <w:szCs w:val="22"/>
        </w:rPr>
        <w:t>Se reconoce a la Carta de derechos fundamentales el MISMO valor jurídico que los Tratados</w:t>
      </w:r>
      <w:r w:rsidR="00080748" w:rsidRPr="00E316B4">
        <w:rPr>
          <w:rFonts w:ascii="Times New Roman" w:hAnsi="Times New Roman"/>
          <w:color w:val="auto"/>
          <w:szCs w:val="22"/>
        </w:rPr>
        <w:t xml:space="preserve"> (art. 6 TUE)</w:t>
      </w:r>
    </w:p>
    <w:p w14:paraId="3A13BD12" w14:textId="77777777" w:rsidR="00080748" w:rsidRPr="00E316B4" w:rsidRDefault="00080748"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color w:val="auto"/>
          <w:szCs w:val="22"/>
        </w:rPr>
      </w:pPr>
    </w:p>
    <w:p w14:paraId="224928A4" w14:textId="5394E804" w:rsidR="00C67074" w:rsidRPr="00E316B4" w:rsidRDefault="00215FC3"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r w:rsidRPr="00E316B4">
        <w:rPr>
          <w:rFonts w:ascii="Times New Roman" w:hAnsi="Times New Roman"/>
          <w:szCs w:val="22"/>
        </w:rPr>
        <w:t>Un segundo núcleo de modificaciones del Derecho originario son los Tratados de Adhesión a la Unión Europea de los países no fundadores de la misma, pues de los seis países originarios se ha pasado a la Europa</w:t>
      </w:r>
      <w:r w:rsidR="00C67074" w:rsidRPr="00E316B4">
        <w:rPr>
          <w:rFonts w:ascii="Times New Roman" w:hAnsi="Times New Roman"/>
          <w:szCs w:val="22"/>
        </w:rPr>
        <w:t xml:space="preserve"> de los 28, tras la incorporación de</w:t>
      </w:r>
      <w:r w:rsidR="001E7CBB" w:rsidRPr="00E316B4">
        <w:rPr>
          <w:rFonts w:ascii="Times New Roman" w:hAnsi="Times New Roman"/>
          <w:szCs w:val="22"/>
        </w:rPr>
        <w:t xml:space="preserve"> Croacia el 1 de julio de 2013 (estando pendiente de encauzar la salida de Gran Bretaña tras el “Brexit”).</w:t>
      </w:r>
    </w:p>
    <w:p w14:paraId="6BA8F1E5" w14:textId="77777777" w:rsidR="00C67074" w:rsidRPr="00E316B4" w:rsidRDefault="00C67074" w:rsidP="00C6707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rPr>
          <w:rFonts w:ascii="Times New Roman" w:hAnsi="Times New Roman"/>
          <w:szCs w:val="22"/>
        </w:rPr>
      </w:pPr>
    </w:p>
    <w:p w14:paraId="4B54C19F" w14:textId="77777777" w:rsidR="00215FC3" w:rsidRPr="00E316B4" w:rsidRDefault="00A50819" w:rsidP="00472CD4">
      <w:pPr>
        <w:pStyle w:val="tema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142"/>
        <w:jc w:val="both"/>
        <w:outlineLvl w:val="0"/>
        <w:rPr>
          <w:rFonts w:ascii="Times New Roman" w:hAnsi="Times New Roman"/>
          <w:szCs w:val="22"/>
        </w:rPr>
      </w:pPr>
      <w:r w:rsidRPr="00E316B4">
        <w:rPr>
          <w:rFonts w:ascii="Times New Roman" w:hAnsi="Times New Roman"/>
          <w:b/>
          <w:spacing w:val="-3"/>
          <w:szCs w:val="22"/>
        </w:rPr>
        <w:t xml:space="preserve">B) </w:t>
      </w:r>
      <w:r w:rsidR="00080748" w:rsidRPr="00E316B4">
        <w:rPr>
          <w:rFonts w:ascii="Times New Roman" w:hAnsi="Times New Roman"/>
          <w:b/>
          <w:spacing w:val="-3"/>
          <w:szCs w:val="22"/>
        </w:rPr>
        <w:t>Derecho derivado</w:t>
      </w:r>
    </w:p>
    <w:p w14:paraId="0D94CC1A"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Este derecho no </w:t>
      </w:r>
      <w:r w:rsidRPr="00E316B4">
        <w:rPr>
          <w:rFonts w:ascii="Times New Roman" w:hAnsi="Times New Roman" w:cs="Times New Roman"/>
          <w:b/>
          <w:spacing w:val="-3"/>
          <w:lang w:val="es-ES_tradnl"/>
        </w:rPr>
        <w:t>emana</w:t>
      </w:r>
      <w:r w:rsidRPr="00E316B4">
        <w:rPr>
          <w:rFonts w:ascii="Times New Roman" w:hAnsi="Times New Roman" w:cs="Times New Roman"/>
          <w:spacing w:val="-3"/>
          <w:lang w:val="es-ES_tradnl"/>
        </w:rPr>
        <w:t xml:space="preserve"> de los Estados miembros, sino de las </w:t>
      </w:r>
      <w:r w:rsidRPr="00E316B4">
        <w:rPr>
          <w:rFonts w:ascii="Times New Roman" w:hAnsi="Times New Roman" w:cs="Times New Roman"/>
          <w:b/>
          <w:spacing w:val="-3"/>
          <w:lang w:val="es-ES_tradnl"/>
        </w:rPr>
        <w:t>instituciones comunitarias</w:t>
      </w:r>
      <w:r w:rsidRPr="00E316B4">
        <w:rPr>
          <w:rFonts w:ascii="Times New Roman" w:hAnsi="Times New Roman" w:cs="Times New Roman"/>
          <w:spacing w:val="-3"/>
          <w:lang w:val="es-ES_tradnl"/>
        </w:rPr>
        <w:t>.</w:t>
      </w:r>
    </w:p>
    <w:p w14:paraId="2066C508"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 El Derecho derivado está constituido por reglamentos, directivas, decisiones,             recomendaciones y dictámenes.</w:t>
      </w:r>
    </w:p>
    <w:p w14:paraId="21A1979A" w14:textId="77777777" w:rsidR="00215FC3" w:rsidRPr="00E316B4" w:rsidRDefault="00C8773D" w:rsidP="00302746">
      <w:pPr>
        <w:spacing w:line="360" w:lineRule="auto"/>
        <w:ind w:left="-142"/>
        <w:jc w:val="both"/>
        <w:outlineLvl w:val="0"/>
        <w:rPr>
          <w:rFonts w:ascii="Times New Roman" w:hAnsi="Times New Roman" w:cs="Times New Roman"/>
          <w:spacing w:val="-3"/>
          <w:u w:val="single"/>
          <w:lang w:val="es-ES_tradnl"/>
        </w:rPr>
      </w:pPr>
      <w:r w:rsidRPr="00E316B4">
        <w:rPr>
          <w:rFonts w:ascii="Times New Roman" w:hAnsi="Times New Roman" w:cs="Times New Roman"/>
          <w:spacing w:val="-3"/>
          <w:u w:val="single"/>
          <w:lang w:val="es-ES_tradnl"/>
        </w:rPr>
        <w:t>Reglamentos</w:t>
      </w:r>
    </w:p>
    <w:p w14:paraId="4F41C4AA"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Según el citado Art. 288</w:t>
      </w:r>
      <w:r w:rsidR="00A50819" w:rsidRPr="00E316B4">
        <w:rPr>
          <w:rFonts w:ascii="Times New Roman" w:hAnsi="Times New Roman" w:cs="Times New Roman"/>
          <w:spacing w:val="-3"/>
          <w:lang w:val="es-ES_tradnl"/>
        </w:rPr>
        <w:t>:</w:t>
      </w:r>
      <w:r w:rsidRPr="00E316B4">
        <w:rPr>
          <w:rFonts w:ascii="Times New Roman" w:hAnsi="Times New Roman" w:cs="Times New Roman"/>
          <w:spacing w:val="-3"/>
          <w:lang w:val="es-ES_tradnl"/>
        </w:rPr>
        <w:t xml:space="preserve"> "El reglamento tendrá</w:t>
      </w:r>
      <w:r w:rsidR="00A50819" w:rsidRPr="00E316B4">
        <w:rPr>
          <w:rFonts w:ascii="Times New Roman" w:hAnsi="Times New Roman" w:cs="Times New Roman"/>
          <w:spacing w:val="-3"/>
          <w:lang w:val="es-ES_tradnl"/>
        </w:rPr>
        <w:t xml:space="preserve"> un alcance general. Será </w:t>
      </w:r>
      <w:r w:rsidRPr="00E316B4">
        <w:rPr>
          <w:rFonts w:ascii="Times New Roman" w:hAnsi="Times New Roman" w:cs="Times New Roman"/>
          <w:spacing w:val="-3"/>
          <w:lang w:val="es-ES_tradnl"/>
        </w:rPr>
        <w:t xml:space="preserve">obligatorio en todos sus elementos y directamente aplicable en cada Estado miembro". </w:t>
      </w:r>
    </w:p>
    <w:p w14:paraId="29227FCE"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b/>
          <w:spacing w:val="-3"/>
          <w:lang w:val="es-ES_tradnl"/>
        </w:rPr>
        <w:t>Características</w:t>
      </w:r>
      <w:r w:rsidRPr="00E316B4">
        <w:rPr>
          <w:rFonts w:ascii="Times New Roman" w:hAnsi="Times New Roman" w:cs="Times New Roman"/>
          <w:spacing w:val="-3"/>
          <w:lang w:val="es-ES_tradnl"/>
        </w:rPr>
        <w:t>:</w:t>
      </w:r>
    </w:p>
    <w:p w14:paraId="2B8DD7B5"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a) </w:t>
      </w:r>
      <w:r w:rsidRPr="00E316B4">
        <w:rPr>
          <w:rFonts w:ascii="Times New Roman" w:hAnsi="Times New Roman" w:cs="Times New Roman"/>
          <w:b/>
          <w:spacing w:val="-3"/>
          <w:lang w:val="es-ES_tradnl"/>
        </w:rPr>
        <w:t>Tienen un alcance general</w:t>
      </w:r>
      <w:r w:rsidRPr="00E316B4">
        <w:rPr>
          <w:rFonts w:ascii="Times New Roman" w:hAnsi="Times New Roman" w:cs="Times New Roman"/>
          <w:spacing w:val="-3"/>
          <w:lang w:val="es-ES_tradnl"/>
        </w:rPr>
        <w:t xml:space="preserve">. En esto se diferencian de las decisiones, que van dirigidas a unos destinatarios concretos y limitados. </w:t>
      </w:r>
    </w:p>
    <w:p w14:paraId="7B98F45F"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El Reglamento tiene la </w:t>
      </w:r>
      <w:r w:rsidRPr="00E316B4">
        <w:rPr>
          <w:rFonts w:ascii="Times New Roman" w:hAnsi="Times New Roman" w:cs="Times New Roman"/>
          <w:b/>
          <w:spacing w:val="-3"/>
          <w:lang w:val="es-ES_tradnl"/>
        </w:rPr>
        <w:t>estructura propia de las normas jurídicas</w:t>
      </w:r>
      <w:r w:rsidRPr="00E316B4">
        <w:rPr>
          <w:rFonts w:ascii="Times New Roman" w:hAnsi="Times New Roman" w:cs="Times New Roman"/>
          <w:spacing w:val="-3"/>
          <w:lang w:val="es-ES_tradnl"/>
        </w:rPr>
        <w:t>: contiene supuestos de hecho y consecuencias jurídicas (generalidad).</w:t>
      </w:r>
    </w:p>
    <w:p w14:paraId="35E3D480"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lastRenderedPageBreak/>
        <w:t xml:space="preserve">b) </w:t>
      </w:r>
      <w:r w:rsidRPr="00E316B4">
        <w:rPr>
          <w:rFonts w:ascii="Times New Roman" w:hAnsi="Times New Roman" w:cs="Times New Roman"/>
          <w:b/>
          <w:spacing w:val="-3"/>
          <w:lang w:val="es-ES_tradnl"/>
        </w:rPr>
        <w:t>Es obligatorio en todos sus elementos</w:t>
      </w:r>
      <w:r w:rsidRPr="00E316B4">
        <w:rPr>
          <w:rFonts w:ascii="Times New Roman" w:hAnsi="Times New Roman" w:cs="Times New Roman"/>
          <w:spacing w:val="-3"/>
          <w:lang w:val="es-ES_tradnl"/>
        </w:rPr>
        <w:t>. En esto se diferencian de las           recomendaciones y los dictámenes, que no son vinculantes.</w:t>
      </w:r>
      <w:r w:rsidR="00C8773D" w:rsidRPr="00E316B4">
        <w:rPr>
          <w:rFonts w:ascii="Times New Roman" w:hAnsi="Times New Roman" w:cs="Times New Roman"/>
          <w:spacing w:val="-3"/>
          <w:lang w:val="es-ES_tradnl"/>
        </w:rPr>
        <w:t xml:space="preserve"> </w:t>
      </w:r>
      <w:r w:rsidRPr="00E316B4">
        <w:rPr>
          <w:rFonts w:ascii="Times New Roman" w:hAnsi="Times New Roman" w:cs="Times New Roman"/>
          <w:spacing w:val="-3"/>
          <w:lang w:val="es-ES_tradnl"/>
        </w:rPr>
        <w:t xml:space="preserve">La </w:t>
      </w:r>
      <w:r w:rsidRPr="00E316B4">
        <w:rPr>
          <w:rFonts w:ascii="Times New Roman" w:hAnsi="Times New Roman" w:cs="Times New Roman"/>
          <w:b/>
          <w:spacing w:val="-3"/>
          <w:lang w:val="es-ES_tradnl"/>
        </w:rPr>
        <w:t>obligatoriedad en todos sus elementos</w:t>
      </w:r>
      <w:r w:rsidRPr="00E316B4">
        <w:rPr>
          <w:rFonts w:ascii="Times New Roman" w:hAnsi="Times New Roman" w:cs="Times New Roman"/>
          <w:spacing w:val="-3"/>
          <w:lang w:val="es-ES_tradnl"/>
        </w:rPr>
        <w:t xml:space="preserve"> es el rasgo que lo diferencia de las directivas que sólo obligan en cuanto al resultado.</w:t>
      </w:r>
    </w:p>
    <w:p w14:paraId="005C133D" w14:textId="77777777" w:rsidR="00A50819" w:rsidRPr="00E316B4" w:rsidRDefault="00215FC3" w:rsidP="00A50819">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El que sea obligatorio en todos sus elementos permite que el </w:t>
      </w:r>
      <w:r w:rsidRPr="00E316B4">
        <w:rPr>
          <w:rFonts w:ascii="Times New Roman" w:hAnsi="Times New Roman" w:cs="Times New Roman"/>
          <w:b/>
          <w:spacing w:val="-3"/>
          <w:lang w:val="es-ES_tradnl"/>
        </w:rPr>
        <w:t>reglamento sea detallado</w:t>
      </w:r>
      <w:r w:rsidRPr="00E316B4">
        <w:rPr>
          <w:rFonts w:ascii="Times New Roman" w:hAnsi="Times New Roman" w:cs="Times New Roman"/>
          <w:spacing w:val="-3"/>
          <w:lang w:val="es-ES_tradnl"/>
        </w:rPr>
        <w:t>, y cada uno de los detalles que sean objeto de regulación serán vinculantes para los ciudadanos europeos.</w:t>
      </w:r>
    </w:p>
    <w:p w14:paraId="675AAB61" w14:textId="77777777" w:rsidR="00215FC3" w:rsidRPr="00E316B4" w:rsidRDefault="00215FC3" w:rsidP="00A50819">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c) </w:t>
      </w:r>
      <w:r w:rsidRPr="00E316B4">
        <w:rPr>
          <w:rFonts w:ascii="Times New Roman" w:hAnsi="Times New Roman" w:cs="Times New Roman"/>
          <w:b/>
          <w:spacing w:val="-3"/>
          <w:lang w:val="es-ES_tradnl"/>
        </w:rPr>
        <w:t>Es directamente aplicable en cada Estado miembro</w:t>
      </w:r>
      <w:r w:rsidRPr="00E316B4">
        <w:rPr>
          <w:rFonts w:ascii="Times New Roman" w:hAnsi="Times New Roman" w:cs="Times New Roman"/>
          <w:spacing w:val="-3"/>
          <w:lang w:val="es-ES_tradnl"/>
        </w:rPr>
        <w:t>. Sin necesidad y sin posibilidad de desarrollo por los Estados miembros, el reglamento produce efectos jurídicos, y las autoridades estatales están obligadas a velar por su aplicación.</w:t>
      </w:r>
    </w:p>
    <w:p w14:paraId="1C6D8621"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Los Reglamentos además se publicarán en el Diario Oficial de la Unión Europea, y entrarán en vigor en la fecha que ellos mismos fijen, o en su defecto, a los 20 días de su publicación.</w:t>
      </w:r>
    </w:p>
    <w:p w14:paraId="30BF5257" w14:textId="77777777" w:rsidR="00215FC3" w:rsidRPr="00E316B4" w:rsidRDefault="00C8773D" w:rsidP="00302746">
      <w:pPr>
        <w:spacing w:line="360" w:lineRule="auto"/>
        <w:ind w:left="-142"/>
        <w:jc w:val="both"/>
        <w:outlineLvl w:val="0"/>
        <w:rPr>
          <w:rFonts w:ascii="Times New Roman" w:hAnsi="Times New Roman" w:cs="Times New Roman"/>
          <w:spacing w:val="-3"/>
          <w:u w:val="single"/>
          <w:lang w:val="es-ES_tradnl"/>
        </w:rPr>
      </w:pPr>
      <w:r w:rsidRPr="00E316B4">
        <w:rPr>
          <w:rFonts w:ascii="Times New Roman" w:hAnsi="Times New Roman" w:cs="Times New Roman"/>
          <w:spacing w:val="-3"/>
          <w:u w:val="single"/>
          <w:lang w:val="es-ES_tradnl"/>
        </w:rPr>
        <w:t>Directivas</w:t>
      </w:r>
    </w:p>
    <w:p w14:paraId="36C6AFD8"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Según el mismo articulo 288, "La Directiva" obligará al Estado miembro              destinatario, en cuanto al resultado que deba conseguirse, dejando sin embargo a las autoridades nacionales la elección de la forma y de los medios".</w:t>
      </w:r>
    </w:p>
    <w:p w14:paraId="7F54BBF2" w14:textId="77777777" w:rsidR="00215FC3" w:rsidRPr="00E316B4" w:rsidRDefault="00215FC3" w:rsidP="00472CD4">
      <w:pPr>
        <w:spacing w:line="360" w:lineRule="auto"/>
        <w:ind w:left="-142"/>
        <w:jc w:val="both"/>
        <w:outlineLvl w:val="0"/>
        <w:rPr>
          <w:rFonts w:ascii="Times New Roman" w:hAnsi="Times New Roman" w:cs="Times New Roman"/>
          <w:b/>
          <w:spacing w:val="-3"/>
          <w:lang w:val="es-ES_tradnl"/>
        </w:rPr>
      </w:pPr>
      <w:r w:rsidRPr="00E316B4">
        <w:rPr>
          <w:rFonts w:ascii="Times New Roman" w:hAnsi="Times New Roman" w:cs="Times New Roman"/>
          <w:b/>
          <w:spacing w:val="-3"/>
          <w:lang w:val="es-ES_tradnl"/>
        </w:rPr>
        <w:t>Características:</w:t>
      </w:r>
    </w:p>
    <w:p w14:paraId="70BB21E1"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a) </w:t>
      </w:r>
      <w:r w:rsidRPr="00E316B4">
        <w:rPr>
          <w:rFonts w:ascii="Times New Roman" w:hAnsi="Times New Roman" w:cs="Times New Roman"/>
          <w:b/>
          <w:spacing w:val="-3"/>
          <w:lang w:val="es-ES_tradnl"/>
        </w:rPr>
        <w:t>La directiva obliga a los Estados</w:t>
      </w:r>
      <w:r w:rsidRPr="00E316B4">
        <w:rPr>
          <w:rFonts w:ascii="Times New Roman" w:hAnsi="Times New Roman" w:cs="Times New Roman"/>
          <w:spacing w:val="-3"/>
          <w:lang w:val="es-ES_tradnl"/>
        </w:rPr>
        <w:t>. Frente al reglamen</w:t>
      </w:r>
      <w:r w:rsidRPr="00E316B4">
        <w:rPr>
          <w:rFonts w:ascii="Times New Roman" w:hAnsi="Times New Roman" w:cs="Times New Roman"/>
          <w:spacing w:val="-3"/>
          <w:lang w:val="es-ES_tradnl"/>
        </w:rPr>
        <w:softHyphen/>
        <w:t xml:space="preserve">to, que obliga a los particulares, la directiva obliga sólo a los Estados. </w:t>
      </w:r>
    </w:p>
    <w:p w14:paraId="560FB564"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b) </w:t>
      </w:r>
      <w:r w:rsidRPr="00E316B4">
        <w:rPr>
          <w:rFonts w:ascii="Times New Roman" w:hAnsi="Times New Roman" w:cs="Times New Roman"/>
          <w:b/>
          <w:spacing w:val="-3"/>
          <w:lang w:val="es-ES_tradnl"/>
        </w:rPr>
        <w:t>La directiva obliga en cuanto al resultado</w:t>
      </w:r>
      <w:r w:rsidRPr="00E316B4">
        <w:rPr>
          <w:rFonts w:ascii="Times New Roman" w:hAnsi="Times New Roman" w:cs="Times New Roman"/>
          <w:spacing w:val="-3"/>
          <w:lang w:val="es-ES_tradnl"/>
        </w:rPr>
        <w:t>. Se</w:t>
      </w:r>
      <w:r w:rsidR="00A50819" w:rsidRPr="00E316B4">
        <w:rPr>
          <w:rFonts w:ascii="Times New Roman" w:hAnsi="Times New Roman" w:cs="Times New Roman"/>
          <w:spacing w:val="-3"/>
          <w:lang w:val="es-ES_tradnl"/>
        </w:rPr>
        <w:t xml:space="preserve"> utiliza el término </w:t>
      </w:r>
      <w:r w:rsidRPr="00E316B4">
        <w:rPr>
          <w:rFonts w:ascii="Times New Roman" w:hAnsi="Times New Roman" w:cs="Times New Roman"/>
          <w:spacing w:val="-3"/>
          <w:lang w:val="es-ES_tradnl"/>
        </w:rPr>
        <w:t>"resultado" como contrapuesto a "medio": la directiva no obliga en cuanto al medio -que se deja a la elección del Estado miembro, en los límites que permita la directiva-, sino cuanto al resultado: éste si tiene que ser uniforme en toda la Comunidad.</w:t>
      </w:r>
    </w:p>
    <w:p w14:paraId="33AE9286"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La obligación que asumen los Estados se denomina </w:t>
      </w:r>
      <w:r w:rsidRPr="00E316B4">
        <w:rPr>
          <w:rFonts w:ascii="Times New Roman" w:hAnsi="Times New Roman" w:cs="Times New Roman"/>
          <w:b/>
          <w:spacing w:val="-3"/>
          <w:lang w:val="es-ES_tradnl"/>
        </w:rPr>
        <w:t>transposición</w:t>
      </w:r>
      <w:r w:rsidRPr="00E316B4">
        <w:rPr>
          <w:rFonts w:ascii="Times New Roman" w:hAnsi="Times New Roman" w:cs="Times New Roman"/>
          <w:spacing w:val="-3"/>
          <w:lang w:val="es-ES_tradnl"/>
        </w:rPr>
        <w:t>. Supone aprobar una norma interna que concrete el contenido -generalmente ampl</w:t>
      </w:r>
      <w:r w:rsidR="00C8773D" w:rsidRPr="00E316B4">
        <w:rPr>
          <w:rFonts w:ascii="Times New Roman" w:hAnsi="Times New Roman" w:cs="Times New Roman"/>
          <w:spacing w:val="-3"/>
          <w:lang w:val="es-ES_tradnl"/>
        </w:rPr>
        <w:t xml:space="preserve">io- de la </w:t>
      </w:r>
      <w:r w:rsidRPr="00E316B4">
        <w:rPr>
          <w:rFonts w:ascii="Times New Roman" w:hAnsi="Times New Roman" w:cs="Times New Roman"/>
          <w:spacing w:val="-3"/>
          <w:lang w:val="es-ES_tradnl"/>
        </w:rPr>
        <w:t>directiva.</w:t>
      </w:r>
    </w:p>
    <w:p w14:paraId="4B37E650"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c) </w:t>
      </w:r>
      <w:r w:rsidRPr="00E316B4">
        <w:rPr>
          <w:rFonts w:ascii="Times New Roman" w:hAnsi="Times New Roman" w:cs="Times New Roman"/>
          <w:b/>
          <w:spacing w:val="-3"/>
          <w:lang w:val="es-ES_tradnl"/>
        </w:rPr>
        <w:t>La directiva deja libertad a los Estados para la elección de la forma y de los medios</w:t>
      </w:r>
      <w:r w:rsidRPr="00E316B4">
        <w:rPr>
          <w:rFonts w:ascii="Times New Roman" w:hAnsi="Times New Roman" w:cs="Times New Roman"/>
          <w:spacing w:val="-3"/>
          <w:lang w:val="es-ES_tradnl"/>
        </w:rPr>
        <w:t>. Ni los Tratados ni las propias directivas precisan el tipo de norma interna que deba transponerlas. Una misma directiva puede</w:t>
      </w:r>
      <w:r w:rsidR="00C8773D" w:rsidRPr="00E316B4">
        <w:rPr>
          <w:rFonts w:ascii="Times New Roman" w:hAnsi="Times New Roman" w:cs="Times New Roman"/>
          <w:spacing w:val="-3"/>
          <w:lang w:val="es-ES_tradnl"/>
        </w:rPr>
        <w:t xml:space="preserve"> </w:t>
      </w:r>
      <w:r w:rsidRPr="00E316B4">
        <w:rPr>
          <w:rFonts w:ascii="Times New Roman" w:hAnsi="Times New Roman" w:cs="Times New Roman"/>
          <w:spacing w:val="-3"/>
          <w:lang w:val="es-ES_tradnl"/>
        </w:rPr>
        <w:t>transponerse en distintos Estados miembros por normas distintas (ley, reglamento)</w:t>
      </w:r>
    </w:p>
    <w:p w14:paraId="3A8B576A"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bCs/>
          <w:spacing w:val="-3"/>
          <w:lang w:val="es-ES_tradnl"/>
        </w:rPr>
        <w:t>Además, y aunque no es obligatorio ni condiciona su entrada en vigor, las Directivas también se publican en el Diario Oficial de la Unión Europea</w:t>
      </w:r>
    </w:p>
    <w:p w14:paraId="0EA55ADF"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b/>
          <w:spacing w:val="-3"/>
          <w:lang w:val="es-ES_tradnl"/>
        </w:rPr>
        <w:t xml:space="preserve">Relación entre Reglamentos y directivas. </w:t>
      </w:r>
      <w:r w:rsidRPr="00E316B4">
        <w:rPr>
          <w:rFonts w:ascii="Times New Roman" w:hAnsi="Times New Roman" w:cs="Times New Roman"/>
          <w:spacing w:val="-3"/>
          <w:lang w:val="es-ES_tradnl"/>
        </w:rPr>
        <w:t xml:space="preserve">Reglamentos y directivas </w:t>
      </w:r>
      <w:r w:rsidRPr="00E316B4">
        <w:rPr>
          <w:rFonts w:ascii="Times New Roman" w:hAnsi="Times New Roman" w:cs="Times New Roman"/>
          <w:b/>
          <w:spacing w:val="-3"/>
          <w:lang w:val="es-ES_tradnl"/>
        </w:rPr>
        <w:t>no están en relación de jerarquía</w:t>
      </w:r>
      <w:r w:rsidRPr="00E316B4">
        <w:rPr>
          <w:rFonts w:ascii="Times New Roman" w:hAnsi="Times New Roman" w:cs="Times New Roman"/>
          <w:spacing w:val="-3"/>
          <w:lang w:val="es-ES_tradnl"/>
        </w:rPr>
        <w:t xml:space="preserve">. Su diferencia radica básicamente, como se ha visto, en el grado de concreción de la norma, lo que a su vez trae, como consecuencia la necesidad de concreción de las directivas por los </w:t>
      </w:r>
      <w:r w:rsidRPr="00E316B4">
        <w:rPr>
          <w:rFonts w:ascii="Times New Roman" w:hAnsi="Times New Roman" w:cs="Times New Roman"/>
          <w:spacing w:val="-3"/>
          <w:lang w:val="es-ES_tradnl"/>
        </w:rPr>
        <w:lastRenderedPageBreak/>
        <w:t>Estados miembros y su inaplicabilidad directa a los ciudadanos (con las salvedades que luego se expondrán).</w:t>
      </w:r>
    </w:p>
    <w:p w14:paraId="789BDCEC" w14:textId="77777777" w:rsidR="00C8773D" w:rsidRPr="00E316B4" w:rsidRDefault="00C8773D" w:rsidP="00302746">
      <w:pPr>
        <w:spacing w:line="360" w:lineRule="auto"/>
        <w:ind w:left="-142"/>
        <w:jc w:val="both"/>
        <w:outlineLvl w:val="0"/>
        <w:rPr>
          <w:rFonts w:ascii="Times New Roman" w:hAnsi="Times New Roman" w:cs="Times New Roman"/>
          <w:spacing w:val="-3"/>
          <w:u w:val="single"/>
          <w:lang w:val="es-ES_tradnl"/>
        </w:rPr>
      </w:pPr>
      <w:r w:rsidRPr="00E316B4">
        <w:rPr>
          <w:rFonts w:ascii="Times New Roman" w:hAnsi="Times New Roman" w:cs="Times New Roman"/>
          <w:spacing w:val="-3"/>
          <w:u w:val="single"/>
          <w:lang w:val="es-ES_tradnl"/>
        </w:rPr>
        <w:t xml:space="preserve">Decisión </w:t>
      </w:r>
    </w:p>
    <w:p w14:paraId="0E77479E"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Conforme al art.288 la decisión "será obligatoria en todos sus elementos para todos sus destinatarios". </w:t>
      </w:r>
    </w:p>
    <w:p w14:paraId="110331DF" w14:textId="77777777" w:rsidR="00215FC3" w:rsidRPr="00E316B4" w:rsidRDefault="00215FC3" w:rsidP="00472CD4">
      <w:pPr>
        <w:spacing w:line="360" w:lineRule="auto"/>
        <w:ind w:left="-142"/>
        <w:jc w:val="both"/>
        <w:outlineLvl w:val="0"/>
        <w:rPr>
          <w:rFonts w:ascii="Times New Roman" w:hAnsi="Times New Roman" w:cs="Times New Roman"/>
          <w:b/>
          <w:spacing w:val="-3"/>
          <w:lang w:val="es-ES_tradnl"/>
        </w:rPr>
      </w:pPr>
      <w:r w:rsidRPr="00E316B4">
        <w:rPr>
          <w:rFonts w:ascii="Times New Roman" w:hAnsi="Times New Roman" w:cs="Times New Roman"/>
          <w:spacing w:val="-3"/>
          <w:lang w:val="es-ES_tradnl"/>
        </w:rPr>
        <w:t xml:space="preserve"> </w:t>
      </w:r>
      <w:r w:rsidRPr="00E316B4">
        <w:rPr>
          <w:rFonts w:ascii="Times New Roman" w:hAnsi="Times New Roman" w:cs="Times New Roman"/>
          <w:b/>
          <w:spacing w:val="-3"/>
          <w:lang w:val="es-ES_tradnl"/>
        </w:rPr>
        <w:t>Características</w:t>
      </w:r>
    </w:p>
    <w:p w14:paraId="429CF7B3" w14:textId="77777777" w:rsidR="00215FC3" w:rsidRPr="00E316B4" w:rsidRDefault="00A50819"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A) </w:t>
      </w:r>
      <w:r w:rsidR="00215FC3" w:rsidRPr="00E316B4">
        <w:rPr>
          <w:rFonts w:ascii="Times New Roman" w:hAnsi="Times New Roman" w:cs="Times New Roman"/>
          <w:spacing w:val="-3"/>
          <w:lang w:val="es-ES_tradnl"/>
        </w:rPr>
        <w:t xml:space="preserve">A diferencia de la directiva, la decisión es </w:t>
      </w:r>
      <w:r w:rsidR="00215FC3" w:rsidRPr="00E316B4">
        <w:rPr>
          <w:rFonts w:ascii="Times New Roman" w:hAnsi="Times New Roman" w:cs="Times New Roman"/>
          <w:b/>
          <w:spacing w:val="-3"/>
          <w:lang w:val="es-ES_tradnl"/>
        </w:rPr>
        <w:t>oblig</w:t>
      </w:r>
      <w:r w:rsidRPr="00E316B4">
        <w:rPr>
          <w:rFonts w:ascii="Times New Roman" w:hAnsi="Times New Roman" w:cs="Times New Roman"/>
          <w:b/>
          <w:spacing w:val="-3"/>
          <w:lang w:val="es-ES_tradnl"/>
        </w:rPr>
        <w:t>atoria en todos sus</w:t>
      </w:r>
      <w:r w:rsidR="00215FC3" w:rsidRPr="00E316B4">
        <w:rPr>
          <w:rFonts w:ascii="Times New Roman" w:hAnsi="Times New Roman" w:cs="Times New Roman"/>
          <w:b/>
          <w:spacing w:val="-3"/>
          <w:lang w:val="es-ES_tradnl"/>
        </w:rPr>
        <w:t xml:space="preserve"> elementos</w:t>
      </w:r>
      <w:r w:rsidR="00215FC3" w:rsidRPr="00E316B4">
        <w:rPr>
          <w:rFonts w:ascii="Times New Roman" w:hAnsi="Times New Roman" w:cs="Times New Roman"/>
          <w:spacing w:val="-3"/>
          <w:lang w:val="es-ES_tradnl"/>
        </w:rPr>
        <w:t xml:space="preserve"> y no sólo en cuanto al resultado a alcanzar.</w:t>
      </w:r>
    </w:p>
    <w:p w14:paraId="1AD77701" w14:textId="77777777" w:rsidR="00215FC3" w:rsidRPr="00E316B4" w:rsidRDefault="00A50819"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B) </w:t>
      </w:r>
      <w:r w:rsidR="00215FC3" w:rsidRPr="00E316B4">
        <w:rPr>
          <w:rFonts w:ascii="Times New Roman" w:hAnsi="Times New Roman" w:cs="Times New Roman"/>
          <w:spacing w:val="-3"/>
          <w:lang w:val="es-ES_tradnl"/>
        </w:rPr>
        <w:t xml:space="preserve">Contrariamente al reglamento, la decisión </w:t>
      </w:r>
      <w:r w:rsidR="00215FC3" w:rsidRPr="00E316B4">
        <w:rPr>
          <w:rFonts w:ascii="Times New Roman" w:hAnsi="Times New Roman" w:cs="Times New Roman"/>
          <w:b/>
          <w:spacing w:val="-3"/>
          <w:lang w:val="es-ES_tradnl"/>
        </w:rPr>
        <w:t>no tiene alcance general, obliga sólo a sus destinatarios</w:t>
      </w:r>
      <w:r w:rsidR="00215FC3" w:rsidRPr="00E316B4">
        <w:rPr>
          <w:rFonts w:ascii="Times New Roman" w:hAnsi="Times New Roman" w:cs="Times New Roman"/>
          <w:spacing w:val="-3"/>
          <w:lang w:val="es-ES_tradnl"/>
        </w:rPr>
        <w:t>, que pueden ser un individuo, una empresa o un E. miembro.</w:t>
      </w:r>
    </w:p>
    <w:p w14:paraId="56FD2732" w14:textId="37349150"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La decisión tiende a </w:t>
      </w:r>
      <w:r w:rsidRPr="00E316B4">
        <w:rPr>
          <w:rFonts w:ascii="Times New Roman" w:hAnsi="Times New Roman" w:cs="Times New Roman"/>
          <w:b/>
          <w:spacing w:val="-3"/>
          <w:lang w:val="es-ES_tradnl"/>
        </w:rPr>
        <w:t>aplicar las reglas de los Tratados a los casos</w:t>
      </w:r>
      <w:r w:rsidR="00957E1C">
        <w:rPr>
          <w:rFonts w:ascii="Times New Roman" w:hAnsi="Times New Roman" w:cs="Times New Roman"/>
          <w:b/>
          <w:spacing w:val="-3"/>
          <w:lang w:val="es-ES_tradnl"/>
        </w:rPr>
        <w:t xml:space="preserve"> </w:t>
      </w:r>
      <w:r w:rsidRPr="00E316B4">
        <w:rPr>
          <w:rFonts w:ascii="Times New Roman" w:hAnsi="Times New Roman" w:cs="Times New Roman"/>
          <w:b/>
          <w:spacing w:val="-3"/>
          <w:lang w:val="es-ES_tradnl"/>
        </w:rPr>
        <w:t>particulares</w:t>
      </w:r>
      <w:r w:rsidRPr="00E316B4">
        <w:rPr>
          <w:rFonts w:ascii="Times New Roman" w:hAnsi="Times New Roman" w:cs="Times New Roman"/>
          <w:spacing w:val="-3"/>
          <w:lang w:val="es-ES_tradnl"/>
        </w:rPr>
        <w:t xml:space="preserve">; es asimilable al </w:t>
      </w:r>
      <w:r w:rsidRPr="00E316B4">
        <w:rPr>
          <w:rFonts w:ascii="Times New Roman" w:hAnsi="Times New Roman" w:cs="Times New Roman"/>
          <w:b/>
          <w:spacing w:val="-3"/>
          <w:lang w:val="es-ES_tradnl"/>
        </w:rPr>
        <w:t>acto administrativo individual</w:t>
      </w:r>
      <w:r w:rsidRPr="00E316B4">
        <w:rPr>
          <w:rFonts w:ascii="Times New Roman" w:hAnsi="Times New Roman" w:cs="Times New Roman"/>
          <w:spacing w:val="-3"/>
          <w:lang w:val="es-ES_tradnl"/>
        </w:rPr>
        <w:t xml:space="preserve"> en el derecho nacional, y es por tanto un instrumento de ejecución administrativa del Derecho Comunitario.</w:t>
      </w:r>
    </w:p>
    <w:p w14:paraId="48D58E18" w14:textId="77777777" w:rsidR="00C8773D" w:rsidRPr="00E316B4" w:rsidRDefault="00C8773D" w:rsidP="00302746">
      <w:pPr>
        <w:spacing w:line="360" w:lineRule="auto"/>
        <w:ind w:left="-142"/>
        <w:jc w:val="both"/>
        <w:outlineLvl w:val="0"/>
        <w:rPr>
          <w:rFonts w:ascii="Times New Roman" w:hAnsi="Times New Roman" w:cs="Times New Roman"/>
          <w:spacing w:val="-3"/>
          <w:u w:val="single"/>
          <w:lang w:val="es-ES_tradnl"/>
        </w:rPr>
      </w:pPr>
      <w:r w:rsidRPr="00E316B4">
        <w:rPr>
          <w:rFonts w:ascii="Times New Roman" w:hAnsi="Times New Roman" w:cs="Times New Roman"/>
          <w:spacing w:val="-3"/>
          <w:u w:val="single"/>
          <w:lang w:val="es-ES_tradnl"/>
        </w:rPr>
        <w:t>Recomendaciones y dictámenes</w:t>
      </w:r>
    </w:p>
    <w:p w14:paraId="43B8FBE5"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 Se distinguen del conjunto de los otros instrumentos en que "no vinculan", así resulta del citado art. 288 TFUE "no serán vinculantes".</w:t>
      </w:r>
    </w:p>
    <w:p w14:paraId="2AA45D7B"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b/>
          <w:spacing w:val="-3"/>
          <w:lang w:val="es-ES_tradnl"/>
        </w:rPr>
        <w:t>Las recomendaciones</w:t>
      </w:r>
      <w:r w:rsidRPr="00E316B4">
        <w:rPr>
          <w:rFonts w:ascii="Times New Roman" w:hAnsi="Times New Roman" w:cs="Times New Roman"/>
          <w:spacing w:val="-3"/>
          <w:lang w:val="es-ES_tradnl"/>
        </w:rPr>
        <w:t xml:space="preserve"> de la Comisión o del Consejo son invit</w:t>
      </w:r>
      <w:r w:rsidR="00A50819" w:rsidRPr="00E316B4">
        <w:rPr>
          <w:rFonts w:ascii="Times New Roman" w:hAnsi="Times New Roman" w:cs="Times New Roman"/>
          <w:spacing w:val="-3"/>
          <w:lang w:val="es-ES_tradnl"/>
        </w:rPr>
        <w:t>aciones a</w:t>
      </w:r>
      <w:r w:rsidRPr="00E316B4">
        <w:rPr>
          <w:rFonts w:ascii="Times New Roman" w:hAnsi="Times New Roman" w:cs="Times New Roman"/>
          <w:spacing w:val="-3"/>
          <w:lang w:val="es-ES_tradnl"/>
        </w:rPr>
        <w:t xml:space="preserve"> adoptar una regla de conducta</w:t>
      </w:r>
      <w:r w:rsidR="00A50819" w:rsidRPr="00E316B4">
        <w:rPr>
          <w:rFonts w:ascii="Times New Roman" w:hAnsi="Times New Roman" w:cs="Times New Roman"/>
          <w:spacing w:val="-3"/>
          <w:lang w:val="es-ES_tradnl"/>
        </w:rPr>
        <w:t>.</w:t>
      </w:r>
    </w:p>
    <w:p w14:paraId="7EA2F0A0"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Los </w:t>
      </w:r>
      <w:r w:rsidRPr="00E316B4">
        <w:rPr>
          <w:rFonts w:ascii="Times New Roman" w:hAnsi="Times New Roman" w:cs="Times New Roman"/>
          <w:b/>
          <w:spacing w:val="-3"/>
          <w:lang w:val="es-ES_tradnl"/>
        </w:rPr>
        <w:t>dictámenes</w:t>
      </w:r>
      <w:r w:rsidRPr="00E316B4">
        <w:rPr>
          <w:rFonts w:ascii="Times New Roman" w:hAnsi="Times New Roman" w:cs="Times New Roman"/>
          <w:spacing w:val="-3"/>
          <w:lang w:val="es-ES_tradnl"/>
        </w:rPr>
        <w:t xml:space="preserve"> dirigidos por la Comisión a las empresas o a los Estados no expresan más que una opinión.</w:t>
      </w:r>
    </w:p>
    <w:p w14:paraId="4BF62C20"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Normalmente suelen ser usados como mecanismos previos a la adopción de directivas o decisiones.</w:t>
      </w:r>
    </w:p>
    <w:p w14:paraId="3E07A729" w14:textId="77777777" w:rsidR="00C8773D" w:rsidRPr="00E316B4" w:rsidRDefault="00C8773D" w:rsidP="00472CD4">
      <w:pPr>
        <w:spacing w:line="360" w:lineRule="auto"/>
        <w:ind w:left="-142"/>
        <w:jc w:val="both"/>
        <w:outlineLvl w:val="0"/>
        <w:rPr>
          <w:rFonts w:ascii="Times New Roman" w:hAnsi="Times New Roman" w:cs="Times New Roman"/>
          <w:b/>
          <w:spacing w:val="-3"/>
          <w:lang w:val="es-ES_tradnl"/>
        </w:rPr>
      </w:pPr>
      <w:r w:rsidRPr="00E316B4">
        <w:rPr>
          <w:rFonts w:ascii="Times New Roman" w:hAnsi="Times New Roman" w:cs="Times New Roman"/>
          <w:spacing w:val="-3"/>
          <w:lang w:val="es-ES_tradnl"/>
        </w:rPr>
        <w:t>COMO OTRAS FUENTES PODEMOS CITAR:</w:t>
      </w:r>
    </w:p>
    <w:p w14:paraId="46A49A13" w14:textId="77777777" w:rsidR="00215FC3" w:rsidRPr="00E316B4" w:rsidRDefault="00A50819" w:rsidP="00472CD4">
      <w:pPr>
        <w:spacing w:line="360" w:lineRule="auto"/>
        <w:ind w:left="-142"/>
        <w:jc w:val="both"/>
        <w:outlineLvl w:val="0"/>
        <w:rPr>
          <w:rFonts w:ascii="Times New Roman" w:hAnsi="Times New Roman" w:cs="Times New Roman"/>
          <w:b/>
          <w:spacing w:val="-3"/>
          <w:lang w:val="es-ES_tradnl"/>
        </w:rPr>
      </w:pPr>
      <w:r w:rsidRPr="00E316B4">
        <w:rPr>
          <w:rFonts w:ascii="Times New Roman" w:hAnsi="Times New Roman" w:cs="Times New Roman"/>
          <w:b/>
          <w:spacing w:val="-3"/>
          <w:lang w:val="es-ES_tradnl"/>
        </w:rPr>
        <w:t xml:space="preserve">C) </w:t>
      </w:r>
      <w:r w:rsidR="00215FC3" w:rsidRPr="00E316B4">
        <w:rPr>
          <w:rFonts w:ascii="Times New Roman" w:hAnsi="Times New Roman" w:cs="Times New Roman"/>
          <w:b/>
          <w:spacing w:val="-3"/>
          <w:lang w:val="es-ES_tradnl"/>
        </w:rPr>
        <w:t xml:space="preserve">Los Principios Generales. </w:t>
      </w:r>
    </w:p>
    <w:p w14:paraId="33B79E00"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El Tribunal de Justicia de las Comunidades invoca con frecuencia </w:t>
      </w:r>
      <w:r w:rsidR="00A50819" w:rsidRPr="00E316B4">
        <w:rPr>
          <w:rFonts w:ascii="Times New Roman" w:hAnsi="Times New Roman" w:cs="Times New Roman"/>
          <w:b/>
          <w:spacing w:val="-3"/>
          <w:lang w:val="es-ES_tradnl"/>
        </w:rPr>
        <w:t>los</w:t>
      </w:r>
      <w:r w:rsidRPr="00E316B4">
        <w:rPr>
          <w:rFonts w:ascii="Times New Roman" w:hAnsi="Times New Roman" w:cs="Times New Roman"/>
          <w:b/>
          <w:spacing w:val="-3"/>
          <w:lang w:val="es-ES_tradnl"/>
        </w:rPr>
        <w:t xml:space="preserve"> principios generales</w:t>
      </w:r>
      <w:r w:rsidRPr="00E316B4">
        <w:rPr>
          <w:rFonts w:ascii="Times New Roman" w:hAnsi="Times New Roman" w:cs="Times New Roman"/>
          <w:spacing w:val="-3"/>
          <w:lang w:val="es-ES_tradnl"/>
        </w:rPr>
        <w:t xml:space="preserve">, en unos casos como </w:t>
      </w:r>
      <w:r w:rsidRPr="00E316B4">
        <w:rPr>
          <w:rFonts w:ascii="Times New Roman" w:hAnsi="Times New Roman" w:cs="Times New Roman"/>
          <w:b/>
          <w:spacing w:val="-3"/>
          <w:lang w:val="es-ES_tradnl"/>
        </w:rPr>
        <w:t>fuente autónoma</w:t>
      </w:r>
      <w:r w:rsidR="00A50819" w:rsidRPr="00E316B4">
        <w:rPr>
          <w:rFonts w:ascii="Times New Roman" w:hAnsi="Times New Roman" w:cs="Times New Roman"/>
          <w:spacing w:val="-3"/>
          <w:lang w:val="es-ES_tradnl"/>
        </w:rPr>
        <w:t xml:space="preserve"> del Derecho</w:t>
      </w:r>
      <w:r w:rsidRPr="00E316B4">
        <w:rPr>
          <w:rFonts w:ascii="Times New Roman" w:hAnsi="Times New Roman" w:cs="Times New Roman"/>
          <w:spacing w:val="-3"/>
          <w:lang w:val="es-ES_tradnl"/>
        </w:rPr>
        <w:t xml:space="preserve"> comunitario, y en otros como </w:t>
      </w:r>
      <w:r w:rsidRPr="00E316B4">
        <w:rPr>
          <w:rFonts w:ascii="Times New Roman" w:hAnsi="Times New Roman" w:cs="Times New Roman"/>
          <w:b/>
          <w:spacing w:val="-3"/>
          <w:lang w:val="es-ES_tradnl"/>
        </w:rPr>
        <w:t>criterio de interpretación</w:t>
      </w:r>
      <w:r w:rsidRPr="00E316B4">
        <w:rPr>
          <w:rFonts w:ascii="Times New Roman" w:hAnsi="Times New Roman" w:cs="Times New Roman"/>
          <w:spacing w:val="-3"/>
          <w:lang w:val="es-ES_tradnl"/>
        </w:rPr>
        <w:t xml:space="preserve"> d</w:t>
      </w:r>
      <w:r w:rsidR="00C8773D" w:rsidRPr="00E316B4">
        <w:rPr>
          <w:rFonts w:ascii="Times New Roman" w:hAnsi="Times New Roman" w:cs="Times New Roman"/>
          <w:spacing w:val="-3"/>
          <w:lang w:val="es-ES_tradnl"/>
        </w:rPr>
        <w:t xml:space="preserve">e las demás fuentes del </w:t>
      </w:r>
      <w:r w:rsidRPr="00E316B4">
        <w:rPr>
          <w:rFonts w:ascii="Times New Roman" w:hAnsi="Times New Roman" w:cs="Times New Roman"/>
          <w:spacing w:val="-3"/>
          <w:lang w:val="es-ES_tradnl"/>
        </w:rPr>
        <w:t xml:space="preserve">Derecho comunitario. </w:t>
      </w:r>
    </w:p>
    <w:p w14:paraId="26352A56" w14:textId="77777777" w:rsidR="00215FC3" w:rsidRPr="00E316B4" w:rsidRDefault="00215FC3" w:rsidP="00A50819">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Esos principios tienen naturaleza heterogénea, pero el propio Tribunal suele precisar esa naturaleza cuando los aplica, de manera que, atendiendo a sus propios conceptos, cabe distinguir las </w:t>
      </w:r>
      <w:proofErr w:type="spellStart"/>
      <w:r w:rsidRPr="00E316B4">
        <w:rPr>
          <w:rFonts w:ascii="Times New Roman" w:hAnsi="Times New Roman" w:cs="Times New Roman"/>
          <w:spacing w:val="-3"/>
          <w:lang w:val="es-ES_tradnl"/>
        </w:rPr>
        <w:t>ss</w:t>
      </w:r>
      <w:proofErr w:type="spellEnd"/>
      <w:r w:rsidRPr="00E316B4">
        <w:rPr>
          <w:rFonts w:ascii="Times New Roman" w:hAnsi="Times New Roman" w:cs="Times New Roman"/>
          <w:spacing w:val="-3"/>
          <w:lang w:val="es-ES_tradnl"/>
        </w:rPr>
        <w:t xml:space="preserve"> clases de principios ge</w:t>
      </w:r>
      <w:r w:rsidR="00C8773D" w:rsidRPr="00E316B4">
        <w:rPr>
          <w:rFonts w:ascii="Times New Roman" w:hAnsi="Times New Roman" w:cs="Times New Roman"/>
          <w:spacing w:val="-3"/>
          <w:lang w:val="es-ES_tradnl"/>
        </w:rPr>
        <w:t>nerales, que en un sentido</w:t>
      </w:r>
      <w:r w:rsidRPr="00E316B4">
        <w:rPr>
          <w:rFonts w:ascii="Times New Roman" w:hAnsi="Times New Roman" w:cs="Times New Roman"/>
          <w:spacing w:val="-3"/>
          <w:lang w:val="es-ES_tradnl"/>
        </w:rPr>
        <w:t xml:space="preserve"> amplio podríamos llamar del Derecho comunitario:</w:t>
      </w:r>
    </w:p>
    <w:p w14:paraId="60A5F1E4" w14:textId="04E4650F" w:rsidR="00215FC3" w:rsidRPr="00F973F6" w:rsidRDefault="00215FC3" w:rsidP="00F973F6">
      <w:pPr>
        <w:pStyle w:val="Prrafodelista"/>
        <w:numPr>
          <w:ilvl w:val="0"/>
          <w:numId w:val="32"/>
        </w:numPr>
        <w:spacing w:line="360" w:lineRule="auto"/>
        <w:jc w:val="both"/>
        <w:rPr>
          <w:rFonts w:ascii="Times New Roman" w:hAnsi="Times New Roman" w:cs="Times New Roman"/>
          <w:spacing w:val="-3"/>
          <w:lang w:val="es-ES_tradnl"/>
        </w:rPr>
      </w:pPr>
      <w:r w:rsidRPr="00F973F6">
        <w:rPr>
          <w:rFonts w:ascii="Times New Roman" w:hAnsi="Times New Roman" w:cs="Times New Roman"/>
          <w:b/>
          <w:spacing w:val="-3"/>
          <w:lang w:val="es-ES_tradnl"/>
        </w:rPr>
        <w:t>Principios comunes a todos los sistemas jurídicos</w:t>
      </w:r>
      <w:r w:rsidRPr="00F973F6">
        <w:rPr>
          <w:rFonts w:ascii="Times New Roman" w:hAnsi="Times New Roman" w:cs="Times New Roman"/>
          <w:spacing w:val="-3"/>
          <w:lang w:val="es-ES_tradnl"/>
        </w:rPr>
        <w:t>.</w:t>
      </w:r>
    </w:p>
    <w:p w14:paraId="593DB110" w14:textId="4D3CD6AE" w:rsidR="00215FC3" w:rsidRPr="00F973F6" w:rsidRDefault="00215FC3" w:rsidP="00F973F6">
      <w:pPr>
        <w:pStyle w:val="Prrafodelista"/>
        <w:numPr>
          <w:ilvl w:val="0"/>
          <w:numId w:val="32"/>
        </w:numPr>
        <w:spacing w:line="360" w:lineRule="auto"/>
        <w:jc w:val="both"/>
        <w:rPr>
          <w:rFonts w:ascii="Times New Roman" w:hAnsi="Times New Roman" w:cs="Times New Roman"/>
          <w:spacing w:val="-3"/>
          <w:lang w:val="es-ES_tradnl"/>
        </w:rPr>
      </w:pPr>
      <w:r w:rsidRPr="00F973F6">
        <w:rPr>
          <w:rFonts w:ascii="Times New Roman" w:hAnsi="Times New Roman" w:cs="Times New Roman"/>
          <w:b/>
          <w:spacing w:val="-3"/>
          <w:lang w:val="es-ES_tradnl"/>
        </w:rPr>
        <w:lastRenderedPageBreak/>
        <w:t>Principios generales del Derecho internacional</w:t>
      </w:r>
      <w:r w:rsidRPr="00F973F6">
        <w:rPr>
          <w:rFonts w:ascii="Times New Roman" w:hAnsi="Times New Roman" w:cs="Times New Roman"/>
          <w:spacing w:val="-3"/>
          <w:lang w:val="es-ES_tradnl"/>
        </w:rPr>
        <w:t xml:space="preserve">. </w:t>
      </w:r>
    </w:p>
    <w:p w14:paraId="2EBE889B" w14:textId="5BFB8DBD" w:rsidR="00215FC3" w:rsidRPr="00F973F6" w:rsidRDefault="00680F4A" w:rsidP="00F973F6">
      <w:pPr>
        <w:pStyle w:val="Prrafodelista"/>
        <w:numPr>
          <w:ilvl w:val="0"/>
          <w:numId w:val="32"/>
        </w:numPr>
        <w:spacing w:line="360" w:lineRule="auto"/>
        <w:jc w:val="both"/>
        <w:rPr>
          <w:rFonts w:ascii="Times New Roman" w:hAnsi="Times New Roman" w:cs="Times New Roman"/>
          <w:spacing w:val="-3"/>
          <w:lang w:val="es-ES_tradnl"/>
        </w:rPr>
      </w:pPr>
      <w:r w:rsidRPr="00F973F6">
        <w:rPr>
          <w:rFonts w:ascii="Times New Roman" w:hAnsi="Times New Roman" w:cs="Times New Roman"/>
          <w:b/>
          <w:spacing w:val="-3"/>
          <w:lang w:val="es-ES_tradnl"/>
        </w:rPr>
        <w:t>P</w:t>
      </w:r>
      <w:r w:rsidR="00215FC3" w:rsidRPr="00F973F6">
        <w:rPr>
          <w:rFonts w:ascii="Times New Roman" w:hAnsi="Times New Roman" w:cs="Times New Roman"/>
          <w:b/>
          <w:spacing w:val="-3"/>
          <w:lang w:val="es-ES_tradnl"/>
        </w:rPr>
        <w:t>rincipios generales comunes a los Estados miembros</w:t>
      </w:r>
      <w:r w:rsidR="00215FC3" w:rsidRPr="00F973F6">
        <w:rPr>
          <w:rFonts w:ascii="Times New Roman" w:hAnsi="Times New Roman" w:cs="Times New Roman"/>
          <w:spacing w:val="-3"/>
          <w:lang w:val="es-ES_tradnl"/>
        </w:rPr>
        <w:t xml:space="preserve">. </w:t>
      </w:r>
    </w:p>
    <w:p w14:paraId="5E8B7B52" w14:textId="3F50E4A3" w:rsidR="00215FC3" w:rsidRPr="00F973F6" w:rsidRDefault="00215FC3" w:rsidP="00F973F6">
      <w:pPr>
        <w:pStyle w:val="Prrafodelista"/>
        <w:numPr>
          <w:ilvl w:val="0"/>
          <w:numId w:val="32"/>
        </w:numPr>
        <w:spacing w:line="360" w:lineRule="auto"/>
        <w:jc w:val="both"/>
        <w:rPr>
          <w:rFonts w:ascii="Times New Roman" w:hAnsi="Times New Roman" w:cs="Times New Roman"/>
          <w:spacing w:val="-3"/>
          <w:lang w:val="es-ES_tradnl"/>
        </w:rPr>
      </w:pPr>
      <w:r w:rsidRPr="00F973F6">
        <w:rPr>
          <w:rFonts w:ascii="Times New Roman" w:hAnsi="Times New Roman" w:cs="Times New Roman"/>
          <w:b/>
          <w:spacing w:val="-3"/>
          <w:lang w:val="es-ES_tradnl"/>
        </w:rPr>
        <w:t>Principios generales del Derecho comunitario</w:t>
      </w:r>
      <w:r w:rsidRPr="00F973F6">
        <w:rPr>
          <w:rFonts w:ascii="Times New Roman" w:hAnsi="Times New Roman" w:cs="Times New Roman"/>
          <w:spacing w:val="-3"/>
          <w:lang w:val="es-ES_tradnl"/>
        </w:rPr>
        <w:t>, en sentido estricto.</w:t>
      </w:r>
    </w:p>
    <w:p w14:paraId="2806F0E7"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El Tribunal de Justicia de la Unión Europea invoca con frecuencia </w:t>
      </w:r>
      <w:r w:rsidRPr="00E316B4">
        <w:rPr>
          <w:rFonts w:ascii="Times New Roman" w:hAnsi="Times New Roman" w:cs="Times New Roman"/>
          <w:b/>
          <w:spacing w:val="-3"/>
          <w:lang w:val="es-ES_tradnl"/>
        </w:rPr>
        <w:t>los principios generales</w:t>
      </w:r>
      <w:r w:rsidRPr="00E316B4">
        <w:rPr>
          <w:rFonts w:ascii="Times New Roman" w:hAnsi="Times New Roman" w:cs="Times New Roman"/>
          <w:spacing w:val="-3"/>
          <w:lang w:val="es-ES_tradnl"/>
        </w:rPr>
        <w:t xml:space="preserve">, en unos casos como </w:t>
      </w:r>
      <w:r w:rsidRPr="00E316B4">
        <w:rPr>
          <w:rFonts w:ascii="Times New Roman" w:hAnsi="Times New Roman" w:cs="Times New Roman"/>
          <w:b/>
          <w:spacing w:val="-3"/>
          <w:lang w:val="es-ES_tradnl"/>
        </w:rPr>
        <w:t>fuente autónoma</w:t>
      </w:r>
      <w:r w:rsidRPr="00E316B4">
        <w:rPr>
          <w:rFonts w:ascii="Times New Roman" w:hAnsi="Times New Roman" w:cs="Times New Roman"/>
          <w:spacing w:val="-3"/>
          <w:lang w:val="es-ES_tradnl"/>
        </w:rPr>
        <w:t xml:space="preserve"> del Derecho comunitario, y en otros como </w:t>
      </w:r>
      <w:r w:rsidRPr="00E316B4">
        <w:rPr>
          <w:rFonts w:ascii="Times New Roman" w:hAnsi="Times New Roman" w:cs="Times New Roman"/>
          <w:b/>
          <w:spacing w:val="-3"/>
          <w:lang w:val="es-ES_tradnl"/>
        </w:rPr>
        <w:t>criterio de interpretación</w:t>
      </w:r>
      <w:r w:rsidRPr="00E316B4">
        <w:rPr>
          <w:rFonts w:ascii="Times New Roman" w:hAnsi="Times New Roman" w:cs="Times New Roman"/>
          <w:spacing w:val="-3"/>
          <w:lang w:val="es-ES_tradnl"/>
        </w:rPr>
        <w:t xml:space="preserve"> de las demás fuentes del Derecho comunitario. </w:t>
      </w:r>
    </w:p>
    <w:p w14:paraId="2D5487EA"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Como principios que emanan de forma expresa de los Tratados básicos cabe citar el de no discriminación entre los nacionales de los Estados miembros, el de libertad de circulación, el de unidad de mercado, o el de libre competencia.</w:t>
      </w:r>
    </w:p>
    <w:p w14:paraId="1EEEE61D" w14:textId="77777777" w:rsidR="00080748" w:rsidRPr="00E316B4" w:rsidRDefault="00A276F4" w:rsidP="00472CD4">
      <w:pPr>
        <w:spacing w:line="360" w:lineRule="auto"/>
        <w:ind w:left="-142"/>
        <w:jc w:val="both"/>
        <w:outlineLvl w:val="0"/>
        <w:rPr>
          <w:rFonts w:ascii="Times New Roman" w:hAnsi="Times New Roman" w:cs="Times New Roman"/>
          <w:spacing w:val="-3"/>
          <w:lang w:val="es-ES_tradnl"/>
        </w:rPr>
      </w:pPr>
      <w:r w:rsidRPr="00E316B4">
        <w:rPr>
          <w:rFonts w:ascii="Times New Roman" w:hAnsi="Times New Roman" w:cs="Times New Roman"/>
          <w:b/>
          <w:spacing w:val="-3"/>
          <w:lang w:val="es-ES_tradnl"/>
        </w:rPr>
        <w:t>D Y E) Derecho internacional comunitario y</w:t>
      </w:r>
      <w:r w:rsidRPr="00E316B4">
        <w:rPr>
          <w:rFonts w:ascii="Times New Roman" w:hAnsi="Times New Roman" w:cs="Times New Roman"/>
          <w:spacing w:val="-3"/>
          <w:lang w:val="es-ES_tradnl"/>
        </w:rPr>
        <w:t xml:space="preserve"> </w:t>
      </w:r>
      <w:r w:rsidR="00215FC3" w:rsidRPr="00E316B4">
        <w:rPr>
          <w:rFonts w:ascii="Times New Roman" w:hAnsi="Times New Roman" w:cs="Times New Roman"/>
          <w:spacing w:val="-3"/>
          <w:lang w:val="es-ES_tradnl"/>
        </w:rPr>
        <w:t xml:space="preserve"> </w:t>
      </w:r>
      <w:r w:rsidR="00215FC3" w:rsidRPr="00E316B4">
        <w:rPr>
          <w:rFonts w:ascii="Times New Roman" w:hAnsi="Times New Roman" w:cs="Times New Roman"/>
          <w:b/>
          <w:spacing w:val="-3"/>
          <w:lang w:val="es-ES_tradnl"/>
        </w:rPr>
        <w:t xml:space="preserve">Derecho complementario: </w:t>
      </w:r>
    </w:p>
    <w:p w14:paraId="4DFEB2A9" w14:textId="77777777" w:rsidR="00215FC3" w:rsidRPr="00E316B4" w:rsidRDefault="00215FC3"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bCs/>
          <w:spacing w:val="-3"/>
          <w:lang w:val="es-ES_tradnl"/>
        </w:rPr>
        <w:t>1.Los acuerdos concluidos por los Estados miembros entre sí, destinados a regular determinados aspectos de interés comunitario. Entre ellos cabe citar el Convenio sobre reconocimiento mutuo de sociedades y demás personas jurídicas, y el Convenio sobre jurisdicción y ejecución de sentencias en materia mercantil.</w:t>
      </w:r>
    </w:p>
    <w:p w14:paraId="3F18EC37" w14:textId="77777777" w:rsidR="00215FC3" w:rsidRPr="00E316B4" w:rsidRDefault="00215FC3" w:rsidP="00C67074">
      <w:pPr>
        <w:spacing w:line="360" w:lineRule="auto"/>
        <w:ind w:left="-142"/>
        <w:jc w:val="both"/>
        <w:rPr>
          <w:rFonts w:ascii="Times New Roman" w:hAnsi="Times New Roman" w:cs="Times New Roman"/>
          <w:bCs/>
          <w:spacing w:val="-3"/>
          <w:lang w:val="es-ES_tradnl"/>
        </w:rPr>
      </w:pPr>
      <w:r w:rsidRPr="00E316B4">
        <w:rPr>
          <w:rFonts w:ascii="Times New Roman" w:hAnsi="Times New Roman" w:cs="Times New Roman"/>
          <w:bCs/>
          <w:spacing w:val="-3"/>
          <w:lang w:val="es-ES_tradnl"/>
        </w:rPr>
        <w:t>2. Los acuerdos y decisiones de los representantes de los Estados miembros reunidos en el Consejo. En algunos casos, reunido el Consejo de la UE, surge un asunto que excede del ámbito de competencia de la UE, en cuyo caso los representantes de los Estados se reúnen en conferencia diplomática y adoptan los acuerdos correspondientes.</w:t>
      </w:r>
    </w:p>
    <w:p w14:paraId="3A2AC642" w14:textId="77777777" w:rsidR="00680F4A" w:rsidRPr="00E316B4" w:rsidRDefault="00215FC3" w:rsidP="00680F4A">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bCs/>
          <w:spacing w:val="-3"/>
          <w:lang w:val="es-ES_tradnl"/>
        </w:rPr>
        <w:t>3. Los acuerdos concluidos por la UE con terceros.</w:t>
      </w:r>
      <w:r w:rsidRPr="00E316B4">
        <w:rPr>
          <w:rFonts w:ascii="Times New Roman" w:hAnsi="Times New Roman" w:cs="Times New Roman"/>
          <w:spacing w:val="-3"/>
          <w:lang w:val="es-ES_tradnl"/>
        </w:rPr>
        <w:t xml:space="preserve"> Estos Acuerdos, serán </w:t>
      </w:r>
      <w:r w:rsidRPr="00E316B4">
        <w:rPr>
          <w:rFonts w:ascii="Times New Roman" w:hAnsi="Times New Roman" w:cs="Times New Roman"/>
          <w:b/>
          <w:spacing w:val="-3"/>
          <w:lang w:val="es-ES_tradnl"/>
        </w:rPr>
        <w:t>vinculantes tanto para las instituciones de la Unión como para los Estados miembros</w:t>
      </w:r>
      <w:r w:rsidRPr="00E316B4">
        <w:rPr>
          <w:rFonts w:ascii="Times New Roman" w:hAnsi="Times New Roman" w:cs="Times New Roman"/>
          <w:spacing w:val="-3"/>
          <w:lang w:val="es-ES_tradnl"/>
        </w:rPr>
        <w:t>.</w:t>
      </w:r>
    </w:p>
    <w:p w14:paraId="1604A85F" w14:textId="77777777" w:rsidR="00A276F4" w:rsidRPr="00E316B4" w:rsidRDefault="00A276F4" w:rsidP="00680F4A">
      <w:pPr>
        <w:spacing w:line="360" w:lineRule="auto"/>
        <w:ind w:left="-142"/>
        <w:jc w:val="both"/>
        <w:rPr>
          <w:rFonts w:ascii="Times New Roman" w:hAnsi="Times New Roman" w:cs="Times New Roman"/>
          <w:b/>
          <w:bCs/>
          <w:spacing w:val="-3"/>
          <w:lang w:val="es-ES_tradnl"/>
        </w:rPr>
      </w:pPr>
    </w:p>
    <w:p w14:paraId="4BBC088C" w14:textId="77777777" w:rsidR="003B6CC5" w:rsidRPr="00E316B4" w:rsidRDefault="00215FC3" w:rsidP="00472CD4">
      <w:pPr>
        <w:spacing w:line="360" w:lineRule="auto"/>
        <w:ind w:left="-142"/>
        <w:jc w:val="both"/>
        <w:outlineLvl w:val="0"/>
        <w:rPr>
          <w:rFonts w:ascii="Times New Roman" w:hAnsi="Times New Roman" w:cs="Times New Roman"/>
          <w:spacing w:val="-3"/>
          <w:lang w:val="es-ES_tradnl"/>
        </w:rPr>
      </w:pPr>
      <w:r w:rsidRPr="00E316B4">
        <w:rPr>
          <w:rFonts w:ascii="Times New Roman" w:hAnsi="Times New Roman" w:cs="Times New Roman"/>
          <w:b/>
          <w:bCs/>
          <w:spacing w:val="-3"/>
          <w:lang w:val="es-ES_tradnl"/>
        </w:rPr>
        <w:t>La Jurisprudencia.</w:t>
      </w:r>
      <w:r w:rsidR="00C8773D" w:rsidRPr="00E316B4">
        <w:rPr>
          <w:rFonts w:ascii="Times New Roman" w:hAnsi="Times New Roman" w:cs="Times New Roman"/>
          <w:b/>
          <w:bCs/>
          <w:spacing w:val="-3"/>
          <w:lang w:val="es-ES_tradnl"/>
        </w:rPr>
        <w:t xml:space="preserve"> </w:t>
      </w:r>
      <w:r w:rsidR="00080748" w:rsidRPr="00E316B4">
        <w:rPr>
          <w:rFonts w:ascii="Times New Roman" w:hAnsi="Times New Roman" w:cs="Times New Roman"/>
          <w:b/>
          <w:bCs/>
          <w:spacing w:val="-3"/>
          <w:lang w:val="es-ES_tradnl"/>
        </w:rPr>
        <w:t>( remisión ultimo epígrafe)</w:t>
      </w:r>
    </w:p>
    <w:p w14:paraId="3C0C755B" w14:textId="77777777" w:rsidR="00F811EA" w:rsidRPr="00E316B4" w:rsidRDefault="00F811EA" w:rsidP="00957E1C">
      <w:pPr>
        <w:spacing w:line="360" w:lineRule="auto"/>
        <w:jc w:val="both"/>
        <w:rPr>
          <w:rFonts w:ascii="Times New Roman" w:hAnsi="Times New Roman" w:cs="Times New Roman"/>
          <w:b/>
        </w:rPr>
      </w:pPr>
    </w:p>
    <w:p w14:paraId="6E228C62" w14:textId="6DA4728A" w:rsidR="00E316B4" w:rsidRPr="00302746" w:rsidRDefault="00A50819" w:rsidP="00C67074">
      <w:pPr>
        <w:spacing w:line="360" w:lineRule="auto"/>
        <w:ind w:left="-142"/>
        <w:jc w:val="both"/>
        <w:rPr>
          <w:rFonts w:ascii="Times New Roman" w:hAnsi="Times New Roman" w:cs="Times New Roman"/>
          <w:b/>
          <w:bCs/>
        </w:rPr>
      </w:pPr>
      <w:r w:rsidRPr="00302746">
        <w:rPr>
          <w:rFonts w:ascii="Times New Roman" w:hAnsi="Times New Roman" w:cs="Times New Roman"/>
          <w:b/>
          <w:bCs/>
        </w:rPr>
        <w:t xml:space="preserve">PRINCIPIOS DE APLICACIÓN: </w:t>
      </w:r>
      <w:r w:rsidR="00E316B4" w:rsidRPr="00302746">
        <w:rPr>
          <w:rFonts w:ascii="Times New Roman" w:hAnsi="Times New Roman" w:cs="Times New Roman"/>
          <w:b/>
          <w:bCs/>
        </w:rPr>
        <w:t>PRIMACÍA, EFICACIA DIRECTA Y RESPONSABILIDAD DE LOS ESTADOS MIEMBROS POR INCUMPLIMIENTO DEL DERECHO COMUNITARIO</w:t>
      </w:r>
    </w:p>
    <w:p w14:paraId="048A7BCD" w14:textId="77777777" w:rsidR="00E05978" w:rsidRPr="00E316B4" w:rsidRDefault="00E05978" w:rsidP="00302746">
      <w:pPr>
        <w:spacing w:line="360" w:lineRule="auto"/>
        <w:ind w:left="-142"/>
        <w:jc w:val="both"/>
        <w:outlineLvl w:val="0"/>
        <w:rPr>
          <w:rFonts w:ascii="Times New Roman" w:hAnsi="Times New Roman" w:cs="Times New Roman"/>
          <w:b/>
          <w:u w:val="single"/>
        </w:rPr>
      </w:pPr>
      <w:r w:rsidRPr="00E316B4">
        <w:rPr>
          <w:rFonts w:ascii="Times New Roman" w:hAnsi="Times New Roman" w:cs="Times New Roman"/>
          <w:b/>
          <w:u w:val="single"/>
        </w:rPr>
        <w:t>Principio de primacía</w:t>
      </w:r>
    </w:p>
    <w:p w14:paraId="4FBC188D" w14:textId="77777777" w:rsidR="003B6CC5" w:rsidRPr="00E316B4" w:rsidRDefault="003B6CC5" w:rsidP="00C67074">
      <w:pPr>
        <w:spacing w:line="360" w:lineRule="auto"/>
        <w:ind w:left="-142"/>
        <w:jc w:val="both"/>
        <w:rPr>
          <w:rFonts w:ascii="Times New Roman" w:hAnsi="Times New Roman" w:cs="Times New Roman"/>
        </w:rPr>
      </w:pPr>
      <w:r w:rsidRPr="00E316B4">
        <w:rPr>
          <w:rFonts w:ascii="Times New Roman" w:hAnsi="Times New Roman" w:cs="Times New Roman"/>
        </w:rPr>
        <w:t>La primacía del Derecho de la Unión no se sustenta en la constitución de los Estados miembros, sino en la naturaleza y caracteres específicos de la Unión. La construcción jurisprudencial de este principio tiene sus sólidos cimientos en la S</w:t>
      </w:r>
      <w:r w:rsidR="00DC5A87" w:rsidRPr="00E316B4">
        <w:rPr>
          <w:rFonts w:ascii="Times New Roman" w:hAnsi="Times New Roman" w:cs="Times New Roman"/>
        </w:rPr>
        <w:t xml:space="preserve">entencia Costa c. Enel de 1964, que alcanzó su firmeza en la Sentencia </w:t>
      </w:r>
      <w:proofErr w:type="spellStart"/>
      <w:r w:rsidR="00DC5A87" w:rsidRPr="00E316B4">
        <w:rPr>
          <w:rFonts w:ascii="Times New Roman" w:hAnsi="Times New Roman" w:cs="Times New Roman"/>
        </w:rPr>
        <w:t>Simmenthal</w:t>
      </w:r>
      <w:proofErr w:type="spellEnd"/>
      <w:r w:rsidR="00DC5A87" w:rsidRPr="00E316B4">
        <w:rPr>
          <w:rFonts w:ascii="Times New Roman" w:hAnsi="Times New Roman" w:cs="Times New Roman"/>
        </w:rPr>
        <w:t xml:space="preserve">. </w:t>
      </w:r>
    </w:p>
    <w:p w14:paraId="61EAE02A" w14:textId="77777777" w:rsidR="00411D20" w:rsidRPr="00E316B4" w:rsidRDefault="00DC5A87" w:rsidP="00F811EA">
      <w:pPr>
        <w:spacing w:line="360" w:lineRule="auto"/>
        <w:ind w:left="-142"/>
        <w:jc w:val="both"/>
        <w:rPr>
          <w:rFonts w:ascii="Times New Roman" w:hAnsi="Times New Roman" w:cs="Times New Roman"/>
        </w:rPr>
      </w:pPr>
      <w:r w:rsidRPr="00E316B4">
        <w:rPr>
          <w:rFonts w:ascii="Times New Roman" w:hAnsi="Times New Roman" w:cs="Times New Roman"/>
        </w:rPr>
        <w:lastRenderedPageBreak/>
        <w:t xml:space="preserve">Según la doctrina del TJUE, el principio de </w:t>
      </w:r>
      <w:r w:rsidR="00F811EA" w:rsidRPr="00E316B4">
        <w:rPr>
          <w:rFonts w:ascii="Times New Roman" w:hAnsi="Times New Roman" w:cs="Times New Roman"/>
        </w:rPr>
        <w:t>primacía</w:t>
      </w:r>
      <w:r w:rsidRPr="00E316B4">
        <w:rPr>
          <w:rFonts w:ascii="Times New Roman" w:hAnsi="Times New Roman" w:cs="Times New Roman"/>
        </w:rPr>
        <w:t xml:space="preserve"> produce los siguientes efectos:</w:t>
      </w:r>
    </w:p>
    <w:p w14:paraId="0AA693F0" w14:textId="77777777" w:rsidR="00DC5A87" w:rsidRPr="00E316B4" w:rsidRDefault="00F811EA" w:rsidP="00C67074">
      <w:pPr>
        <w:spacing w:line="360" w:lineRule="auto"/>
        <w:ind w:left="-142"/>
        <w:jc w:val="both"/>
        <w:rPr>
          <w:rFonts w:ascii="Times New Roman" w:hAnsi="Times New Roman" w:cs="Times New Roman"/>
          <w:i/>
        </w:rPr>
      </w:pPr>
      <w:r w:rsidRPr="00E316B4">
        <w:rPr>
          <w:rFonts w:ascii="Times New Roman" w:hAnsi="Times New Roman" w:cs="Times New Roman"/>
          <w:i/>
        </w:rPr>
        <w:t>1º S</w:t>
      </w:r>
      <w:r w:rsidR="00DC5A87" w:rsidRPr="00E316B4">
        <w:rPr>
          <w:rFonts w:ascii="Times New Roman" w:hAnsi="Times New Roman" w:cs="Times New Roman"/>
          <w:i/>
        </w:rPr>
        <w:t>i la norma interna incompatible es anterior a la norma de la Unión, esta hace inaplicable de pleno derecho, desde su entrada en vigor, toda disposición contraria de la legislación nacional.</w:t>
      </w:r>
    </w:p>
    <w:p w14:paraId="33860826" w14:textId="77777777" w:rsidR="00DC5A87" w:rsidRPr="00E316B4" w:rsidRDefault="00F811EA" w:rsidP="00C67074">
      <w:pPr>
        <w:spacing w:line="360" w:lineRule="auto"/>
        <w:ind w:left="-142"/>
        <w:jc w:val="both"/>
        <w:rPr>
          <w:rFonts w:ascii="Times New Roman" w:hAnsi="Times New Roman" w:cs="Times New Roman"/>
          <w:i/>
        </w:rPr>
      </w:pPr>
      <w:r w:rsidRPr="00E316B4">
        <w:rPr>
          <w:rFonts w:ascii="Times New Roman" w:hAnsi="Times New Roman" w:cs="Times New Roman"/>
          <w:i/>
        </w:rPr>
        <w:t>2º S</w:t>
      </w:r>
      <w:r w:rsidR="00DC5A87" w:rsidRPr="00E316B4">
        <w:rPr>
          <w:rFonts w:ascii="Times New Roman" w:hAnsi="Times New Roman" w:cs="Times New Roman"/>
          <w:i/>
        </w:rPr>
        <w:t>i la norma interna incompatible es posterior a la norma de</w:t>
      </w:r>
      <w:r w:rsidRPr="00E316B4">
        <w:rPr>
          <w:rFonts w:ascii="Times New Roman" w:hAnsi="Times New Roman" w:cs="Times New Roman"/>
          <w:i/>
        </w:rPr>
        <w:t xml:space="preserve"> la Unión, la vigencia de esta última impide la formación vá</w:t>
      </w:r>
      <w:r w:rsidR="00DC5A87" w:rsidRPr="00E316B4">
        <w:rPr>
          <w:rFonts w:ascii="Times New Roman" w:hAnsi="Times New Roman" w:cs="Times New Roman"/>
          <w:i/>
        </w:rPr>
        <w:t>lida de nuevos actos legislativos nacionales en la medida en que fueran incompatibles con las normas comunitarias.</w:t>
      </w:r>
    </w:p>
    <w:p w14:paraId="37F368DB" w14:textId="77777777" w:rsidR="00DC5A87" w:rsidRPr="00E316B4" w:rsidRDefault="00DC5A87" w:rsidP="00C67074">
      <w:pPr>
        <w:spacing w:line="360" w:lineRule="auto"/>
        <w:ind w:left="-142"/>
        <w:jc w:val="both"/>
        <w:rPr>
          <w:rFonts w:ascii="Times New Roman" w:hAnsi="Times New Roman" w:cs="Times New Roman"/>
          <w:i/>
        </w:rPr>
      </w:pPr>
      <w:r w:rsidRPr="00E316B4">
        <w:rPr>
          <w:rFonts w:ascii="Times New Roman" w:hAnsi="Times New Roman" w:cs="Times New Roman"/>
          <w:i/>
        </w:rPr>
        <w:t>3º Ya sea la norma interna incompatible, anterior o posterior, el órgano judicial</w:t>
      </w:r>
      <w:r w:rsidR="00411D20" w:rsidRPr="00E316B4">
        <w:rPr>
          <w:rFonts w:ascii="Times New Roman" w:hAnsi="Times New Roman" w:cs="Times New Roman"/>
          <w:i/>
        </w:rPr>
        <w:t xml:space="preserve"> que esté conociendo del litigio</w:t>
      </w:r>
      <w:r w:rsidRPr="00E316B4">
        <w:rPr>
          <w:rFonts w:ascii="Times New Roman" w:hAnsi="Times New Roman" w:cs="Times New Roman"/>
          <w:i/>
        </w:rPr>
        <w:t xml:space="preserve"> </w:t>
      </w:r>
      <w:r w:rsidR="00411D20" w:rsidRPr="00E316B4">
        <w:rPr>
          <w:rFonts w:ascii="Times New Roman" w:hAnsi="Times New Roman" w:cs="Times New Roman"/>
          <w:i/>
        </w:rPr>
        <w:t>no debe esperar a que la norma interna sea derogada, sino que la inaplicará de oficio.</w:t>
      </w:r>
    </w:p>
    <w:p w14:paraId="100A653D" w14:textId="77777777" w:rsidR="00411D20" w:rsidRPr="00E316B4" w:rsidRDefault="00411D20" w:rsidP="00C67074">
      <w:pPr>
        <w:spacing w:line="360" w:lineRule="auto"/>
        <w:ind w:left="-142"/>
        <w:jc w:val="both"/>
        <w:rPr>
          <w:rFonts w:ascii="Times New Roman" w:hAnsi="Times New Roman" w:cs="Times New Roman"/>
        </w:rPr>
      </w:pPr>
      <w:r w:rsidRPr="00E316B4">
        <w:rPr>
          <w:rFonts w:ascii="Times New Roman" w:hAnsi="Times New Roman" w:cs="Times New Roman"/>
        </w:rPr>
        <w:t>Para concluir, a propósito, de este principio, el TC dejó claro en la Declaración 1/2004 que no colisiona con el principio de SUPREMACÍA de la Constitución española.</w:t>
      </w:r>
    </w:p>
    <w:p w14:paraId="79DA9A2A" w14:textId="738FB10D" w:rsidR="00080748" w:rsidRDefault="00080748" w:rsidP="00C67074">
      <w:pPr>
        <w:spacing w:line="360" w:lineRule="auto"/>
        <w:ind w:left="-142"/>
        <w:jc w:val="both"/>
        <w:rPr>
          <w:rFonts w:ascii="Times New Roman" w:hAnsi="Times New Roman" w:cs="Times New Roman"/>
          <w:b/>
        </w:rPr>
      </w:pPr>
    </w:p>
    <w:p w14:paraId="6A884552" w14:textId="77777777" w:rsidR="00302746" w:rsidRPr="00E316B4" w:rsidRDefault="00302746" w:rsidP="00C67074">
      <w:pPr>
        <w:spacing w:line="360" w:lineRule="auto"/>
        <w:ind w:left="-142"/>
        <w:jc w:val="both"/>
        <w:rPr>
          <w:rFonts w:ascii="Times New Roman" w:hAnsi="Times New Roman" w:cs="Times New Roman"/>
          <w:b/>
        </w:rPr>
      </w:pPr>
    </w:p>
    <w:p w14:paraId="525948A0" w14:textId="77777777" w:rsidR="00E05978" w:rsidRPr="00E316B4" w:rsidRDefault="00E05978" w:rsidP="00302746">
      <w:pPr>
        <w:spacing w:line="360" w:lineRule="auto"/>
        <w:ind w:left="-142"/>
        <w:jc w:val="both"/>
        <w:outlineLvl w:val="0"/>
        <w:rPr>
          <w:rFonts w:ascii="Times New Roman" w:hAnsi="Times New Roman" w:cs="Times New Roman"/>
          <w:b/>
        </w:rPr>
      </w:pPr>
      <w:r w:rsidRPr="00E316B4">
        <w:rPr>
          <w:rFonts w:ascii="Times New Roman" w:hAnsi="Times New Roman" w:cs="Times New Roman"/>
          <w:b/>
        </w:rPr>
        <w:t>Principio de eficacia directa del Derecho de la Unión</w:t>
      </w:r>
    </w:p>
    <w:p w14:paraId="4643F645" w14:textId="77777777" w:rsidR="00E05978" w:rsidRPr="00E316B4" w:rsidRDefault="00E05978" w:rsidP="00472CD4">
      <w:pPr>
        <w:spacing w:line="360" w:lineRule="auto"/>
        <w:ind w:left="-142"/>
        <w:jc w:val="both"/>
        <w:outlineLvl w:val="0"/>
        <w:rPr>
          <w:rFonts w:ascii="Times New Roman" w:hAnsi="Times New Roman" w:cs="Times New Roman"/>
          <w:u w:val="single"/>
        </w:rPr>
      </w:pPr>
      <w:r w:rsidRPr="00E316B4">
        <w:rPr>
          <w:rFonts w:ascii="Times New Roman" w:hAnsi="Times New Roman" w:cs="Times New Roman"/>
          <w:u w:val="single"/>
        </w:rPr>
        <w:t>Concepto</w:t>
      </w:r>
    </w:p>
    <w:p w14:paraId="384B8E3B" w14:textId="457FD198" w:rsidR="00E05978" w:rsidRPr="00E316B4" w:rsidRDefault="00E05978" w:rsidP="00C67074">
      <w:pPr>
        <w:spacing w:line="360" w:lineRule="auto"/>
        <w:ind w:left="-142"/>
        <w:jc w:val="both"/>
        <w:rPr>
          <w:rFonts w:ascii="Times New Roman" w:hAnsi="Times New Roman" w:cs="Times New Roman"/>
        </w:rPr>
      </w:pPr>
      <w:r w:rsidRPr="00E316B4">
        <w:rPr>
          <w:rFonts w:ascii="Times New Roman" w:hAnsi="Times New Roman" w:cs="Times New Roman"/>
        </w:rPr>
        <w:t>Eficacia directa de las normas de la Unión significa que pueden desplegar po</w:t>
      </w:r>
      <w:r w:rsidR="00F811EA" w:rsidRPr="00E316B4">
        <w:rPr>
          <w:rFonts w:ascii="Times New Roman" w:hAnsi="Times New Roman" w:cs="Times New Roman"/>
        </w:rPr>
        <w:t>r sí</w:t>
      </w:r>
      <w:r w:rsidRPr="00E316B4">
        <w:rPr>
          <w:rFonts w:ascii="Times New Roman" w:hAnsi="Times New Roman" w:cs="Times New Roman"/>
        </w:rPr>
        <w:t xml:space="preserve"> mismas plenitud de efectos de manera uniforme en todos los Estados miembros a partir de su entrada en vigor y durante toda la duración de su validez. </w:t>
      </w:r>
      <w:r w:rsidR="00F811EA" w:rsidRPr="00E316B4">
        <w:rPr>
          <w:rFonts w:ascii="Times New Roman" w:hAnsi="Times New Roman" w:cs="Times New Roman"/>
        </w:rPr>
        <w:t>En consecuencia</w:t>
      </w:r>
      <w:r w:rsidRPr="00E316B4">
        <w:rPr>
          <w:rFonts w:ascii="Times New Roman" w:hAnsi="Times New Roman" w:cs="Times New Roman"/>
        </w:rPr>
        <w:t xml:space="preserve">, crean derechos y obligaciones </w:t>
      </w:r>
      <w:r w:rsidR="00A4338D" w:rsidRPr="00E316B4">
        <w:rPr>
          <w:rFonts w:ascii="Times New Roman" w:hAnsi="Times New Roman" w:cs="Times New Roman"/>
        </w:rPr>
        <w:t>directamente en la esfera jurídica de los particulares.</w:t>
      </w:r>
    </w:p>
    <w:p w14:paraId="459C4D1E" w14:textId="1BD4268D" w:rsidR="00E05978" w:rsidRPr="00E316B4" w:rsidRDefault="00E05978" w:rsidP="00C67074">
      <w:pPr>
        <w:spacing w:line="360" w:lineRule="auto"/>
        <w:ind w:left="-142"/>
        <w:jc w:val="both"/>
        <w:rPr>
          <w:rFonts w:ascii="Times New Roman" w:hAnsi="Times New Roman" w:cs="Times New Roman"/>
        </w:rPr>
      </w:pPr>
      <w:r w:rsidRPr="00E316B4">
        <w:rPr>
          <w:rFonts w:ascii="Times New Roman" w:hAnsi="Times New Roman" w:cs="Times New Roman"/>
        </w:rPr>
        <w:t xml:space="preserve">La noción de eficacia directa tiene un origen jurisprudencial en la sentencia VAN GEND EN LOOS, de 5 de febrero de 1963, donde el Tribunal de Justicia sentó doctrina </w:t>
      </w:r>
      <w:r w:rsidR="00215FC3" w:rsidRPr="00E316B4">
        <w:rPr>
          <w:rFonts w:ascii="Times New Roman" w:hAnsi="Times New Roman" w:cs="Times New Roman"/>
        </w:rPr>
        <w:t>estableciendo</w:t>
      </w:r>
      <w:r w:rsidRPr="00E316B4">
        <w:rPr>
          <w:rFonts w:ascii="Times New Roman" w:hAnsi="Times New Roman" w:cs="Times New Roman"/>
        </w:rPr>
        <w:t xml:space="preserve"> que, a la luz d</w:t>
      </w:r>
      <w:r w:rsidR="00A4338D" w:rsidRPr="00E316B4">
        <w:rPr>
          <w:rFonts w:ascii="Times New Roman" w:hAnsi="Times New Roman" w:cs="Times New Roman"/>
        </w:rPr>
        <w:t>el principio del efecto directo, cabe distinguir:</w:t>
      </w:r>
    </w:p>
    <w:p w14:paraId="18475004" w14:textId="6D27AD52" w:rsidR="00E05978" w:rsidRPr="00F973F6" w:rsidRDefault="00A4338D" w:rsidP="00F973F6">
      <w:pPr>
        <w:pStyle w:val="Prrafodelista"/>
        <w:numPr>
          <w:ilvl w:val="0"/>
          <w:numId w:val="40"/>
        </w:numPr>
        <w:spacing w:line="360" w:lineRule="auto"/>
        <w:jc w:val="both"/>
        <w:rPr>
          <w:rFonts w:ascii="Times New Roman" w:hAnsi="Times New Roman" w:cs="Times New Roman"/>
        </w:rPr>
      </w:pPr>
      <w:r w:rsidRPr="00F973F6">
        <w:rPr>
          <w:rFonts w:ascii="Times New Roman" w:hAnsi="Times New Roman" w:cs="Times New Roman"/>
        </w:rPr>
        <w:t xml:space="preserve">Eficacia directa en sentido </w:t>
      </w:r>
      <w:r w:rsidR="00D5621C" w:rsidRPr="00F973F6">
        <w:rPr>
          <w:rFonts w:ascii="Times New Roman" w:hAnsi="Times New Roman" w:cs="Times New Roman"/>
        </w:rPr>
        <w:t>horizontal</w:t>
      </w:r>
      <w:r w:rsidRPr="00F973F6">
        <w:rPr>
          <w:rFonts w:ascii="Times New Roman" w:hAnsi="Times New Roman" w:cs="Times New Roman"/>
        </w:rPr>
        <w:t xml:space="preserve">: </w:t>
      </w:r>
      <w:r w:rsidR="00D5621C" w:rsidRPr="00F973F6">
        <w:rPr>
          <w:rFonts w:ascii="Times New Roman" w:hAnsi="Times New Roman" w:cs="Times New Roman"/>
        </w:rPr>
        <w:t xml:space="preserve">todo particular puede frente a otros particulares hacer valer </w:t>
      </w:r>
      <w:r w:rsidR="00957E1C" w:rsidRPr="00F973F6">
        <w:rPr>
          <w:rFonts w:ascii="Times New Roman" w:hAnsi="Times New Roman" w:cs="Times New Roman"/>
        </w:rPr>
        <w:t>las normas</w:t>
      </w:r>
      <w:r w:rsidR="00D5621C" w:rsidRPr="00F973F6">
        <w:rPr>
          <w:rFonts w:ascii="Times New Roman" w:hAnsi="Times New Roman" w:cs="Times New Roman"/>
        </w:rPr>
        <w:t xml:space="preserve"> de los Unión </w:t>
      </w:r>
      <w:r w:rsidR="00957E1C" w:rsidRPr="00F973F6">
        <w:rPr>
          <w:rFonts w:ascii="Times New Roman" w:hAnsi="Times New Roman" w:cs="Times New Roman"/>
        </w:rPr>
        <w:t>que produzcan</w:t>
      </w:r>
      <w:r w:rsidR="00D5621C" w:rsidRPr="00F973F6">
        <w:rPr>
          <w:rFonts w:ascii="Times New Roman" w:hAnsi="Times New Roman" w:cs="Times New Roman"/>
        </w:rPr>
        <w:t xml:space="preserve"> </w:t>
      </w:r>
      <w:r w:rsidR="00E05978" w:rsidRPr="00F973F6">
        <w:rPr>
          <w:rFonts w:ascii="Times New Roman" w:hAnsi="Times New Roman" w:cs="Times New Roman"/>
        </w:rPr>
        <w:t xml:space="preserve">efectos jurídicos </w:t>
      </w:r>
      <w:r w:rsidR="00E05978" w:rsidRPr="00F973F6">
        <w:rPr>
          <w:rFonts w:ascii="Times New Roman" w:hAnsi="Times New Roman" w:cs="Times New Roman"/>
          <w:b/>
        </w:rPr>
        <w:t>inmediatos</w:t>
      </w:r>
      <w:r w:rsidR="00E05978" w:rsidRPr="00F973F6">
        <w:rPr>
          <w:rFonts w:ascii="Times New Roman" w:hAnsi="Times New Roman" w:cs="Times New Roman"/>
        </w:rPr>
        <w:t>, por sí mismas, sin precisar de normas nacionales para su aplicación</w:t>
      </w:r>
      <w:r w:rsidR="00D5621C" w:rsidRPr="00F973F6">
        <w:rPr>
          <w:rFonts w:ascii="Times New Roman" w:hAnsi="Times New Roman" w:cs="Times New Roman"/>
        </w:rPr>
        <w:t>.</w:t>
      </w:r>
    </w:p>
    <w:p w14:paraId="02D57450" w14:textId="5A7683AD" w:rsidR="00E05978" w:rsidRPr="00F973F6" w:rsidRDefault="00A4338D" w:rsidP="00F973F6">
      <w:pPr>
        <w:pStyle w:val="Prrafodelista"/>
        <w:numPr>
          <w:ilvl w:val="0"/>
          <w:numId w:val="40"/>
        </w:numPr>
        <w:spacing w:line="360" w:lineRule="auto"/>
        <w:jc w:val="both"/>
        <w:rPr>
          <w:rFonts w:ascii="Times New Roman" w:hAnsi="Times New Roman" w:cs="Times New Roman"/>
        </w:rPr>
      </w:pPr>
      <w:r w:rsidRPr="00F973F6">
        <w:rPr>
          <w:rFonts w:ascii="Times New Roman" w:hAnsi="Times New Roman" w:cs="Times New Roman"/>
        </w:rPr>
        <w:t xml:space="preserve">Eficacia directa en sentido </w:t>
      </w:r>
      <w:r w:rsidR="00D5621C" w:rsidRPr="00F973F6">
        <w:rPr>
          <w:rFonts w:ascii="Times New Roman" w:hAnsi="Times New Roman" w:cs="Times New Roman"/>
        </w:rPr>
        <w:t>vertical</w:t>
      </w:r>
      <w:r w:rsidRPr="00F973F6">
        <w:rPr>
          <w:rFonts w:ascii="Times New Roman" w:hAnsi="Times New Roman" w:cs="Times New Roman"/>
        </w:rPr>
        <w:t xml:space="preserve">: </w:t>
      </w:r>
      <w:r w:rsidR="00F811EA" w:rsidRPr="00F973F6">
        <w:rPr>
          <w:rFonts w:ascii="Times New Roman" w:hAnsi="Times New Roman" w:cs="Times New Roman"/>
        </w:rPr>
        <w:t>L</w:t>
      </w:r>
      <w:r w:rsidR="00E05978" w:rsidRPr="00F973F6">
        <w:rPr>
          <w:rFonts w:ascii="Times New Roman" w:hAnsi="Times New Roman" w:cs="Times New Roman"/>
        </w:rPr>
        <w:t>os particulares pueden hacer valer ante los poderes públicos nacionales los derechos que se deriven de las normas de la Unión, y dichos poderes deben asegurar el respeto a las obligaciones asumidas por los Estados en los Tratados.</w:t>
      </w:r>
    </w:p>
    <w:p w14:paraId="58CB0DC5" w14:textId="77777777" w:rsidR="00E316B4" w:rsidRDefault="00E316B4" w:rsidP="00472CD4">
      <w:pPr>
        <w:spacing w:line="360" w:lineRule="auto"/>
        <w:ind w:left="-142"/>
        <w:jc w:val="both"/>
        <w:outlineLvl w:val="0"/>
        <w:rPr>
          <w:rFonts w:ascii="Times New Roman" w:hAnsi="Times New Roman" w:cs="Times New Roman"/>
          <w:u w:val="single"/>
        </w:rPr>
      </w:pPr>
    </w:p>
    <w:p w14:paraId="00DC1F4E" w14:textId="77777777" w:rsidR="00E316B4" w:rsidRDefault="00E316B4" w:rsidP="00472CD4">
      <w:pPr>
        <w:spacing w:line="360" w:lineRule="auto"/>
        <w:ind w:left="-142"/>
        <w:jc w:val="both"/>
        <w:outlineLvl w:val="0"/>
        <w:rPr>
          <w:rFonts w:ascii="Times New Roman" w:hAnsi="Times New Roman" w:cs="Times New Roman"/>
          <w:u w:val="single"/>
        </w:rPr>
      </w:pPr>
    </w:p>
    <w:p w14:paraId="51DBBFC8" w14:textId="77777777" w:rsidR="00E05978" w:rsidRPr="00E316B4" w:rsidRDefault="00E05978" w:rsidP="00472CD4">
      <w:pPr>
        <w:spacing w:line="360" w:lineRule="auto"/>
        <w:ind w:left="-142"/>
        <w:jc w:val="both"/>
        <w:outlineLvl w:val="0"/>
        <w:rPr>
          <w:rFonts w:ascii="Times New Roman" w:hAnsi="Times New Roman" w:cs="Times New Roman"/>
          <w:u w:val="single"/>
        </w:rPr>
      </w:pPr>
      <w:r w:rsidRPr="00E316B4">
        <w:rPr>
          <w:rFonts w:ascii="Times New Roman" w:hAnsi="Times New Roman" w:cs="Times New Roman"/>
          <w:u w:val="single"/>
        </w:rPr>
        <w:lastRenderedPageBreak/>
        <w:t>Criterios para determinar la eficacia directa</w:t>
      </w:r>
    </w:p>
    <w:p w14:paraId="765947A1" w14:textId="77777777" w:rsidR="00E05978" w:rsidRPr="00E316B4" w:rsidRDefault="00E05978" w:rsidP="00C67074">
      <w:pPr>
        <w:spacing w:line="360" w:lineRule="auto"/>
        <w:ind w:left="-142"/>
        <w:jc w:val="both"/>
        <w:rPr>
          <w:rFonts w:ascii="Times New Roman" w:hAnsi="Times New Roman" w:cs="Times New Roman"/>
        </w:rPr>
      </w:pPr>
      <w:r w:rsidRPr="00E316B4">
        <w:rPr>
          <w:rFonts w:ascii="Times New Roman" w:hAnsi="Times New Roman" w:cs="Times New Roman"/>
        </w:rPr>
        <w:t xml:space="preserve">La calificación de norma de efecto directo es una operación compleja y casuística. </w:t>
      </w:r>
      <w:r w:rsidR="00215FC3" w:rsidRPr="00E316B4">
        <w:rPr>
          <w:rFonts w:ascii="Times New Roman" w:hAnsi="Times New Roman" w:cs="Times New Roman"/>
        </w:rPr>
        <w:t>La jurisprudencia del TJUE mantiene actualmente dos requisitos:</w:t>
      </w:r>
    </w:p>
    <w:p w14:paraId="5A1DD283" w14:textId="36D8A037" w:rsidR="00215FC3" w:rsidRPr="00F973F6" w:rsidRDefault="00F811EA" w:rsidP="00F973F6">
      <w:pPr>
        <w:pStyle w:val="Prrafodelista"/>
        <w:numPr>
          <w:ilvl w:val="0"/>
          <w:numId w:val="39"/>
        </w:numPr>
        <w:spacing w:line="360" w:lineRule="auto"/>
        <w:jc w:val="both"/>
        <w:rPr>
          <w:rFonts w:ascii="Times New Roman" w:hAnsi="Times New Roman" w:cs="Times New Roman"/>
        </w:rPr>
      </w:pPr>
      <w:r w:rsidRPr="00F973F6">
        <w:rPr>
          <w:rFonts w:ascii="Times New Roman" w:hAnsi="Times New Roman" w:cs="Times New Roman"/>
        </w:rPr>
        <w:t>Q</w:t>
      </w:r>
      <w:r w:rsidR="00215FC3" w:rsidRPr="00F973F6">
        <w:rPr>
          <w:rFonts w:ascii="Times New Roman" w:hAnsi="Times New Roman" w:cs="Times New Roman"/>
        </w:rPr>
        <w:t xml:space="preserve">ue la norma sea clara y precisa, </w:t>
      </w:r>
    </w:p>
    <w:p w14:paraId="4521E280" w14:textId="77777777" w:rsidR="00215FC3" w:rsidRPr="00F973F6" w:rsidRDefault="00F811EA" w:rsidP="00F973F6">
      <w:pPr>
        <w:pStyle w:val="Prrafodelista"/>
        <w:numPr>
          <w:ilvl w:val="0"/>
          <w:numId w:val="39"/>
        </w:numPr>
        <w:spacing w:line="360" w:lineRule="auto"/>
        <w:jc w:val="both"/>
        <w:rPr>
          <w:rFonts w:ascii="Times New Roman" w:hAnsi="Times New Roman" w:cs="Times New Roman"/>
        </w:rPr>
      </w:pPr>
      <w:r w:rsidRPr="00F973F6">
        <w:rPr>
          <w:rFonts w:ascii="Times New Roman" w:hAnsi="Times New Roman" w:cs="Times New Roman"/>
        </w:rPr>
        <w:t>Q</w:t>
      </w:r>
      <w:r w:rsidR="00215FC3" w:rsidRPr="00F973F6">
        <w:rPr>
          <w:rFonts w:ascii="Times New Roman" w:hAnsi="Times New Roman" w:cs="Times New Roman"/>
        </w:rPr>
        <w:t>ue su mandato sea incondicional, en el sentido de que no deje margen de apreciación discrecional a las autoridades publicas nacionales o a las instituciones de la Unión</w:t>
      </w:r>
    </w:p>
    <w:p w14:paraId="6C13F761" w14:textId="77777777" w:rsidR="00302746" w:rsidRDefault="00302746" w:rsidP="00472CD4">
      <w:pPr>
        <w:spacing w:line="360" w:lineRule="auto"/>
        <w:ind w:left="-142"/>
        <w:jc w:val="both"/>
        <w:outlineLvl w:val="0"/>
        <w:rPr>
          <w:rFonts w:ascii="Times New Roman" w:hAnsi="Times New Roman" w:cs="Times New Roman"/>
          <w:u w:val="single"/>
        </w:rPr>
      </w:pPr>
    </w:p>
    <w:p w14:paraId="3FFB2C74" w14:textId="08D84677" w:rsidR="00215FC3" w:rsidRPr="00E316B4" w:rsidRDefault="00215FC3" w:rsidP="00472CD4">
      <w:pPr>
        <w:spacing w:line="360" w:lineRule="auto"/>
        <w:ind w:left="-142"/>
        <w:jc w:val="both"/>
        <w:outlineLvl w:val="0"/>
        <w:rPr>
          <w:rFonts w:ascii="Times New Roman" w:hAnsi="Times New Roman" w:cs="Times New Roman"/>
          <w:u w:val="single"/>
        </w:rPr>
      </w:pPr>
      <w:r w:rsidRPr="00E316B4">
        <w:rPr>
          <w:rFonts w:ascii="Times New Roman" w:hAnsi="Times New Roman" w:cs="Times New Roman"/>
          <w:u w:val="single"/>
        </w:rPr>
        <w:t>Plenitu</w:t>
      </w:r>
      <w:r w:rsidR="00A261B8" w:rsidRPr="00E316B4">
        <w:rPr>
          <w:rFonts w:ascii="Times New Roman" w:hAnsi="Times New Roman" w:cs="Times New Roman"/>
          <w:u w:val="single"/>
        </w:rPr>
        <w:t xml:space="preserve">d de la eficacia directa de los </w:t>
      </w:r>
      <w:r w:rsidRPr="00E316B4">
        <w:rPr>
          <w:rFonts w:ascii="Times New Roman" w:hAnsi="Times New Roman" w:cs="Times New Roman"/>
          <w:u w:val="single"/>
        </w:rPr>
        <w:t>Reglamentos</w:t>
      </w:r>
      <w:r w:rsidR="003B6CC5" w:rsidRPr="00E316B4">
        <w:rPr>
          <w:rFonts w:ascii="Times New Roman" w:hAnsi="Times New Roman" w:cs="Times New Roman"/>
          <w:u w:val="single"/>
        </w:rPr>
        <w:t xml:space="preserve"> y Directivas</w:t>
      </w:r>
    </w:p>
    <w:p w14:paraId="21E543D2" w14:textId="77777777" w:rsidR="00A261B8" w:rsidRPr="00E316B4" w:rsidRDefault="00A261B8" w:rsidP="00F811EA">
      <w:pPr>
        <w:spacing w:line="360" w:lineRule="auto"/>
        <w:ind w:left="-142"/>
        <w:jc w:val="both"/>
        <w:rPr>
          <w:rFonts w:ascii="Times New Roman" w:hAnsi="Times New Roman" w:cs="Times New Roman"/>
        </w:rPr>
      </w:pPr>
      <w:r w:rsidRPr="00E316B4">
        <w:rPr>
          <w:rFonts w:ascii="Times New Roman" w:hAnsi="Times New Roman" w:cs="Times New Roman"/>
        </w:rPr>
        <w:t xml:space="preserve">Los efectos que producen reglamentos y directivas han sido ya examinados con carácter general. Pero procede ahora profundizar en el efecto más característico de las normas comunitarias, que es su aplicación directa. </w:t>
      </w:r>
    </w:p>
    <w:p w14:paraId="7367956B" w14:textId="77777777"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 Tratándose de Reglamentos, el efecto directo deriva de su propia naturaleza, ya que el propio art. 288 TFUE establece que éste será directamente aplicable.</w:t>
      </w:r>
    </w:p>
    <w:p w14:paraId="67DC2AAC" w14:textId="77777777"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 Mayores problemas plantea la eficacia directa de las Directivas, dado su carácter “flexible” (</w:t>
      </w:r>
      <w:proofErr w:type="spellStart"/>
      <w:r w:rsidRPr="00E316B4">
        <w:rPr>
          <w:rFonts w:ascii="Times New Roman" w:hAnsi="Times New Roman" w:cs="Times New Roman"/>
        </w:rPr>
        <w:t>soft</w:t>
      </w:r>
      <w:proofErr w:type="spellEnd"/>
      <w:r w:rsidRPr="00E316B4">
        <w:rPr>
          <w:rFonts w:ascii="Times New Roman" w:hAnsi="Times New Roman" w:cs="Times New Roman"/>
        </w:rPr>
        <w:t xml:space="preserve"> </w:t>
      </w:r>
      <w:proofErr w:type="spellStart"/>
      <w:r w:rsidRPr="00E316B4">
        <w:rPr>
          <w:rFonts w:ascii="Times New Roman" w:hAnsi="Times New Roman" w:cs="Times New Roman"/>
        </w:rPr>
        <w:t>law</w:t>
      </w:r>
      <w:proofErr w:type="spellEnd"/>
      <w:r w:rsidRPr="00E316B4">
        <w:rPr>
          <w:rFonts w:ascii="Times New Roman" w:hAnsi="Times New Roman" w:cs="Times New Roman"/>
        </w:rPr>
        <w:t>), ya que como reza el art. 288 TFUE deja libertad de forma de medios a los Estados miembros para su transposición.</w:t>
      </w:r>
    </w:p>
    <w:p w14:paraId="045DEB9E" w14:textId="77777777"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 xml:space="preserve">El efecto directo de las Directivas se recogió por vez primera en la Sentencia </w:t>
      </w:r>
      <w:proofErr w:type="spellStart"/>
      <w:r w:rsidRPr="00E316B4">
        <w:rPr>
          <w:rFonts w:ascii="Times New Roman" w:hAnsi="Times New Roman" w:cs="Times New Roman"/>
        </w:rPr>
        <w:t>Grad</w:t>
      </w:r>
      <w:proofErr w:type="spellEnd"/>
      <w:r w:rsidRPr="00E316B4">
        <w:rPr>
          <w:rFonts w:ascii="Times New Roman" w:hAnsi="Times New Roman" w:cs="Times New Roman"/>
        </w:rPr>
        <w:t xml:space="preserve"> de 6 de oc</w:t>
      </w:r>
      <w:r w:rsidR="00F811EA" w:rsidRPr="00E316B4">
        <w:rPr>
          <w:rFonts w:ascii="Times New Roman" w:hAnsi="Times New Roman" w:cs="Times New Roman"/>
        </w:rPr>
        <w:t>t</w:t>
      </w:r>
      <w:r w:rsidRPr="00E316B4">
        <w:rPr>
          <w:rFonts w:ascii="Times New Roman" w:hAnsi="Times New Roman" w:cs="Times New Roman"/>
        </w:rPr>
        <w:t>ubre 1970, y dado el desarrollo jurisprudencial de la misma, el Tribunal sólo ha atribuido efecto directo a las directivas cuando concurren estos dos requisitos:</w:t>
      </w:r>
    </w:p>
    <w:p w14:paraId="2224CBCA" w14:textId="2F872E9B"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a) Que haya vencido el plazo concedido a los estados miembros para la transposición</w:t>
      </w:r>
      <w:r w:rsidR="00D5621C" w:rsidRPr="00E316B4">
        <w:rPr>
          <w:rFonts w:ascii="Times New Roman" w:hAnsi="Times New Roman" w:cs="Times New Roman"/>
        </w:rPr>
        <w:t xml:space="preserve"> sin que se haya llevado a cabo o se haya hecho incorrectamente</w:t>
      </w:r>
      <w:r w:rsidRPr="00E316B4">
        <w:rPr>
          <w:rFonts w:ascii="Times New Roman" w:hAnsi="Times New Roman" w:cs="Times New Roman"/>
        </w:rPr>
        <w:t>.</w:t>
      </w:r>
    </w:p>
    <w:p w14:paraId="78AAD17B" w14:textId="77777777"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b) Que la directiva sea suficientemente precisa.</w:t>
      </w:r>
    </w:p>
    <w:p w14:paraId="4C33585D" w14:textId="77777777"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 xml:space="preserve">Sin embargo, la aplicabilidad directa de las directivas se ha sostenido por el Tribunal con algunas matizaciones: </w:t>
      </w:r>
    </w:p>
    <w:p w14:paraId="68D1CB36" w14:textId="77777777" w:rsidR="00A261B8" w:rsidRPr="00E316B4" w:rsidRDefault="00A261B8" w:rsidP="00F811EA">
      <w:pPr>
        <w:spacing w:line="360" w:lineRule="auto"/>
        <w:ind w:left="-142"/>
        <w:jc w:val="both"/>
        <w:rPr>
          <w:rFonts w:ascii="Times New Roman" w:hAnsi="Times New Roman" w:cs="Times New Roman"/>
        </w:rPr>
      </w:pPr>
      <w:r w:rsidRPr="00E316B4">
        <w:rPr>
          <w:rFonts w:ascii="Times New Roman" w:hAnsi="Times New Roman" w:cs="Times New Roman"/>
        </w:rPr>
        <w:t>1º. En primer lugar, ha distinguido entre eficacia directa horizontal y eficacia directa vertical.</w:t>
      </w:r>
    </w:p>
    <w:p w14:paraId="536DD83E" w14:textId="77777777" w:rsidR="00A261B8" w:rsidRPr="00F973F6" w:rsidRDefault="00A261B8" w:rsidP="00F973F6">
      <w:pPr>
        <w:pStyle w:val="Prrafodelista"/>
        <w:numPr>
          <w:ilvl w:val="0"/>
          <w:numId w:val="38"/>
        </w:numPr>
        <w:spacing w:line="360" w:lineRule="auto"/>
        <w:jc w:val="both"/>
        <w:rPr>
          <w:rFonts w:ascii="Times New Roman" w:hAnsi="Times New Roman" w:cs="Times New Roman"/>
        </w:rPr>
      </w:pPr>
      <w:r w:rsidRPr="00F973F6">
        <w:rPr>
          <w:rFonts w:ascii="Times New Roman" w:hAnsi="Times New Roman" w:cs="Times New Roman"/>
        </w:rPr>
        <w:t>Respecto de la eficacia horizontal o entre particulares, el Tribunal de Justicia ha afirmado que no cabe exigir obligaciones a cargo de particulares derivadas de una directiva que todavía no ha sido traspuesta al derecho interno.</w:t>
      </w:r>
    </w:p>
    <w:p w14:paraId="380DA581" w14:textId="77777777" w:rsidR="00A261B8" w:rsidRPr="00F973F6" w:rsidRDefault="00A261B8" w:rsidP="00F973F6">
      <w:pPr>
        <w:pStyle w:val="Prrafodelista"/>
        <w:numPr>
          <w:ilvl w:val="0"/>
          <w:numId w:val="38"/>
        </w:numPr>
        <w:spacing w:line="360" w:lineRule="auto"/>
        <w:jc w:val="both"/>
        <w:rPr>
          <w:rFonts w:ascii="Times New Roman" w:hAnsi="Times New Roman" w:cs="Times New Roman"/>
        </w:rPr>
      </w:pPr>
      <w:r w:rsidRPr="00F973F6">
        <w:rPr>
          <w:rFonts w:ascii="Times New Roman" w:hAnsi="Times New Roman" w:cs="Times New Roman"/>
        </w:rPr>
        <w:t xml:space="preserve">Respecto de la eficacia vertical, o entre particulares y el Estado, el Tribunal ha considerado que el Estado debe soportar y cumplir la invocación de derechos que hagan los particulares, sobre la base de directivas no traspuestas que les atribuyan tales </w:t>
      </w:r>
      <w:r w:rsidRPr="00F973F6">
        <w:rPr>
          <w:rFonts w:ascii="Times New Roman" w:hAnsi="Times New Roman" w:cs="Times New Roman"/>
        </w:rPr>
        <w:lastRenderedPageBreak/>
        <w:t>derechos. Sin embargo, el Estado no puede exigir a los particulares obligaciones impuestas por una directiva no traspuesta, mientras esta no se lleve a cabo.</w:t>
      </w:r>
    </w:p>
    <w:p w14:paraId="7E931DAD" w14:textId="77777777"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2º. El Tribunal ha declarado que la aplicabilidad directa sólo podrá determinarse respecto de preceptos concretos de la directiva, no toda ella en su conjunto, y que esa determinación debe hacerla el Juez nacional.</w:t>
      </w:r>
    </w:p>
    <w:p w14:paraId="6CE6718D" w14:textId="77777777" w:rsidR="00A261B8" w:rsidRPr="00E316B4" w:rsidRDefault="00A261B8" w:rsidP="00C67074">
      <w:pPr>
        <w:spacing w:line="360" w:lineRule="auto"/>
        <w:ind w:left="-142"/>
        <w:jc w:val="both"/>
        <w:rPr>
          <w:rFonts w:ascii="Times New Roman" w:hAnsi="Times New Roman" w:cs="Times New Roman"/>
        </w:rPr>
      </w:pPr>
      <w:r w:rsidRPr="00E316B4">
        <w:rPr>
          <w:rFonts w:ascii="Times New Roman" w:hAnsi="Times New Roman" w:cs="Times New Roman"/>
        </w:rPr>
        <w:t>3º. El TJ ha declarado que, aunque el Estado es el único obligado a la trasposición de directivas, el efecto vertical puede hacerse efectivo frente a entidades regionales y locales, e incluso frente a empresas públicas.</w:t>
      </w:r>
    </w:p>
    <w:p w14:paraId="5F9F2A3A" w14:textId="77777777" w:rsidR="00080748" w:rsidRPr="00E316B4" w:rsidRDefault="00411D20" w:rsidP="00957E1C">
      <w:pPr>
        <w:spacing w:line="360" w:lineRule="auto"/>
        <w:ind w:left="-142"/>
        <w:jc w:val="both"/>
        <w:rPr>
          <w:rFonts w:ascii="Times New Roman" w:hAnsi="Times New Roman" w:cs="Times New Roman"/>
          <w:b/>
          <w:u w:val="single"/>
        </w:rPr>
      </w:pPr>
      <w:r w:rsidRPr="00E316B4">
        <w:rPr>
          <w:rFonts w:ascii="Times New Roman" w:hAnsi="Times New Roman" w:cs="Times New Roman"/>
          <w:b/>
          <w:u w:val="single"/>
        </w:rPr>
        <w:t>Principio de responsabilidad de los Estados miembros por incumplimiento del Derecho Comunitario</w:t>
      </w:r>
    </w:p>
    <w:p w14:paraId="7823E495" w14:textId="77777777" w:rsidR="00080748" w:rsidRPr="00E316B4" w:rsidRDefault="00080748" w:rsidP="00C67074">
      <w:pPr>
        <w:spacing w:line="360" w:lineRule="auto"/>
        <w:ind w:left="-142"/>
        <w:jc w:val="both"/>
        <w:rPr>
          <w:rFonts w:ascii="Times New Roman" w:hAnsi="Times New Roman" w:cs="Times New Roman"/>
        </w:rPr>
      </w:pPr>
      <w:r w:rsidRPr="00E316B4">
        <w:rPr>
          <w:rFonts w:ascii="Times New Roman" w:hAnsi="Times New Roman" w:cs="Times New Roman"/>
        </w:rPr>
        <w:t xml:space="preserve">El principio de responsabilidad del Estado por los daños causados a los particulares como consecuencia de la violación del Derecho de la Unión fue reconocido de forma clara por el TJUE en 1991, en estrecha vinculación con los principios de </w:t>
      </w:r>
      <w:r w:rsidR="00DE2D75" w:rsidRPr="00E316B4">
        <w:rPr>
          <w:rFonts w:ascii="Times New Roman" w:hAnsi="Times New Roman" w:cs="Times New Roman"/>
        </w:rPr>
        <w:t>primacía</w:t>
      </w:r>
      <w:r w:rsidRPr="00E316B4">
        <w:rPr>
          <w:rFonts w:ascii="Times New Roman" w:hAnsi="Times New Roman" w:cs="Times New Roman"/>
        </w:rPr>
        <w:t xml:space="preserve"> y eficacia directa. Tiene su origen en la</w:t>
      </w:r>
      <w:r w:rsidR="00DE2D75" w:rsidRPr="00E316B4">
        <w:rPr>
          <w:rFonts w:ascii="Times New Roman" w:hAnsi="Times New Roman" w:cs="Times New Roman"/>
        </w:rPr>
        <w:t xml:space="preserve"> Sentencia </w:t>
      </w:r>
      <w:proofErr w:type="spellStart"/>
      <w:r w:rsidR="00DE2D75" w:rsidRPr="00E316B4">
        <w:rPr>
          <w:rFonts w:ascii="Times New Roman" w:hAnsi="Times New Roman" w:cs="Times New Roman"/>
        </w:rPr>
        <w:t>Francovich</w:t>
      </w:r>
      <w:proofErr w:type="spellEnd"/>
      <w:r w:rsidR="00DE2D75" w:rsidRPr="00E316B4">
        <w:rPr>
          <w:rFonts w:ascii="Times New Roman" w:hAnsi="Times New Roman" w:cs="Times New Roman"/>
        </w:rPr>
        <w:t xml:space="preserve"> y </w:t>
      </w:r>
      <w:proofErr w:type="spellStart"/>
      <w:r w:rsidR="00DE2D75" w:rsidRPr="00E316B4">
        <w:rPr>
          <w:rFonts w:ascii="Times New Roman" w:hAnsi="Times New Roman" w:cs="Times New Roman"/>
        </w:rPr>
        <w:t>Bonifaci</w:t>
      </w:r>
      <w:proofErr w:type="spellEnd"/>
      <w:r w:rsidRPr="00E316B4">
        <w:rPr>
          <w:rFonts w:ascii="Times New Roman" w:hAnsi="Times New Roman" w:cs="Times New Roman"/>
        </w:rPr>
        <w:t xml:space="preserve"> de 1991. Actualmente, la jurisprudencia del TJ</w:t>
      </w:r>
      <w:r w:rsidR="00904972" w:rsidRPr="00E316B4">
        <w:rPr>
          <w:rFonts w:ascii="Times New Roman" w:hAnsi="Times New Roman" w:cs="Times New Roman"/>
        </w:rPr>
        <w:t>UE entiende que el principio de responsabilidad del Estado por violación de las normas del Derecho de la Unión es inherente al sistema del Tratado, fundamentándose en el art. 4.3 TUE, donde se establece la obligación de adoptar todas las medidas apropiadas para asegurar el cumplimiento de los Tratados. El TJUE entiende que cuando la violación es imputable a una autoridad pública, los particulares tienen derecho a una indemnización cuando:</w:t>
      </w:r>
    </w:p>
    <w:p w14:paraId="14052F74" w14:textId="77777777" w:rsidR="00904972" w:rsidRPr="00F973F6" w:rsidRDefault="00DE2D75" w:rsidP="00F973F6">
      <w:pPr>
        <w:pStyle w:val="Prrafodelista"/>
        <w:numPr>
          <w:ilvl w:val="0"/>
          <w:numId w:val="37"/>
        </w:numPr>
        <w:spacing w:line="360" w:lineRule="auto"/>
        <w:jc w:val="both"/>
        <w:rPr>
          <w:rFonts w:ascii="Times New Roman" w:hAnsi="Times New Roman" w:cs="Times New Roman"/>
        </w:rPr>
      </w:pPr>
      <w:r w:rsidRPr="00F973F6">
        <w:rPr>
          <w:rFonts w:ascii="Times New Roman" w:hAnsi="Times New Roman" w:cs="Times New Roman"/>
        </w:rPr>
        <w:t>L</w:t>
      </w:r>
      <w:r w:rsidR="00904972" w:rsidRPr="00F973F6">
        <w:rPr>
          <w:rFonts w:ascii="Times New Roman" w:hAnsi="Times New Roman" w:cs="Times New Roman"/>
        </w:rPr>
        <w:t>a norma tenga por objeto conferirles derechos</w:t>
      </w:r>
    </w:p>
    <w:p w14:paraId="25FA2A6B" w14:textId="77777777" w:rsidR="00904972" w:rsidRPr="00F973F6" w:rsidRDefault="00DE2D75" w:rsidP="00F973F6">
      <w:pPr>
        <w:pStyle w:val="Prrafodelista"/>
        <w:numPr>
          <w:ilvl w:val="0"/>
          <w:numId w:val="37"/>
        </w:numPr>
        <w:spacing w:line="360" w:lineRule="auto"/>
        <w:jc w:val="both"/>
        <w:rPr>
          <w:rFonts w:ascii="Times New Roman" w:hAnsi="Times New Roman" w:cs="Times New Roman"/>
        </w:rPr>
      </w:pPr>
      <w:r w:rsidRPr="00F973F6">
        <w:rPr>
          <w:rFonts w:ascii="Times New Roman" w:hAnsi="Times New Roman" w:cs="Times New Roman"/>
        </w:rPr>
        <w:t>L</w:t>
      </w:r>
      <w:r w:rsidR="00904972" w:rsidRPr="00F973F6">
        <w:rPr>
          <w:rFonts w:ascii="Times New Roman" w:hAnsi="Times New Roman" w:cs="Times New Roman"/>
        </w:rPr>
        <w:t>a violación esté suficientemente caracterizada</w:t>
      </w:r>
    </w:p>
    <w:p w14:paraId="093A03F8" w14:textId="77777777" w:rsidR="00E1103C" w:rsidRPr="00F973F6" w:rsidRDefault="00DE2D75" w:rsidP="00F973F6">
      <w:pPr>
        <w:pStyle w:val="Prrafodelista"/>
        <w:numPr>
          <w:ilvl w:val="0"/>
          <w:numId w:val="37"/>
        </w:numPr>
        <w:spacing w:line="360" w:lineRule="auto"/>
        <w:jc w:val="both"/>
        <w:rPr>
          <w:rFonts w:ascii="Times New Roman" w:hAnsi="Times New Roman" w:cs="Times New Roman"/>
        </w:rPr>
      </w:pPr>
      <w:r w:rsidRPr="00F973F6">
        <w:rPr>
          <w:rFonts w:ascii="Times New Roman" w:hAnsi="Times New Roman" w:cs="Times New Roman"/>
        </w:rPr>
        <w:t>E</w:t>
      </w:r>
      <w:r w:rsidR="00904972" w:rsidRPr="00F973F6">
        <w:rPr>
          <w:rFonts w:ascii="Times New Roman" w:hAnsi="Times New Roman" w:cs="Times New Roman"/>
        </w:rPr>
        <w:t xml:space="preserve">xista una </w:t>
      </w:r>
      <w:r w:rsidR="00E1103C" w:rsidRPr="00F973F6">
        <w:rPr>
          <w:rFonts w:ascii="Times New Roman" w:hAnsi="Times New Roman" w:cs="Times New Roman"/>
        </w:rPr>
        <w:t xml:space="preserve">relación de causalidad directa entre esta violación y el </w:t>
      </w:r>
      <w:proofErr w:type="spellStart"/>
      <w:r w:rsidR="00E1103C" w:rsidRPr="00F973F6">
        <w:rPr>
          <w:rFonts w:ascii="Times New Roman" w:hAnsi="Times New Roman" w:cs="Times New Roman"/>
        </w:rPr>
        <w:t>perjucio</w:t>
      </w:r>
      <w:proofErr w:type="spellEnd"/>
      <w:r w:rsidR="00E1103C" w:rsidRPr="00F973F6">
        <w:rPr>
          <w:rFonts w:ascii="Times New Roman" w:hAnsi="Times New Roman" w:cs="Times New Roman"/>
        </w:rPr>
        <w:t xml:space="preserve"> sufrido por los particulares</w:t>
      </w:r>
    </w:p>
    <w:p w14:paraId="352CFB8E" w14:textId="0AD50AB4" w:rsidR="00DE2D75" w:rsidRPr="00302746" w:rsidRDefault="00E1103C" w:rsidP="00302746">
      <w:pPr>
        <w:spacing w:line="360" w:lineRule="auto"/>
        <w:ind w:left="-142"/>
        <w:jc w:val="both"/>
        <w:rPr>
          <w:rFonts w:ascii="Times New Roman" w:hAnsi="Times New Roman" w:cs="Times New Roman"/>
        </w:rPr>
      </w:pPr>
      <w:r w:rsidRPr="00E316B4">
        <w:rPr>
          <w:rFonts w:ascii="Times New Roman" w:hAnsi="Times New Roman" w:cs="Times New Roman"/>
        </w:rPr>
        <w:t>Por ultimo, señalar que el Real Decreto 515/2013, de 5 de julio, desarrolla un procedimiento general de determinación y repercusión de las responsabilidades derivadas de los incumplimientos del Derecho de la Unión Europea. La existencia de dicho procedimiento supone una gran novedad en el ordenamiento jurídico español, ya que hasta la fecha sólo existían regulaciones dispersas y de carácter sectorial en materias tales como la gestión de fondos, entre otras.</w:t>
      </w:r>
    </w:p>
    <w:p w14:paraId="19BB3A8C" w14:textId="465CB5AA" w:rsidR="00E1103C" w:rsidRPr="00957E1C" w:rsidRDefault="00E1103C" w:rsidP="00C67074">
      <w:pPr>
        <w:spacing w:line="360" w:lineRule="auto"/>
        <w:ind w:left="-142"/>
        <w:jc w:val="both"/>
        <w:rPr>
          <w:rFonts w:ascii="Times New Roman" w:hAnsi="Times New Roman" w:cs="Times New Roman"/>
          <w:b/>
          <w:bCs/>
        </w:rPr>
      </w:pPr>
      <w:r w:rsidRPr="00957E1C">
        <w:rPr>
          <w:rFonts w:ascii="Times New Roman" w:hAnsi="Times New Roman" w:cs="Times New Roman"/>
          <w:b/>
          <w:bCs/>
        </w:rPr>
        <w:t>SU GARANTÍA JUDICIAL: EN ESPECIAL, LAS CUESTIONES PREJUDICIALES</w:t>
      </w:r>
    </w:p>
    <w:p w14:paraId="3EC1DD08" w14:textId="1DAF1656" w:rsidR="008E60BD" w:rsidRPr="00E316B4" w:rsidRDefault="008E60BD" w:rsidP="00C67074">
      <w:pPr>
        <w:spacing w:line="360" w:lineRule="auto"/>
        <w:ind w:left="-142"/>
        <w:jc w:val="both"/>
        <w:rPr>
          <w:rFonts w:ascii="Times New Roman" w:hAnsi="Times New Roman" w:cs="Times New Roman"/>
        </w:rPr>
      </w:pPr>
      <w:r w:rsidRPr="00E316B4">
        <w:rPr>
          <w:rFonts w:ascii="Times New Roman" w:hAnsi="Times New Roman" w:cs="Times New Roman"/>
        </w:rPr>
        <w:t>Para ejercer el control jurisdiccional del Derecho de la UE, el TJUE dispone de un número limitado de competencias, que están previstas en el TFUE y que se traducen en un conjunto de</w:t>
      </w:r>
      <w:r w:rsidR="00302746">
        <w:rPr>
          <w:rFonts w:ascii="Times New Roman" w:hAnsi="Times New Roman" w:cs="Times New Roman"/>
        </w:rPr>
        <w:t xml:space="preserve"> </w:t>
      </w:r>
      <w:r w:rsidRPr="00E316B4">
        <w:rPr>
          <w:rFonts w:ascii="Times New Roman" w:hAnsi="Times New Roman" w:cs="Times New Roman"/>
        </w:rPr>
        <w:lastRenderedPageBreak/>
        <w:t xml:space="preserve">recursos de los que conocen las tres instancias del TJUE. Estas competencias, según </w:t>
      </w:r>
      <w:r w:rsidR="00DE2D75" w:rsidRPr="00E316B4">
        <w:rPr>
          <w:rFonts w:ascii="Times New Roman" w:hAnsi="Times New Roman" w:cs="Times New Roman"/>
        </w:rPr>
        <w:t>LÓPEZ ESCUDERO</w:t>
      </w:r>
      <w:r w:rsidRPr="00E316B4">
        <w:rPr>
          <w:rFonts w:ascii="Times New Roman" w:hAnsi="Times New Roman" w:cs="Times New Roman"/>
        </w:rPr>
        <w:t xml:space="preserve">, se pueden sistematizar de la manera siguiente: </w:t>
      </w:r>
    </w:p>
    <w:p w14:paraId="2E496362" w14:textId="7013B4DE" w:rsidR="008E60BD" w:rsidRPr="00F973F6" w:rsidRDefault="008E60BD" w:rsidP="00F973F6">
      <w:pPr>
        <w:pStyle w:val="Prrafodelista"/>
        <w:numPr>
          <w:ilvl w:val="0"/>
          <w:numId w:val="35"/>
        </w:numPr>
        <w:spacing w:line="360" w:lineRule="auto"/>
        <w:jc w:val="both"/>
        <w:rPr>
          <w:rFonts w:ascii="Times New Roman" w:hAnsi="Times New Roman" w:cs="Times New Roman"/>
          <w:b/>
        </w:rPr>
      </w:pPr>
      <w:r w:rsidRPr="00F973F6">
        <w:rPr>
          <w:rFonts w:ascii="Times New Roman" w:hAnsi="Times New Roman" w:cs="Times New Roman"/>
        </w:rPr>
        <w:t xml:space="preserve">El control de las violaciones del Derecho de la UE imputables a los Estados miembros, que se realiza mediante el </w:t>
      </w:r>
      <w:r w:rsidRPr="00F973F6">
        <w:rPr>
          <w:rFonts w:ascii="Times New Roman" w:hAnsi="Times New Roman" w:cs="Times New Roman"/>
          <w:b/>
        </w:rPr>
        <w:t>recurso de incumplimiento</w:t>
      </w:r>
      <w:r w:rsidR="00D5621C" w:rsidRPr="00F973F6">
        <w:rPr>
          <w:rFonts w:ascii="Times New Roman" w:hAnsi="Times New Roman" w:cs="Times New Roman"/>
          <w:b/>
        </w:rPr>
        <w:t xml:space="preserve"> </w:t>
      </w:r>
      <w:r w:rsidRPr="00F973F6">
        <w:rPr>
          <w:rFonts w:ascii="Times New Roman" w:hAnsi="Times New Roman" w:cs="Times New Roman"/>
          <w:b/>
        </w:rPr>
        <w:t>(arts. 258 a 260 TFUE)</w:t>
      </w:r>
    </w:p>
    <w:p w14:paraId="50767A85" w14:textId="2BD8D9EA" w:rsidR="008E60BD" w:rsidRPr="00F973F6" w:rsidRDefault="004155EE" w:rsidP="00F973F6">
      <w:pPr>
        <w:pStyle w:val="Prrafodelista"/>
        <w:numPr>
          <w:ilvl w:val="0"/>
          <w:numId w:val="35"/>
        </w:numPr>
        <w:spacing w:line="360" w:lineRule="auto"/>
        <w:jc w:val="both"/>
        <w:rPr>
          <w:rFonts w:ascii="Times New Roman" w:hAnsi="Times New Roman" w:cs="Times New Roman"/>
          <w:b/>
        </w:rPr>
      </w:pPr>
      <w:r w:rsidRPr="00F973F6">
        <w:rPr>
          <w:rFonts w:ascii="Times New Roman" w:hAnsi="Times New Roman" w:cs="Times New Roman"/>
        </w:rPr>
        <w:t xml:space="preserve">El control de la legalidad de la actividad de las instituciones y órganos de la UE, se ejerce mediante el </w:t>
      </w:r>
      <w:r w:rsidRPr="00F973F6">
        <w:rPr>
          <w:rFonts w:ascii="Times New Roman" w:hAnsi="Times New Roman" w:cs="Times New Roman"/>
          <w:b/>
        </w:rPr>
        <w:t>recurso de anulación</w:t>
      </w:r>
      <w:r w:rsidR="00D5621C" w:rsidRPr="00F973F6">
        <w:rPr>
          <w:rFonts w:ascii="Times New Roman" w:hAnsi="Times New Roman" w:cs="Times New Roman"/>
          <w:b/>
        </w:rPr>
        <w:t xml:space="preserve"> </w:t>
      </w:r>
      <w:r w:rsidRPr="00F973F6">
        <w:rPr>
          <w:rFonts w:ascii="Times New Roman" w:hAnsi="Times New Roman" w:cs="Times New Roman"/>
          <w:b/>
        </w:rPr>
        <w:t xml:space="preserve">(arts. 263 y 264 TFUE), </w:t>
      </w:r>
      <w:r w:rsidRPr="00F973F6">
        <w:rPr>
          <w:rFonts w:ascii="Times New Roman" w:hAnsi="Times New Roman" w:cs="Times New Roman"/>
        </w:rPr>
        <w:t xml:space="preserve">y el </w:t>
      </w:r>
      <w:r w:rsidRPr="00F973F6">
        <w:rPr>
          <w:rFonts w:ascii="Times New Roman" w:hAnsi="Times New Roman" w:cs="Times New Roman"/>
          <w:b/>
        </w:rPr>
        <w:t>recurso de omisión</w:t>
      </w:r>
      <w:r w:rsidR="00D5621C" w:rsidRPr="00F973F6">
        <w:rPr>
          <w:rFonts w:ascii="Times New Roman" w:hAnsi="Times New Roman" w:cs="Times New Roman"/>
          <w:b/>
        </w:rPr>
        <w:t xml:space="preserve"> </w:t>
      </w:r>
      <w:r w:rsidRPr="00F973F6">
        <w:rPr>
          <w:rFonts w:ascii="Times New Roman" w:hAnsi="Times New Roman" w:cs="Times New Roman"/>
          <w:b/>
        </w:rPr>
        <w:t>(art.265 TFUE)</w:t>
      </w:r>
    </w:p>
    <w:p w14:paraId="6C472AF0" w14:textId="77777777" w:rsidR="004155EE" w:rsidRPr="00F973F6" w:rsidRDefault="004155EE" w:rsidP="00F973F6">
      <w:pPr>
        <w:pStyle w:val="Prrafodelista"/>
        <w:numPr>
          <w:ilvl w:val="0"/>
          <w:numId w:val="35"/>
        </w:numPr>
        <w:spacing w:line="360" w:lineRule="auto"/>
        <w:jc w:val="both"/>
        <w:rPr>
          <w:rFonts w:ascii="Times New Roman" w:hAnsi="Times New Roman" w:cs="Times New Roman"/>
          <w:b/>
        </w:rPr>
      </w:pPr>
      <w:r w:rsidRPr="00F973F6">
        <w:rPr>
          <w:rFonts w:ascii="Times New Roman" w:hAnsi="Times New Roman" w:cs="Times New Roman"/>
        </w:rPr>
        <w:t>La constatación de la responsabilidad extracontractual de la UE (arts. 268 TFUE)</w:t>
      </w:r>
    </w:p>
    <w:p w14:paraId="0147253D" w14:textId="691C6929" w:rsidR="004155EE" w:rsidRPr="00F973F6" w:rsidRDefault="004155EE" w:rsidP="00F973F6">
      <w:pPr>
        <w:pStyle w:val="Prrafodelista"/>
        <w:numPr>
          <w:ilvl w:val="0"/>
          <w:numId w:val="35"/>
        </w:numPr>
        <w:spacing w:line="360" w:lineRule="auto"/>
        <w:jc w:val="both"/>
        <w:rPr>
          <w:rFonts w:ascii="Times New Roman" w:hAnsi="Times New Roman" w:cs="Times New Roman"/>
          <w:b/>
        </w:rPr>
      </w:pPr>
      <w:r w:rsidRPr="00F973F6">
        <w:rPr>
          <w:rFonts w:ascii="Times New Roman" w:hAnsi="Times New Roman" w:cs="Times New Roman"/>
        </w:rPr>
        <w:t xml:space="preserve">El examen de la validez, interpretación de las normas de la Unión Europea, a través de la </w:t>
      </w:r>
      <w:r w:rsidRPr="00F973F6">
        <w:rPr>
          <w:rFonts w:ascii="Times New Roman" w:hAnsi="Times New Roman" w:cs="Times New Roman"/>
          <w:b/>
        </w:rPr>
        <w:t>Cuestión Prejudicial</w:t>
      </w:r>
      <w:r w:rsidRPr="00F973F6">
        <w:rPr>
          <w:rFonts w:ascii="Times New Roman" w:hAnsi="Times New Roman" w:cs="Times New Roman"/>
        </w:rPr>
        <w:t>, a propósito de la cual vamos a realizar un especial examen</w:t>
      </w:r>
      <w:r w:rsidR="002C00AF" w:rsidRPr="00F973F6">
        <w:rPr>
          <w:rFonts w:ascii="Times New Roman" w:hAnsi="Times New Roman" w:cs="Times New Roman"/>
        </w:rPr>
        <w:t>.</w:t>
      </w:r>
    </w:p>
    <w:p w14:paraId="216C45F1" w14:textId="77777777" w:rsidR="004155EE" w:rsidRPr="00E316B4" w:rsidRDefault="004155EE" w:rsidP="00472CD4">
      <w:pPr>
        <w:spacing w:line="360" w:lineRule="auto"/>
        <w:ind w:left="-142"/>
        <w:jc w:val="both"/>
        <w:outlineLvl w:val="0"/>
        <w:rPr>
          <w:rFonts w:ascii="Times New Roman" w:hAnsi="Times New Roman" w:cs="Times New Roman"/>
          <w:b/>
        </w:rPr>
      </w:pPr>
      <w:r w:rsidRPr="00E316B4">
        <w:rPr>
          <w:rFonts w:ascii="Times New Roman" w:hAnsi="Times New Roman" w:cs="Times New Roman"/>
          <w:b/>
        </w:rPr>
        <w:t>Especial examen de la Cuestión prejudicial</w:t>
      </w:r>
    </w:p>
    <w:p w14:paraId="36337B32" w14:textId="6738E353" w:rsidR="002C00AF" w:rsidRPr="00E316B4" w:rsidRDefault="004155EE" w:rsidP="002C00AF">
      <w:pPr>
        <w:spacing w:line="360" w:lineRule="auto"/>
        <w:ind w:left="-142"/>
        <w:jc w:val="both"/>
        <w:rPr>
          <w:rFonts w:ascii="Times New Roman" w:hAnsi="Times New Roman" w:cs="Times New Roman"/>
        </w:rPr>
      </w:pPr>
      <w:r w:rsidRPr="00E316B4">
        <w:rPr>
          <w:rFonts w:ascii="Times New Roman" w:hAnsi="Times New Roman" w:cs="Times New Roman"/>
        </w:rPr>
        <w:t>La competencia pr</w:t>
      </w:r>
      <w:r w:rsidR="00DE2D75" w:rsidRPr="00E316B4">
        <w:rPr>
          <w:rFonts w:ascii="Times New Roman" w:hAnsi="Times New Roman" w:cs="Times New Roman"/>
        </w:rPr>
        <w:t>ejudicial constituye la pieza má</w:t>
      </w:r>
      <w:r w:rsidRPr="00E316B4">
        <w:rPr>
          <w:rFonts w:ascii="Times New Roman" w:hAnsi="Times New Roman" w:cs="Times New Roman"/>
        </w:rPr>
        <w:t>s importante de control jurisdiccional establecido por el Derecho de la Unión Europea</w:t>
      </w:r>
      <w:r w:rsidR="002C00AF" w:rsidRPr="00E316B4">
        <w:rPr>
          <w:rFonts w:ascii="Times New Roman" w:hAnsi="Times New Roman" w:cs="Times New Roman"/>
        </w:rPr>
        <w:t>. Una de las características más sobresalientes de la aplicación judicial del Derecho de la UE reside</w:t>
      </w:r>
      <w:r w:rsidR="00DF4AD1" w:rsidRPr="00E316B4">
        <w:rPr>
          <w:rFonts w:ascii="Times New Roman" w:hAnsi="Times New Roman" w:cs="Times New Roman"/>
        </w:rPr>
        <w:t xml:space="preserve"> precisamente en que el Juez  nacional es el ordinariamente llamado a aplicar la ley, más como esa aplicación aspira a ser uniforme en todos los Estados miembro se busca una interpretación unitaria por el TJUE a través de la cuestión prejudicial que plantea el Juez nacional cuando tiene dudas acerca del alcance/interpretación de la norma comunitaria</w:t>
      </w:r>
      <w:r w:rsidR="00E313DF" w:rsidRPr="00E316B4">
        <w:rPr>
          <w:rFonts w:ascii="Times New Roman" w:hAnsi="Times New Roman" w:cs="Times New Roman"/>
        </w:rPr>
        <w:t xml:space="preserve"> para que, una vez resuelta la cuestión por el TJUE, el juez nacional resuelva el fondo del asunto ante él planteado.</w:t>
      </w:r>
    </w:p>
    <w:p w14:paraId="522D0360" w14:textId="7009EC40" w:rsidR="004155EE" w:rsidRPr="00E316B4" w:rsidRDefault="004155EE" w:rsidP="002C00AF">
      <w:pPr>
        <w:spacing w:line="360" w:lineRule="auto"/>
        <w:ind w:left="-142"/>
        <w:jc w:val="both"/>
        <w:rPr>
          <w:rFonts w:ascii="Times New Roman" w:hAnsi="Times New Roman" w:cs="Times New Roman"/>
        </w:rPr>
      </w:pPr>
      <w:r w:rsidRPr="00E316B4">
        <w:rPr>
          <w:rFonts w:ascii="Times New Roman" w:hAnsi="Times New Roman" w:cs="Times New Roman"/>
          <w:u w:val="single"/>
        </w:rPr>
        <w:t>Objeto</w:t>
      </w:r>
    </w:p>
    <w:p w14:paraId="49A25A5D" w14:textId="6D5C7CE5" w:rsidR="009567E9" w:rsidRPr="00E316B4" w:rsidRDefault="00E313DF" w:rsidP="00E313DF">
      <w:pPr>
        <w:spacing w:line="360" w:lineRule="auto"/>
        <w:jc w:val="both"/>
        <w:rPr>
          <w:rFonts w:ascii="Times New Roman" w:hAnsi="Times New Roman" w:cs="Times New Roman"/>
        </w:rPr>
      </w:pPr>
      <w:r w:rsidRPr="00E316B4">
        <w:rPr>
          <w:rFonts w:ascii="Times New Roman" w:hAnsi="Times New Roman" w:cs="Times New Roman"/>
        </w:rPr>
        <w:t>por razón del objeto la cuestión prejudicial puede ser:</w:t>
      </w:r>
    </w:p>
    <w:p w14:paraId="3D0469D2" w14:textId="138806AD" w:rsidR="00E313DF" w:rsidRPr="00F973F6" w:rsidRDefault="00E313DF" w:rsidP="00F973F6">
      <w:pPr>
        <w:pStyle w:val="Prrafodelista"/>
        <w:numPr>
          <w:ilvl w:val="0"/>
          <w:numId w:val="34"/>
        </w:numPr>
        <w:spacing w:line="360" w:lineRule="auto"/>
        <w:jc w:val="both"/>
        <w:rPr>
          <w:rFonts w:ascii="Times New Roman" w:hAnsi="Times New Roman" w:cs="Times New Roman"/>
        </w:rPr>
      </w:pPr>
      <w:r w:rsidRPr="00F973F6">
        <w:rPr>
          <w:rFonts w:ascii="Times New Roman" w:hAnsi="Times New Roman" w:cs="Times New Roman"/>
        </w:rPr>
        <w:t>de interpretación:</w:t>
      </w:r>
      <w:r w:rsidR="000626EE" w:rsidRPr="00F973F6">
        <w:rPr>
          <w:rFonts w:ascii="Times New Roman" w:hAnsi="Times New Roman" w:cs="Times New Roman"/>
        </w:rPr>
        <w:t xml:space="preserve"> tienen por objeto que el TJUE precisen el sentido y alcance de la norma de la UE. Puede ser objeto de interpretación el Derecho primario, derivado y los compromisos externos.</w:t>
      </w:r>
    </w:p>
    <w:p w14:paraId="485463D5" w14:textId="7F84C2BF" w:rsidR="000626EE" w:rsidRPr="00F973F6" w:rsidRDefault="000626EE" w:rsidP="00F973F6">
      <w:pPr>
        <w:pStyle w:val="Prrafodelista"/>
        <w:numPr>
          <w:ilvl w:val="0"/>
          <w:numId w:val="34"/>
        </w:numPr>
        <w:spacing w:line="360" w:lineRule="auto"/>
        <w:jc w:val="both"/>
        <w:rPr>
          <w:rFonts w:ascii="Times New Roman" w:hAnsi="Times New Roman" w:cs="Times New Roman"/>
        </w:rPr>
      </w:pPr>
      <w:r w:rsidRPr="00F973F6">
        <w:rPr>
          <w:rFonts w:ascii="Times New Roman" w:hAnsi="Times New Roman" w:cs="Times New Roman"/>
        </w:rPr>
        <w:t xml:space="preserve">De validez: tienen por objeto que el TJUE determine la legalidad intrínseca o extrínseca de los actos de las instituciones. Solo pueden ser objeto de esta cuestión prejudicial el derecho </w:t>
      </w:r>
      <w:proofErr w:type="gramStart"/>
      <w:r w:rsidRPr="00F973F6">
        <w:rPr>
          <w:rFonts w:ascii="Times New Roman" w:hAnsi="Times New Roman" w:cs="Times New Roman"/>
        </w:rPr>
        <w:t>derivado</w:t>
      </w:r>
      <w:proofErr w:type="gramEnd"/>
      <w:r w:rsidRPr="00F973F6">
        <w:rPr>
          <w:rFonts w:ascii="Times New Roman" w:hAnsi="Times New Roman" w:cs="Times New Roman"/>
        </w:rPr>
        <w:t xml:space="preserve"> aunque en toda su extensión.</w:t>
      </w:r>
    </w:p>
    <w:p w14:paraId="74716F55" w14:textId="04F9C2B6" w:rsidR="009567E9" w:rsidRPr="00E316B4" w:rsidRDefault="009567E9" w:rsidP="00472CD4">
      <w:pPr>
        <w:spacing w:line="360" w:lineRule="auto"/>
        <w:ind w:left="-142"/>
        <w:jc w:val="both"/>
        <w:outlineLvl w:val="0"/>
        <w:rPr>
          <w:rFonts w:ascii="Times New Roman" w:hAnsi="Times New Roman" w:cs="Times New Roman"/>
          <w:u w:val="single"/>
        </w:rPr>
      </w:pPr>
      <w:r w:rsidRPr="00E316B4">
        <w:rPr>
          <w:rFonts w:ascii="Times New Roman" w:hAnsi="Times New Roman" w:cs="Times New Roman"/>
          <w:u w:val="single"/>
        </w:rPr>
        <w:t>Legitimación</w:t>
      </w:r>
      <w:r w:rsidR="000626EE" w:rsidRPr="00E316B4">
        <w:rPr>
          <w:rFonts w:ascii="Times New Roman" w:hAnsi="Times New Roman" w:cs="Times New Roman"/>
          <w:u w:val="single"/>
        </w:rPr>
        <w:t xml:space="preserve"> y procedimiento</w:t>
      </w:r>
    </w:p>
    <w:p w14:paraId="788DC055" w14:textId="6535E18C" w:rsidR="000626EE" w:rsidRPr="00E316B4" w:rsidRDefault="009567E9" w:rsidP="00302746">
      <w:pPr>
        <w:spacing w:line="360" w:lineRule="auto"/>
        <w:ind w:left="-142"/>
        <w:jc w:val="both"/>
        <w:rPr>
          <w:rFonts w:ascii="Times New Roman" w:hAnsi="Times New Roman" w:cs="Times New Roman"/>
        </w:rPr>
      </w:pPr>
      <w:r w:rsidRPr="00E316B4">
        <w:rPr>
          <w:rFonts w:ascii="Times New Roman" w:hAnsi="Times New Roman" w:cs="Times New Roman"/>
        </w:rPr>
        <w:t xml:space="preserve">Las cuestiones prejudiciales únicamente pueden ser planteadas por los órganos jurisdiccionales. </w:t>
      </w:r>
      <w:r w:rsidR="000626EE" w:rsidRPr="00E316B4">
        <w:rPr>
          <w:rFonts w:ascii="Times New Roman" w:hAnsi="Times New Roman" w:cs="Times New Roman"/>
        </w:rPr>
        <w:t>En cuanto al procedimiento (España carece de una regulación concreta aplicándose por analogí</w:t>
      </w:r>
      <w:r w:rsidR="00302746">
        <w:rPr>
          <w:rFonts w:ascii="Times New Roman" w:hAnsi="Times New Roman" w:cs="Times New Roman"/>
        </w:rPr>
        <w:t xml:space="preserve">a a </w:t>
      </w:r>
      <w:r w:rsidR="00302746">
        <w:rPr>
          <w:rFonts w:ascii="Times New Roman" w:hAnsi="Times New Roman" w:cs="Times New Roman"/>
        </w:rPr>
        <w:lastRenderedPageBreak/>
        <w:t xml:space="preserve">las </w:t>
      </w:r>
      <w:r w:rsidR="00302746" w:rsidRPr="00E316B4">
        <w:rPr>
          <w:rFonts w:ascii="Times New Roman" w:hAnsi="Times New Roman" w:cs="Times New Roman"/>
        </w:rPr>
        <w:t>normas</w:t>
      </w:r>
      <w:r w:rsidR="000626EE" w:rsidRPr="00E316B4">
        <w:rPr>
          <w:rFonts w:ascii="Times New Roman" w:hAnsi="Times New Roman" w:cs="Times New Roman"/>
        </w:rPr>
        <w:t xml:space="preserve"> de planteamiento de las cuestiones de inconstitucionalidad)</w:t>
      </w:r>
      <w:r w:rsidR="00F972AB" w:rsidRPr="00E316B4">
        <w:rPr>
          <w:rStyle w:val="Refdenotaalpie"/>
          <w:rFonts w:ascii="Times New Roman" w:hAnsi="Times New Roman" w:cs="Times New Roman"/>
        </w:rPr>
        <w:footnoteReference w:id="1"/>
      </w:r>
      <w:r w:rsidR="000626EE" w:rsidRPr="00E316B4">
        <w:rPr>
          <w:rFonts w:ascii="Times New Roman" w:hAnsi="Times New Roman" w:cs="Times New Roman"/>
        </w:rPr>
        <w:t xml:space="preserve"> podemos distinguir dos fases:</w:t>
      </w:r>
    </w:p>
    <w:p w14:paraId="3B8B9265" w14:textId="18DE1BCF" w:rsidR="000626EE" w:rsidRPr="00E316B4" w:rsidRDefault="000626EE" w:rsidP="000626EE">
      <w:pPr>
        <w:pStyle w:val="Prrafodelista"/>
        <w:numPr>
          <w:ilvl w:val="0"/>
          <w:numId w:val="22"/>
        </w:numPr>
        <w:spacing w:line="360" w:lineRule="auto"/>
        <w:jc w:val="both"/>
        <w:outlineLvl w:val="0"/>
        <w:rPr>
          <w:rFonts w:ascii="Times New Roman" w:hAnsi="Times New Roman" w:cs="Times New Roman"/>
        </w:rPr>
      </w:pPr>
      <w:r w:rsidRPr="00E316B4">
        <w:rPr>
          <w:rFonts w:ascii="Times New Roman" w:hAnsi="Times New Roman" w:cs="Times New Roman"/>
        </w:rPr>
        <w:t>ante el Juez nacional: da audiencia a las partes y Ministerio Fiscal para, antes de dictar sentencia, elevar junto con toda la documentación la cuestión</w:t>
      </w:r>
      <w:r w:rsidR="00F972AB" w:rsidRPr="00E316B4">
        <w:rPr>
          <w:rFonts w:ascii="Times New Roman" w:hAnsi="Times New Roman" w:cs="Times New Roman"/>
        </w:rPr>
        <w:t xml:space="preserve"> en concreto al TJUE mediante Auto que tiene efectos suspensivos del litigio nacional.</w:t>
      </w:r>
    </w:p>
    <w:p w14:paraId="295B6377" w14:textId="77777777" w:rsidR="00F972AB" w:rsidRPr="00E316B4" w:rsidRDefault="00F972AB" w:rsidP="00F972AB">
      <w:pPr>
        <w:pStyle w:val="Prrafodelista"/>
        <w:spacing w:line="360" w:lineRule="auto"/>
        <w:ind w:left="218"/>
        <w:jc w:val="both"/>
        <w:outlineLvl w:val="0"/>
        <w:rPr>
          <w:rFonts w:ascii="Times New Roman" w:hAnsi="Times New Roman" w:cs="Times New Roman"/>
        </w:rPr>
      </w:pPr>
    </w:p>
    <w:p w14:paraId="1110E869" w14:textId="42BA5FD1" w:rsidR="000626EE" w:rsidRPr="00E316B4" w:rsidRDefault="000626EE" w:rsidP="000626EE">
      <w:pPr>
        <w:pStyle w:val="Prrafodelista"/>
        <w:numPr>
          <w:ilvl w:val="0"/>
          <w:numId w:val="22"/>
        </w:numPr>
        <w:spacing w:line="360" w:lineRule="auto"/>
        <w:jc w:val="both"/>
        <w:outlineLvl w:val="0"/>
        <w:rPr>
          <w:rFonts w:ascii="Times New Roman" w:hAnsi="Times New Roman" w:cs="Times New Roman"/>
        </w:rPr>
      </w:pPr>
      <w:r w:rsidRPr="00E316B4">
        <w:rPr>
          <w:rFonts w:ascii="Times New Roman" w:hAnsi="Times New Roman" w:cs="Times New Roman"/>
        </w:rPr>
        <w:t>Ante el TJUE: consta a su vez de dos estadios con una primera fase escrita en la que pueden realizar alegaciones las partes en el litigio, Estados miembro y las propias instituciones; en la segunda fase, aunque no siempre, se celebra audiencia pública y se oyen las argumentaciones del Abogado General</w:t>
      </w:r>
      <w:r w:rsidR="00F972AB" w:rsidRPr="00E316B4">
        <w:rPr>
          <w:rFonts w:ascii="Times New Roman" w:hAnsi="Times New Roman" w:cs="Times New Roman"/>
        </w:rPr>
        <w:t xml:space="preserve"> para finalmente dictar sentencia.</w:t>
      </w:r>
    </w:p>
    <w:p w14:paraId="5642260B" w14:textId="77777777" w:rsidR="00F972AB" w:rsidRPr="00E316B4" w:rsidRDefault="00F972AB" w:rsidP="00F972AB">
      <w:pPr>
        <w:spacing w:line="360" w:lineRule="auto"/>
        <w:ind w:left="-142"/>
        <w:jc w:val="both"/>
        <w:outlineLvl w:val="0"/>
        <w:rPr>
          <w:rFonts w:ascii="Times New Roman" w:hAnsi="Times New Roman" w:cs="Times New Roman"/>
        </w:rPr>
      </w:pPr>
    </w:p>
    <w:p w14:paraId="0CFC0437" w14:textId="77777777" w:rsidR="009567E9" w:rsidRPr="00E316B4" w:rsidRDefault="009567E9" w:rsidP="00472CD4">
      <w:pPr>
        <w:spacing w:line="360" w:lineRule="auto"/>
        <w:ind w:left="-142"/>
        <w:jc w:val="both"/>
        <w:outlineLvl w:val="0"/>
        <w:rPr>
          <w:rFonts w:ascii="Times New Roman" w:hAnsi="Times New Roman" w:cs="Times New Roman"/>
          <w:u w:val="single"/>
        </w:rPr>
      </w:pPr>
      <w:r w:rsidRPr="00E316B4">
        <w:rPr>
          <w:rFonts w:ascii="Times New Roman" w:hAnsi="Times New Roman" w:cs="Times New Roman"/>
          <w:u w:val="single"/>
        </w:rPr>
        <w:t>Efectos</w:t>
      </w:r>
    </w:p>
    <w:p w14:paraId="3B3A7797" w14:textId="77777777" w:rsidR="009567E9" w:rsidRPr="00F973F6" w:rsidRDefault="009567E9" w:rsidP="00F973F6">
      <w:pPr>
        <w:pStyle w:val="Prrafodelista"/>
        <w:numPr>
          <w:ilvl w:val="0"/>
          <w:numId w:val="33"/>
        </w:numPr>
        <w:spacing w:line="360" w:lineRule="auto"/>
        <w:jc w:val="both"/>
        <w:rPr>
          <w:rFonts w:ascii="Times New Roman" w:hAnsi="Times New Roman" w:cs="Times New Roman"/>
        </w:rPr>
      </w:pPr>
      <w:r w:rsidRPr="00F973F6">
        <w:rPr>
          <w:rFonts w:ascii="Times New Roman" w:hAnsi="Times New Roman" w:cs="Times New Roman"/>
        </w:rPr>
        <w:t>La sentencia prejudicial de validez tiene eficacia “erga omnes” para todos los Estados miembros</w:t>
      </w:r>
    </w:p>
    <w:p w14:paraId="4D0AABE1" w14:textId="77777777" w:rsidR="009567E9" w:rsidRPr="00F973F6" w:rsidRDefault="00C67074" w:rsidP="00F973F6">
      <w:pPr>
        <w:pStyle w:val="Prrafodelista"/>
        <w:numPr>
          <w:ilvl w:val="0"/>
          <w:numId w:val="33"/>
        </w:numPr>
        <w:spacing w:line="360" w:lineRule="auto"/>
        <w:jc w:val="both"/>
        <w:rPr>
          <w:rFonts w:ascii="Times New Roman" w:hAnsi="Times New Roman" w:cs="Times New Roman"/>
        </w:rPr>
      </w:pPr>
      <w:r w:rsidRPr="00F973F6">
        <w:rPr>
          <w:rFonts w:ascii="Times New Roman" w:hAnsi="Times New Roman" w:cs="Times New Roman"/>
        </w:rPr>
        <w:t xml:space="preserve">La sentencia prejudicial de interpretación vincula con autoridad de cosa juzgada al juez que planteó la cuestión, que debe aplicar la norma de la UE de conformidad con la interpretación dada por el TJUE. </w:t>
      </w:r>
    </w:p>
    <w:p w14:paraId="2D70B047" w14:textId="77777777" w:rsidR="00680F4A" w:rsidRPr="00E316B4" w:rsidRDefault="00680F4A" w:rsidP="00C67074">
      <w:pPr>
        <w:pStyle w:val="Sangradetextonormal"/>
        <w:tabs>
          <w:tab w:val="left" w:pos="1532"/>
        </w:tabs>
        <w:ind w:left="-142" w:firstLine="0"/>
        <w:rPr>
          <w:rFonts w:ascii="Times New Roman" w:hAnsi="Times New Roman"/>
          <w:sz w:val="22"/>
          <w:szCs w:val="22"/>
        </w:rPr>
      </w:pPr>
    </w:p>
    <w:p w14:paraId="57276FF4" w14:textId="418039D5" w:rsidR="00A261B8" w:rsidRPr="00957E1C" w:rsidRDefault="00A261B8" w:rsidP="00C67074">
      <w:pPr>
        <w:pStyle w:val="Sangradetextonormal"/>
        <w:tabs>
          <w:tab w:val="left" w:pos="1532"/>
        </w:tabs>
        <w:ind w:left="-142" w:firstLine="0"/>
        <w:rPr>
          <w:rFonts w:ascii="Times New Roman" w:hAnsi="Times New Roman"/>
          <w:bCs/>
          <w:sz w:val="22"/>
          <w:szCs w:val="22"/>
        </w:rPr>
      </w:pPr>
      <w:r w:rsidRPr="00957E1C">
        <w:rPr>
          <w:rFonts w:ascii="Times New Roman" w:hAnsi="Times New Roman"/>
          <w:bCs/>
          <w:sz w:val="22"/>
          <w:szCs w:val="22"/>
        </w:rPr>
        <w:t>VALOR DE LA JURISPRUDENCIA DEL TRIBUNAL DE JUSTICIA DE LAS COMUNIDADES EUROPEAS.</w:t>
      </w:r>
    </w:p>
    <w:p w14:paraId="1EFECD84" w14:textId="77777777" w:rsidR="00C67074" w:rsidRPr="00E316B4" w:rsidRDefault="00C67074" w:rsidP="00C67074">
      <w:pPr>
        <w:spacing w:line="360" w:lineRule="auto"/>
        <w:ind w:left="-142"/>
        <w:jc w:val="both"/>
        <w:rPr>
          <w:rFonts w:ascii="Times New Roman" w:hAnsi="Times New Roman" w:cs="Times New Roman"/>
          <w:spacing w:val="-3"/>
          <w:lang w:val="es-ES_tradnl"/>
        </w:rPr>
      </w:pPr>
    </w:p>
    <w:p w14:paraId="301F0DAE" w14:textId="77777777" w:rsidR="00A261B8" w:rsidRPr="00E316B4" w:rsidRDefault="00A261B8"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El Tri</w:t>
      </w:r>
      <w:r w:rsidR="00C67074" w:rsidRPr="00E316B4">
        <w:rPr>
          <w:rFonts w:ascii="Times New Roman" w:hAnsi="Times New Roman" w:cs="Times New Roman"/>
          <w:spacing w:val="-3"/>
          <w:lang w:val="es-ES_tradnl"/>
        </w:rPr>
        <w:t>bunal de Justicia de las CE pas</w:t>
      </w:r>
      <w:r w:rsidRPr="00E316B4">
        <w:rPr>
          <w:rFonts w:ascii="Times New Roman" w:hAnsi="Times New Roman" w:cs="Times New Roman"/>
          <w:spacing w:val="-3"/>
          <w:lang w:val="es-ES_tradnl"/>
        </w:rPr>
        <w:t>a a</w:t>
      </w:r>
      <w:r w:rsidR="00C67074" w:rsidRPr="00E316B4">
        <w:rPr>
          <w:rFonts w:ascii="Times New Roman" w:hAnsi="Times New Roman" w:cs="Times New Roman"/>
          <w:spacing w:val="-3"/>
          <w:lang w:val="es-ES_tradnl"/>
        </w:rPr>
        <w:t xml:space="preserve"> </w:t>
      </w:r>
      <w:r w:rsidRPr="00E316B4">
        <w:rPr>
          <w:rFonts w:ascii="Times New Roman" w:hAnsi="Times New Roman" w:cs="Times New Roman"/>
          <w:spacing w:val="-3"/>
          <w:lang w:val="es-ES_tradnl"/>
        </w:rPr>
        <w:t xml:space="preserve">denominarse TJUE regulado en los </w:t>
      </w:r>
      <w:proofErr w:type="spellStart"/>
      <w:r w:rsidRPr="00E316B4">
        <w:rPr>
          <w:rFonts w:ascii="Times New Roman" w:hAnsi="Times New Roman" w:cs="Times New Roman"/>
          <w:spacing w:val="-3"/>
          <w:lang w:val="es-ES_tradnl"/>
        </w:rPr>
        <w:t>arts</w:t>
      </w:r>
      <w:proofErr w:type="spellEnd"/>
      <w:r w:rsidRPr="00E316B4">
        <w:rPr>
          <w:rFonts w:ascii="Times New Roman" w:hAnsi="Times New Roman" w:cs="Times New Roman"/>
          <w:spacing w:val="-3"/>
          <w:lang w:val="es-ES_tradnl"/>
        </w:rPr>
        <w:t xml:space="preserve"> 19 y 251 y </w:t>
      </w:r>
      <w:proofErr w:type="spellStart"/>
      <w:r w:rsidRPr="00E316B4">
        <w:rPr>
          <w:rFonts w:ascii="Times New Roman" w:hAnsi="Times New Roman" w:cs="Times New Roman"/>
          <w:spacing w:val="-3"/>
          <w:lang w:val="es-ES_tradnl"/>
        </w:rPr>
        <w:t>ss</w:t>
      </w:r>
      <w:proofErr w:type="spellEnd"/>
      <w:r w:rsidRPr="00E316B4">
        <w:rPr>
          <w:rFonts w:ascii="Times New Roman" w:hAnsi="Times New Roman" w:cs="Times New Roman"/>
          <w:spacing w:val="-3"/>
          <w:lang w:val="es-ES_tradnl"/>
        </w:rPr>
        <w:t xml:space="preserve"> del TFUE. Comprende el Tribunal General y el Tribunal de Justicia y se contempla la posibilidad de crear Tribunales especializados adjuntos al </w:t>
      </w:r>
      <w:proofErr w:type="spellStart"/>
      <w:r w:rsidRPr="00E316B4">
        <w:rPr>
          <w:rFonts w:ascii="Times New Roman" w:hAnsi="Times New Roman" w:cs="Times New Roman"/>
          <w:spacing w:val="-3"/>
          <w:lang w:val="es-ES_tradnl"/>
        </w:rPr>
        <w:t>TGeneral</w:t>
      </w:r>
      <w:proofErr w:type="spellEnd"/>
      <w:r w:rsidRPr="00E316B4">
        <w:rPr>
          <w:rFonts w:ascii="Times New Roman" w:hAnsi="Times New Roman" w:cs="Times New Roman"/>
          <w:spacing w:val="-3"/>
          <w:lang w:val="es-ES_tradnl"/>
        </w:rPr>
        <w:t>. Actualmente el único en funcionamiento es el Tr</w:t>
      </w:r>
      <w:bookmarkStart w:id="0" w:name="_GoBack"/>
      <w:bookmarkEnd w:id="0"/>
      <w:r w:rsidRPr="00E316B4">
        <w:rPr>
          <w:rFonts w:ascii="Times New Roman" w:hAnsi="Times New Roman" w:cs="Times New Roman"/>
          <w:spacing w:val="-3"/>
          <w:lang w:val="es-ES_tradnl"/>
        </w:rPr>
        <w:t xml:space="preserve">ibunal de la </w:t>
      </w:r>
      <w:r w:rsidR="00DE2D75" w:rsidRPr="00E316B4">
        <w:rPr>
          <w:rFonts w:ascii="Times New Roman" w:hAnsi="Times New Roman" w:cs="Times New Roman"/>
          <w:spacing w:val="-3"/>
          <w:lang w:val="es-ES_tradnl"/>
        </w:rPr>
        <w:t>Función</w:t>
      </w:r>
      <w:r w:rsidRPr="00E316B4">
        <w:rPr>
          <w:rFonts w:ascii="Times New Roman" w:hAnsi="Times New Roman" w:cs="Times New Roman"/>
          <w:spacing w:val="-3"/>
          <w:lang w:val="es-ES_tradnl"/>
        </w:rPr>
        <w:t xml:space="preserve"> Pública creado en 2005.</w:t>
      </w:r>
    </w:p>
    <w:p w14:paraId="325CA60D" w14:textId="5CA54C38" w:rsidR="00A261B8" w:rsidRPr="00E316B4" w:rsidRDefault="00A261B8"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C</w:t>
      </w:r>
      <w:r w:rsidR="00680F4A" w:rsidRPr="00E316B4">
        <w:rPr>
          <w:rFonts w:ascii="Times New Roman" w:hAnsi="Times New Roman" w:cs="Times New Roman"/>
          <w:spacing w:val="-3"/>
          <w:lang w:val="es-ES_tradnl"/>
        </w:rPr>
        <w:t>omo ha escrito GARCÍA DE ENTERRÍ</w:t>
      </w:r>
      <w:r w:rsidRPr="00E316B4">
        <w:rPr>
          <w:rFonts w:ascii="Times New Roman" w:hAnsi="Times New Roman" w:cs="Times New Roman"/>
          <w:spacing w:val="-3"/>
          <w:lang w:val="es-ES_tradnl"/>
        </w:rPr>
        <w:t xml:space="preserve">A, el Tribunal de Justicia de las Comunidades: </w:t>
      </w:r>
    </w:p>
    <w:p w14:paraId="275B1265" w14:textId="77777777" w:rsidR="00A261B8" w:rsidRPr="00E316B4" w:rsidRDefault="00A261B8"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1. Actúa como </w:t>
      </w:r>
      <w:r w:rsidRPr="00E316B4">
        <w:rPr>
          <w:rFonts w:ascii="Times New Roman" w:hAnsi="Times New Roman" w:cs="Times New Roman"/>
          <w:b/>
          <w:spacing w:val="-3"/>
          <w:lang w:val="es-ES_tradnl"/>
        </w:rPr>
        <w:t>Tribunal Consti</w:t>
      </w:r>
      <w:r w:rsidRPr="00E316B4">
        <w:rPr>
          <w:rFonts w:ascii="Times New Roman" w:hAnsi="Times New Roman" w:cs="Times New Roman"/>
          <w:b/>
          <w:spacing w:val="-3"/>
          <w:lang w:val="es-ES_tradnl"/>
        </w:rPr>
        <w:softHyphen/>
        <w:t>tucional</w:t>
      </w:r>
      <w:r w:rsidRPr="00E316B4">
        <w:rPr>
          <w:rFonts w:ascii="Times New Roman" w:hAnsi="Times New Roman" w:cs="Times New Roman"/>
          <w:spacing w:val="-3"/>
          <w:lang w:val="es-ES_tradnl"/>
        </w:rPr>
        <w:t>, puesto que determina la adecuación de los actos legislativos de las Comunidades a los textos consti</w:t>
      </w:r>
      <w:r w:rsidR="00DE2D75" w:rsidRPr="00E316B4">
        <w:rPr>
          <w:rFonts w:ascii="Times New Roman" w:hAnsi="Times New Roman" w:cs="Times New Roman"/>
          <w:spacing w:val="-3"/>
          <w:lang w:val="es-ES_tradnl"/>
        </w:rPr>
        <w:t xml:space="preserve">tucionales que las </w:t>
      </w:r>
      <w:r w:rsidRPr="00E316B4">
        <w:rPr>
          <w:rFonts w:ascii="Times New Roman" w:hAnsi="Times New Roman" w:cs="Times New Roman"/>
          <w:spacing w:val="-3"/>
          <w:lang w:val="es-ES_tradnl"/>
        </w:rPr>
        <w:t xml:space="preserve">rigen, y que son los Tratados constitutivos o Derecho primario; </w:t>
      </w:r>
    </w:p>
    <w:p w14:paraId="6BDD8614" w14:textId="77777777" w:rsidR="00A261B8" w:rsidRPr="00E316B4" w:rsidRDefault="00A261B8"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lastRenderedPageBreak/>
        <w:t xml:space="preserve">2. Como </w:t>
      </w:r>
      <w:r w:rsidRPr="00E316B4">
        <w:rPr>
          <w:rFonts w:ascii="Times New Roman" w:hAnsi="Times New Roman" w:cs="Times New Roman"/>
          <w:b/>
          <w:spacing w:val="-3"/>
          <w:lang w:val="es-ES_tradnl"/>
        </w:rPr>
        <w:t>tribunal contencioso-administrativo</w:t>
      </w:r>
      <w:r w:rsidRPr="00E316B4">
        <w:rPr>
          <w:rFonts w:ascii="Times New Roman" w:hAnsi="Times New Roman" w:cs="Times New Roman"/>
          <w:spacing w:val="-3"/>
          <w:lang w:val="es-ES_tradnl"/>
        </w:rPr>
        <w:t xml:space="preserve">, pues juzga la legalidad de los actos emanados de las autoridades comunitarias; </w:t>
      </w:r>
    </w:p>
    <w:p w14:paraId="2C6DA1DB" w14:textId="77777777" w:rsidR="00A261B8" w:rsidRPr="00E316B4" w:rsidRDefault="00A261B8"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3. Como </w:t>
      </w:r>
      <w:r w:rsidRPr="00E316B4">
        <w:rPr>
          <w:rFonts w:ascii="Times New Roman" w:hAnsi="Times New Roman" w:cs="Times New Roman"/>
          <w:b/>
          <w:spacing w:val="-3"/>
          <w:lang w:val="es-ES_tradnl"/>
        </w:rPr>
        <w:t>Tribunal de Derecho Internacional</w:t>
      </w:r>
      <w:r w:rsidRPr="00E316B4">
        <w:rPr>
          <w:rFonts w:ascii="Times New Roman" w:hAnsi="Times New Roman" w:cs="Times New Roman"/>
          <w:spacing w:val="-3"/>
          <w:lang w:val="es-ES_tradnl"/>
        </w:rPr>
        <w:t xml:space="preserve">, pues resuelve las diferencias que surgen entre los Estados miembros; </w:t>
      </w:r>
    </w:p>
    <w:p w14:paraId="04E71A51" w14:textId="401613F8" w:rsidR="00A261B8" w:rsidRPr="00E316B4" w:rsidRDefault="00A261B8"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4. Tiene, por último, una función original, que es la </w:t>
      </w:r>
      <w:r w:rsidR="00E316B4">
        <w:rPr>
          <w:rFonts w:ascii="Times New Roman" w:hAnsi="Times New Roman" w:cs="Times New Roman"/>
          <w:b/>
          <w:spacing w:val="-3"/>
          <w:lang w:val="es-ES_tradnl"/>
        </w:rPr>
        <w:t>cooperación con las</w:t>
      </w:r>
      <w:r w:rsidRPr="00E316B4">
        <w:rPr>
          <w:rFonts w:ascii="Times New Roman" w:hAnsi="Times New Roman" w:cs="Times New Roman"/>
          <w:b/>
          <w:spacing w:val="-3"/>
          <w:lang w:val="es-ES_tradnl"/>
        </w:rPr>
        <w:t xml:space="preserve"> jurisdicciones nacionales por la vía del reenvío prejudicial de interpretación</w:t>
      </w:r>
      <w:r w:rsidRPr="00E316B4">
        <w:rPr>
          <w:rFonts w:ascii="Times New Roman" w:hAnsi="Times New Roman" w:cs="Times New Roman"/>
          <w:spacing w:val="-3"/>
          <w:lang w:val="es-ES_tradnl"/>
        </w:rPr>
        <w:t>, al que vamos a dedicar especial atención:</w:t>
      </w:r>
    </w:p>
    <w:p w14:paraId="30E93B0B" w14:textId="77777777" w:rsidR="00C67074" w:rsidRPr="00E316B4" w:rsidRDefault="00C67074"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 xml:space="preserve">En general, cabe decir que </w:t>
      </w:r>
      <w:r w:rsidRPr="00E316B4">
        <w:rPr>
          <w:rFonts w:ascii="Times New Roman" w:hAnsi="Times New Roman" w:cs="Times New Roman"/>
          <w:b/>
          <w:spacing w:val="-3"/>
          <w:lang w:val="es-ES_tradnl"/>
        </w:rPr>
        <w:t>todas las sentencias que dicta el T.J.</w:t>
      </w:r>
      <w:r w:rsidRPr="00E316B4">
        <w:rPr>
          <w:rFonts w:ascii="Times New Roman" w:hAnsi="Times New Roman" w:cs="Times New Roman"/>
          <w:spacing w:val="-3"/>
          <w:lang w:val="es-ES_tradnl"/>
        </w:rPr>
        <w:t xml:space="preserve"> tanto a través de los recursos directos como de la cuestión prejudicial, pasan a </w:t>
      </w:r>
      <w:r w:rsidR="00DE2D75" w:rsidRPr="00E316B4">
        <w:rPr>
          <w:rFonts w:ascii="Times New Roman" w:hAnsi="Times New Roman" w:cs="Times New Roman"/>
          <w:b/>
          <w:spacing w:val="-3"/>
          <w:lang w:val="es-ES_tradnl"/>
        </w:rPr>
        <w:t xml:space="preserve">integrar la </w:t>
      </w:r>
      <w:r w:rsidRPr="00E316B4">
        <w:rPr>
          <w:rFonts w:ascii="Times New Roman" w:hAnsi="Times New Roman" w:cs="Times New Roman"/>
          <w:b/>
          <w:spacing w:val="-3"/>
          <w:lang w:val="es-ES_tradnl"/>
        </w:rPr>
        <w:t>jurisprudencia comunitaria</w:t>
      </w:r>
      <w:r w:rsidRPr="00E316B4">
        <w:rPr>
          <w:rFonts w:ascii="Times New Roman" w:hAnsi="Times New Roman" w:cs="Times New Roman"/>
          <w:spacing w:val="-3"/>
          <w:lang w:val="es-ES_tradnl"/>
        </w:rPr>
        <w:t xml:space="preserve"> y </w:t>
      </w:r>
      <w:r w:rsidRPr="00E316B4">
        <w:rPr>
          <w:rFonts w:ascii="Times New Roman" w:hAnsi="Times New Roman" w:cs="Times New Roman"/>
          <w:b/>
          <w:spacing w:val="-3"/>
          <w:lang w:val="es-ES_tradnl"/>
        </w:rPr>
        <w:t>se publican en el Repertorio de Jurisprudencia del Tribunal</w:t>
      </w:r>
      <w:r w:rsidRPr="00E316B4">
        <w:rPr>
          <w:rFonts w:ascii="Times New Roman" w:hAnsi="Times New Roman" w:cs="Times New Roman"/>
          <w:spacing w:val="-3"/>
          <w:lang w:val="es-ES_tradnl"/>
        </w:rPr>
        <w:t xml:space="preserve">. </w:t>
      </w:r>
    </w:p>
    <w:p w14:paraId="7E8ACF83" w14:textId="418C1079" w:rsidR="00C67074" w:rsidRPr="00E316B4" w:rsidRDefault="00C67074" w:rsidP="00C67074">
      <w:pPr>
        <w:spacing w:line="360" w:lineRule="auto"/>
        <w:ind w:left="-142"/>
        <w:jc w:val="both"/>
        <w:rPr>
          <w:rFonts w:ascii="Times New Roman" w:hAnsi="Times New Roman" w:cs="Times New Roman"/>
          <w:spacing w:val="-3"/>
          <w:lang w:val="es-ES_tradnl"/>
        </w:rPr>
      </w:pPr>
      <w:r w:rsidRPr="00E316B4">
        <w:rPr>
          <w:rFonts w:ascii="Times New Roman" w:hAnsi="Times New Roman" w:cs="Times New Roman"/>
          <w:spacing w:val="-3"/>
          <w:lang w:val="es-ES_tradnl"/>
        </w:rPr>
        <w:t>Esta manera de interpretar el Derecho comunitario produce un efecto semejante al del precedente judicial del sistema anglosajón, cuando se trata de casos de identidad material, produciéndose lo que se conoce como "</w:t>
      </w:r>
      <w:r w:rsidRPr="00E316B4">
        <w:rPr>
          <w:rFonts w:ascii="Times New Roman" w:hAnsi="Times New Roman" w:cs="Times New Roman"/>
          <w:b/>
          <w:i/>
          <w:spacing w:val="-3"/>
          <w:lang w:val="es-ES_tradnl"/>
        </w:rPr>
        <w:t>autoridad como precedente</w:t>
      </w:r>
      <w:r w:rsidRPr="00E316B4">
        <w:rPr>
          <w:rFonts w:ascii="Times New Roman" w:hAnsi="Times New Roman" w:cs="Times New Roman"/>
          <w:spacing w:val="-3"/>
          <w:lang w:val="es-ES_tradnl"/>
        </w:rPr>
        <w:t>".</w:t>
      </w:r>
      <w:r w:rsidR="00F972AB" w:rsidRPr="00E316B4">
        <w:rPr>
          <w:rFonts w:ascii="Times New Roman" w:hAnsi="Times New Roman" w:cs="Times New Roman"/>
          <w:spacing w:val="-3"/>
          <w:lang w:val="es-ES_tradnl"/>
        </w:rPr>
        <w:t xml:space="preserve"> Esto es, a diferencia de la jurisprudencia del TS que simplemente tiene valor de complemento de las fuentes del Derecho (art. 1.6 CC); la jurisprudencia del TJUE tiene valor cuasi-normativo de aplicación y vinculación directa que motivan incluso reformas legislativas en el seno de los Estados miembro (como se ha puesto de manifiesto en España recientemente en materia de protección de consumidores –</w:t>
      </w:r>
      <w:r w:rsidR="00957E1C" w:rsidRPr="00E316B4">
        <w:rPr>
          <w:rFonts w:ascii="Times New Roman" w:hAnsi="Times New Roman" w:cs="Times New Roman"/>
          <w:spacing w:val="-3"/>
          <w:lang w:val="es-ES_tradnl"/>
        </w:rPr>
        <w:t>ver</w:t>
      </w:r>
      <w:r w:rsidR="00F972AB" w:rsidRPr="00E316B4">
        <w:rPr>
          <w:rFonts w:ascii="Times New Roman" w:hAnsi="Times New Roman" w:cs="Times New Roman"/>
          <w:spacing w:val="-3"/>
          <w:lang w:val="es-ES_tradnl"/>
        </w:rPr>
        <w:t>.: en procedimientos de ejecución hipotecaria…).</w:t>
      </w:r>
    </w:p>
    <w:p w14:paraId="1BDDA247" w14:textId="77777777" w:rsidR="00F972AB" w:rsidRPr="00E316B4" w:rsidRDefault="00F972AB" w:rsidP="00C67074">
      <w:pPr>
        <w:spacing w:line="360" w:lineRule="auto"/>
        <w:ind w:left="-142"/>
        <w:jc w:val="both"/>
        <w:rPr>
          <w:rFonts w:ascii="Times New Roman" w:hAnsi="Times New Roman" w:cs="Times New Roman"/>
          <w:spacing w:val="-3"/>
          <w:lang w:val="es-ES_tradnl"/>
        </w:rPr>
      </w:pPr>
    </w:p>
    <w:p w14:paraId="20A73B9C" w14:textId="77777777" w:rsidR="00F972AB" w:rsidRPr="00E316B4" w:rsidRDefault="00F972AB" w:rsidP="00C67074">
      <w:pPr>
        <w:spacing w:line="360" w:lineRule="auto"/>
        <w:ind w:left="-142"/>
        <w:jc w:val="both"/>
        <w:rPr>
          <w:rFonts w:ascii="Times New Roman" w:hAnsi="Times New Roman" w:cs="Times New Roman"/>
          <w:spacing w:val="-3"/>
          <w:lang w:val="es-ES_tradnl"/>
        </w:rPr>
      </w:pPr>
    </w:p>
    <w:p w14:paraId="2E47CF79" w14:textId="77777777" w:rsidR="00215FC3" w:rsidRPr="00E316B4" w:rsidRDefault="00215FC3" w:rsidP="00C67074">
      <w:pPr>
        <w:spacing w:line="360" w:lineRule="auto"/>
        <w:ind w:left="-142"/>
        <w:jc w:val="both"/>
        <w:rPr>
          <w:rFonts w:ascii="Times New Roman" w:hAnsi="Times New Roman" w:cs="Times New Roman"/>
        </w:rPr>
      </w:pPr>
    </w:p>
    <w:sectPr w:rsidR="00215FC3" w:rsidRPr="00E316B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CB93" w14:textId="77777777" w:rsidR="00C52153" w:rsidRDefault="00C52153" w:rsidP="00F972AB">
      <w:pPr>
        <w:spacing w:after="0" w:line="240" w:lineRule="auto"/>
      </w:pPr>
      <w:r>
        <w:separator/>
      </w:r>
    </w:p>
  </w:endnote>
  <w:endnote w:type="continuationSeparator" w:id="0">
    <w:p w14:paraId="62DFC2DD" w14:textId="77777777" w:rsidR="00C52153" w:rsidRDefault="00C52153" w:rsidP="00F9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895732"/>
      <w:docPartObj>
        <w:docPartGallery w:val="Page Numbers (Bottom of Page)"/>
        <w:docPartUnique/>
      </w:docPartObj>
    </w:sdtPr>
    <w:sdtEndPr/>
    <w:sdtContent>
      <w:p w14:paraId="4CEE8CFE" w14:textId="64D642FF" w:rsidR="003146C9" w:rsidRDefault="003146C9" w:rsidP="00302746">
        <w:pPr>
          <w:pStyle w:val="Piedepgina"/>
          <w:jc w:val="right"/>
        </w:pPr>
        <w:r>
          <w:t>2-</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09CC" w14:textId="77777777" w:rsidR="00C52153" w:rsidRDefault="00C52153" w:rsidP="00F972AB">
      <w:pPr>
        <w:spacing w:after="0" w:line="240" w:lineRule="auto"/>
      </w:pPr>
      <w:r>
        <w:separator/>
      </w:r>
    </w:p>
  </w:footnote>
  <w:footnote w:type="continuationSeparator" w:id="0">
    <w:p w14:paraId="1B6A1419" w14:textId="77777777" w:rsidR="00C52153" w:rsidRDefault="00C52153" w:rsidP="00F972AB">
      <w:pPr>
        <w:spacing w:after="0" w:line="240" w:lineRule="auto"/>
      </w:pPr>
      <w:r>
        <w:continuationSeparator/>
      </w:r>
    </w:p>
  </w:footnote>
  <w:footnote w:id="1">
    <w:p w14:paraId="1E939E6B" w14:textId="1BC7C80B" w:rsidR="00F972AB" w:rsidRPr="00F972AB" w:rsidRDefault="00F972AB" w:rsidP="00E316B4">
      <w:pPr>
        <w:pStyle w:val="Textonotapie"/>
        <w:ind w:left="708"/>
        <w:rPr>
          <w:lang w:val="es-ES_tradnl"/>
        </w:rPr>
      </w:pPr>
      <w:r w:rsidRPr="00E316B4">
        <w:rPr>
          <w:rStyle w:val="Refdenotaalpie"/>
          <w:rFonts w:ascii="Times New Roman" w:hAnsi="Times New Roman" w:cs="Times New Roman"/>
          <w:sz w:val="22"/>
          <w:szCs w:val="22"/>
        </w:rPr>
        <w:footnoteRef/>
      </w:r>
      <w:r w:rsidRPr="00E316B4">
        <w:rPr>
          <w:rFonts w:ascii="Times New Roman" w:hAnsi="Times New Roman" w:cs="Times New Roman"/>
          <w:sz w:val="22"/>
          <w:szCs w:val="22"/>
        </w:rPr>
        <w:t xml:space="preserve"> </w:t>
      </w:r>
      <w:r w:rsidRPr="00E316B4">
        <w:rPr>
          <w:rFonts w:ascii="Times New Roman" w:hAnsi="Times New Roman" w:cs="Times New Roman"/>
          <w:sz w:val="22"/>
          <w:szCs w:val="22"/>
          <w:lang w:val="es-ES_tradnl"/>
        </w:rPr>
        <w:t>Tras la LO 7/2015 dispone el art. 4 bis LOPJ que “Los Jueces y Tribunales aplicarán el Derecho de la UE de conformidad con la jurisprudencia del TJUE. Cuando los tribunales</w:t>
      </w:r>
      <w:r>
        <w:rPr>
          <w:lang w:val="es-ES_tradnl"/>
        </w:rPr>
        <w:t xml:space="preserve"> </w:t>
      </w:r>
      <w:r w:rsidRPr="00E316B4">
        <w:rPr>
          <w:rFonts w:ascii="Times New Roman" w:hAnsi="Times New Roman" w:cs="Times New Roman"/>
          <w:sz w:val="22"/>
          <w:szCs w:val="22"/>
          <w:lang w:val="es-ES_tradnl"/>
        </w:rPr>
        <w:t>decidan plantear cuestión prejudicial europea lo harán de conformidad con la jurisprudencia del TJUE y, en todo caso, mediante auto previa audiencia de las partes”.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C28"/>
    <w:multiLevelType w:val="hybridMultilevel"/>
    <w:tmpl w:val="6EDECCFE"/>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 w15:restartNumberingAfterBreak="0">
    <w:nsid w:val="08D20F4B"/>
    <w:multiLevelType w:val="hybridMultilevel"/>
    <w:tmpl w:val="C9E621DC"/>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2" w15:restartNumberingAfterBreak="0">
    <w:nsid w:val="0D3D20EF"/>
    <w:multiLevelType w:val="hybridMultilevel"/>
    <w:tmpl w:val="3502DB54"/>
    <w:lvl w:ilvl="0" w:tplc="14C2CE12">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4D03B2"/>
    <w:multiLevelType w:val="hybridMultilevel"/>
    <w:tmpl w:val="C31461AA"/>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4" w15:restartNumberingAfterBreak="0">
    <w:nsid w:val="0F78227B"/>
    <w:multiLevelType w:val="hybridMultilevel"/>
    <w:tmpl w:val="F02A2026"/>
    <w:lvl w:ilvl="0" w:tplc="6562E4F0">
      <w:start w:val="2"/>
      <w:numFmt w:val="bullet"/>
      <w:lvlText w:val="-"/>
      <w:lvlJc w:val="left"/>
      <w:pPr>
        <w:ind w:left="218" w:hanging="360"/>
      </w:pPr>
      <w:rPr>
        <w:rFonts w:ascii="Calibri" w:eastAsiaTheme="minorHAnsi" w:hAnsi="Calibri" w:cstheme="minorBidi" w:hint="default"/>
      </w:rPr>
    </w:lvl>
    <w:lvl w:ilvl="1" w:tplc="0C0A0003" w:tentative="1">
      <w:start w:val="1"/>
      <w:numFmt w:val="bullet"/>
      <w:lvlText w:val="o"/>
      <w:lvlJc w:val="left"/>
      <w:pPr>
        <w:ind w:left="938" w:hanging="360"/>
      </w:pPr>
      <w:rPr>
        <w:rFonts w:ascii="Courier New" w:hAnsi="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5" w15:restartNumberingAfterBreak="0">
    <w:nsid w:val="11006EA7"/>
    <w:multiLevelType w:val="hybridMultilevel"/>
    <w:tmpl w:val="897CCDA0"/>
    <w:lvl w:ilvl="0" w:tplc="E63E8D68">
      <w:start w:val="1"/>
      <w:numFmt w:val="lowerLetter"/>
      <w:lvlText w:val="%1)"/>
      <w:lvlJc w:val="left"/>
      <w:pPr>
        <w:ind w:left="211"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 w15:restartNumberingAfterBreak="0">
    <w:nsid w:val="19DB2928"/>
    <w:multiLevelType w:val="multilevel"/>
    <w:tmpl w:val="59A6CF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5D2265"/>
    <w:multiLevelType w:val="hybridMultilevel"/>
    <w:tmpl w:val="8EF6F9DA"/>
    <w:lvl w:ilvl="0" w:tplc="6562E4F0">
      <w:start w:val="2"/>
      <w:numFmt w:val="bullet"/>
      <w:lvlText w:val="-"/>
      <w:lvlJc w:val="left"/>
      <w:pPr>
        <w:ind w:left="578" w:hanging="360"/>
      </w:pPr>
      <w:rPr>
        <w:rFonts w:ascii="Calibri" w:eastAsiaTheme="minorHAnsi" w:hAnsi="Calibri" w:cstheme="minorBidi"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2268168F"/>
    <w:multiLevelType w:val="hybridMultilevel"/>
    <w:tmpl w:val="415CF452"/>
    <w:lvl w:ilvl="0" w:tplc="0C0A000F">
      <w:start w:val="1"/>
      <w:numFmt w:val="decimal"/>
      <w:lvlText w:val="%1."/>
      <w:lvlJc w:val="left"/>
      <w:pPr>
        <w:ind w:left="211"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9" w15:restartNumberingAfterBreak="0">
    <w:nsid w:val="248A04FC"/>
    <w:multiLevelType w:val="hybridMultilevel"/>
    <w:tmpl w:val="B41874E6"/>
    <w:lvl w:ilvl="0" w:tplc="6562E4F0">
      <w:start w:val="2"/>
      <w:numFmt w:val="bullet"/>
      <w:lvlText w:val="-"/>
      <w:lvlJc w:val="left"/>
      <w:pPr>
        <w:ind w:left="578" w:hanging="360"/>
      </w:pPr>
      <w:rPr>
        <w:rFonts w:ascii="Calibri" w:eastAsiaTheme="minorHAnsi" w:hAnsi="Calibri" w:cstheme="minorBidi"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0" w15:restartNumberingAfterBreak="0">
    <w:nsid w:val="2A912FBF"/>
    <w:multiLevelType w:val="hybridMultilevel"/>
    <w:tmpl w:val="F4A05688"/>
    <w:lvl w:ilvl="0" w:tplc="6562E4F0">
      <w:start w:val="2"/>
      <w:numFmt w:val="bullet"/>
      <w:lvlText w:val="-"/>
      <w:lvlJc w:val="left"/>
      <w:pPr>
        <w:ind w:left="578" w:hanging="360"/>
      </w:pPr>
      <w:rPr>
        <w:rFonts w:ascii="Calibri" w:eastAsiaTheme="minorHAnsi" w:hAnsi="Calibri" w:cstheme="minorBidi"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1" w15:restartNumberingAfterBreak="0">
    <w:nsid w:val="2DAC618A"/>
    <w:multiLevelType w:val="hybridMultilevel"/>
    <w:tmpl w:val="EC4CA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C3332E"/>
    <w:multiLevelType w:val="hybridMultilevel"/>
    <w:tmpl w:val="5538D9C2"/>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13" w15:restartNumberingAfterBreak="0">
    <w:nsid w:val="2FBB45C6"/>
    <w:multiLevelType w:val="hybridMultilevel"/>
    <w:tmpl w:val="FE4C394E"/>
    <w:lvl w:ilvl="0" w:tplc="6562E4F0">
      <w:start w:val="2"/>
      <w:numFmt w:val="bullet"/>
      <w:lvlText w:val="-"/>
      <w:lvlJc w:val="left"/>
      <w:pPr>
        <w:ind w:left="578" w:hanging="360"/>
      </w:pPr>
      <w:rPr>
        <w:rFonts w:ascii="Calibri" w:eastAsiaTheme="minorHAnsi" w:hAnsi="Calibri" w:cstheme="minorBidi"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4" w15:restartNumberingAfterBreak="0">
    <w:nsid w:val="30C24FD2"/>
    <w:multiLevelType w:val="hybridMultilevel"/>
    <w:tmpl w:val="E190DEC2"/>
    <w:lvl w:ilvl="0" w:tplc="6562E4F0">
      <w:start w:val="2"/>
      <w:numFmt w:val="bullet"/>
      <w:lvlText w:val="-"/>
      <w:lvlJc w:val="left"/>
      <w:pPr>
        <w:ind w:left="578" w:hanging="360"/>
      </w:pPr>
      <w:rPr>
        <w:rFonts w:ascii="Calibri" w:eastAsiaTheme="minorHAnsi" w:hAnsi="Calibri" w:cstheme="minorBidi"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314D1665"/>
    <w:multiLevelType w:val="hybridMultilevel"/>
    <w:tmpl w:val="97BEE1F0"/>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6" w15:restartNumberingAfterBreak="0">
    <w:nsid w:val="34B66E5C"/>
    <w:multiLevelType w:val="hybridMultilevel"/>
    <w:tmpl w:val="24B0CEBE"/>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3BDE7C87"/>
    <w:multiLevelType w:val="hybridMultilevel"/>
    <w:tmpl w:val="244E4334"/>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18" w15:restartNumberingAfterBreak="0">
    <w:nsid w:val="44AB24F7"/>
    <w:multiLevelType w:val="hybridMultilevel"/>
    <w:tmpl w:val="BA78253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5743C49"/>
    <w:multiLevelType w:val="hybridMultilevel"/>
    <w:tmpl w:val="E696C484"/>
    <w:lvl w:ilvl="0" w:tplc="6562E4F0">
      <w:start w:val="2"/>
      <w:numFmt w:val="bullet"/>
      <w:lvlText w:val="-"/>
      <w:lvlJc w:val="left"/>
      <w:pPr>
        <w:ind w:left="578" w:hanging="360"/>
      </w:pPr>
      <w:rPr>
        <w:rFonts w:ascii="Calibri" w:eastAsiaTheme="minorHAnsi" w:hAnsi="Calibri" w:cstheme="minorBidi"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49057934"/>
    <w:multiLevelType w:val="hybridMultilevel"/>
    <w:tmpl w:val="42D2D01C"/>
    <w:lvl w:ilvl="0" w:tplc="E63E8D68">
      <w:start w:val="1"/>
      <w:numFmt w:val="lowerLetter"/>
      <w:lvlText w:val="%1)"/>
      <w:lvlJc w:val="left"/>
      <w:pPr>
        <w:ind w:left="353" w:hanging="360"/>
      </w:pPr>
      <w:rPr>
        <w:rFonts w:hint="default"/>
      </w:rPr>
    </w:lvl>
    <w:lvl w:ilvl="1" w:tplc="0C0A0019" w:tentative="1">
      <w:start w:val="1"/>
      <w:numFmt w:val="lowerLetter"/>
      <w:lvlText w:val="%2."/>
      <w:lvlJc w:val="left"/>
      <w:pPr>
        <w:ind w:left="1073" w:hanging="360"/>
      </w:pPr>
    </w:lvl>
    <w:lvl w:ilvl="2" w:tplc="0C0A001B" w:tentative="1">
      <w:start w:val="1"/>
      <w:numFmt w:val="lowerRoman"/>
      <w:lvlText w:val="%3."/>
      <w:lvlJc w:val="right"/>
      <w:pPr>
        <w:ind w:left="1793" w:hanging="180"/>
      </w:pPr>
    </w:lvl>
    <w:lvl w:ilvl="3" w:tplc="0C0A000F" w:tentative="1">
      <w:start w:val="1"/>
      <w:numFmt w:val="decimal"/>
      <w:lvlText w:val="%4."/>
      <w:lvlJc w:val="left"/>
      <w:pPr>
        <w:ind w:left="2513" w:hanging="360"/>
      </w:pPr>
    </w:lvl>
    <w:lvl w:ilvl="4" w:tplc="0C0A0019" w:tentative="1">
      <w:start w:val="1"/>
      <w:numFmt w:val="lowerLetter"/>
      <w:lvlText w:val="%5."/>
      <w:lvlJc w:val="left"/>
      <w:pPr>
        <w:ind w:left="3233" w:hanging="360"/>
      </w:pPr>
    </w:lvl>
    <w:lvl w:ilvl="5" w:tplc="0C0A001B" w:tentative="1">
      <w:start w:val="1"/>
      <w:numFmt w:val="lowerRoman"/>
      <w:lvlText w:val="%6."/>
      <w:lvlJc w:val="right"/>
      <w:pPr>
        <w:ind w:left="3953" w:hanging="180"/>
      </w:pPr>
    </w:lvl>
    <w:lvl w:ilvl="6" w:tplc="0C0A000F" w:tentative="1">
      <w:start w:val="1"/>
      <w:numFmt w:val="decimal"/>
      <w:lvlText w:val="%7."/>
      <w:lvlJc w:val="left"/>
      <w:pPr>
        <w:ind w:left="4673" w:hanging="360"/>
      </w:pPr>
    </w:lvl>
    <w:lvl w:ilvl="7" w:tplc="0C0A0019" w:tentative="1">
      <w:start w:val="1"/>
      <w:numFmt w:val="lowerLetter"/>
      <w:lvlText w:val="%8."/>
      <w:lvlJc w:val="left"/>
      <w:pPr>
        <w:ind w:left="5393" w:hanging="360"/>
      </w:pPr>
    </w:lvl>
    <w:lvl w:ilvl="8" w:tplc="0C0A001B" w:tentative="1">
      <w:start w:val="1"/>
      <w:numFmt w:val="lowerRoman"/>
      <w:lvlText w:val="%9."/>
      <w:lvlJc w:val="right"/>
      <w:pPr>
        <w:ind w:left="6113" w:hanging="180"/>
      </w:pPr>
    </w:lvl>
  </w:abstractNum>
  <w:abstractNum w:abstractNumId="21" w15:restartNumberingAfterBreak="0">
    <w:nsid w:val="493C3EFA"/>
    <w:multiLevelType w:val="hybridMultilevel"/>
    <w:tmpl w:val="4EF47C86"/>
    <w:lvl w:ilvl="0" w:tplc="6562E4F0">
      <w:start w:val="2"/>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3F15B6"/>
    <w:multiLevelType w:val="hybridMultilevel"/>
    <w:tmpl w:val="E2080F74"/>
    <w:lvl w:ilvl="0" w:tplc="906E6C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9B2BB1"/>
    <w:multiLevelType w:val="hybridMultilevel"/>
    <w:tmpl w:val="B1940894"/>
    <w:lvl w:ilvl="0" w:tplc="6562E4F0">
      <w:start w:val="2"/>
      <w:numFmt w:val="bullet"/>
      <w:lvlText w:val="-"/>
      <w:lvlJc w:val="left"/>
      <w:pPr>
        <w:ind w:left="218" w:hanging="360"/>
      </w:pPr>
      <w:rPr>
        <w:rFonts w:ascii="Calibri" w:eastAsiaTheme="minorHAnsi" w:hAnsi="Calibri" w:cstheme="minorBidi" w:hint="default"/>
      </w:rPr>
    </w:lvl>
    <w:lvl w:ilvl="1" w:tplc="0C0A0003" w:tentative="1">
      <w:start w:val="1"/>
      <w:numFmt w:val="bullet"/>
      <w:lvlText w:val="o"/>
      <w:lvlJc w:val="left"/>
      <w:pPr>
        <w:ind w:left="938" w:hanging="360"/>
      </w:pPr>
      <w:rPr>
        <w:rFonts w:ascii="Courier New" w:hAnsi="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24" w15:restartNumberingAfterBreak="0">
    <w:nsid w:val="4CB03AA6"/>
    <w:multiLevelType w:val="hybridMultilevel"/>
    <w:tmpl w:val="A1D03A18"/>
    <w:lvl w:ilvl="0" w:tplc="BC1AB29C">
      <w:start w:val="1"/>
      <w:numFmt w:val="bullet"/>
      <w:lvlText w:val="-"/>
      <w:lvlJc w:val="left"/>
      <w:pPr>
        <w:ind w:left="720" w:hanging="360"/>
      </w:pPr>
      <w:rPr>
        <w:rFonts w:ascii="Times New Roman" w:eastAsiaTheme="minorHAns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086BFD"/>
    <w:multiLevelType w:val="hybridMultilevel"/>
    <w:tmpl w:val="32DEC328"/>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6" w15:restartNumberingAfterBreak="0">
    <w:nsid w:val="4E6D60C4"/>
    <w:multiLevelType w:val="hybridMultilevel"/>
    <w:tmpl w:val="1D301EB2"/>
    <w:lvl w:ilvl="0" w:tplc="29B2FDB8">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7" w15:restartNumberingAfterBreak="0">
    <w:nsid w:val="4FC50BD4"/>
    <w:multiLevelType w:val="hybridMultilevel"/>
    <w:tmpl w:val="101C774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8" w15:restartNumberingAfterBreak="0">
    <w:nsid w:val="50F871A0"/>
    <w:multiLevelType w:val="hybridMultilevel"/>
    <w:tmpl w:val="9E2EF2BE"/>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9" w15:restartNumberingAfterBreak="0">
    <w:nsid w:val="52171226"/>
    <w:multiLevelType w:val="hybridMultilevel"/>
    <w:tmpl w:val="C07E1EAA"/>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30" w15:restartNumberingAfterBreak="0">
    <w:nsid w:val="58BC62DC"/>
    <w:multiLevelType w:val="hybridMultilevel"/>
    <w:tmpl w:val="B3A0A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C3D4A76"/>
    <w:multiLevelType w:val="hybridMultilevel"/>
    <w:tmpl w:val="C31A4BD6"/>
    <w:lvl w:ilvl="0" w:tplc="0C0A0011">
      <w:start w:val="1"/>
      <w:numFmt w:val="decimal"/>
      <w:lvlText w:val="%1)"/>
      <w:lvlJc w:val="left"/>
      <w:pPr>
        <w:ind w:left="3600" w:hanging="360"/>
      </w:pPr>
      <w:rPr>
        <w:rFonts w:hint="default"/>
      </w:r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32" w15:restartNumberingAfterBreak="0">
    <w:nsid w:val="620B0E0A"/>
    <w:multiLevelType w:val="hybridMultilevel"/>
    <w:tmpl w:val="72F6BC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3050BD2"/>
    <w:multiLevelType w:val="hybridMultilevel"/>
    <w:tmpl w:val="5B44A728"/>
    <w:lvl w:ilvl="0" w:tplc="6562E4F0">
      <w:start w:val="2"/>
      <w:numFmt w:val="bullet"/>
      <w:lvlText w:val="-"/>
      <w:lvlJc w:val="left"/>
      <w:pPr>
        <w:ind w:left="218" w:hanging="360"/>
      </w:pPr>
      <w:rPr>
        <w:rFonts w:ascii="Calibri" w:eastAsiaTheme="minorHAnsi" w:hAnsi="Calibri" w:cstheme="minorBidi" w:hint="default"/>
      </w:rPr>
    </w:lvl>
    <w:lvl w:ilvl="1" w:tplc="0C0A0003" w:tentative="1">
      <w:start w:val="1"/>
      <w:numFmt w:val="bullet"/>
      <w:lvlText w:val="o"/>
      <w:lvlJc w:val="left"/>
      <w:pPr>
        <w:ind w:left="938" w:hanging="360"/>
      </w:pPr>
      <w:rPr>
        <w:rFonts w:ascii="Courier New" w:hAnsi="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34" w15:restartNumberingAfterBreak="0">
    <w:nsid w:val="64B23F90"/>
    <w:multiLevelType w:val="hybridMultilevel"/>
    <w:tmpl w:val="71E4979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5" w15:restartNumberingAfterBreak="0">
    <w:nsid w:val="67324380"/>
    <w:multiLevelType w:val="hybridMultilevel"/>
    <w:tmpl w:val="850458F0"/>
    <w:lvl w:ilvl="0" w:tplc="6562E4F0">
      <w:start w:val="2"/>
      <w:numFmt w:val="bullet"/>
      <w:lvlText w:val="-"/>
      <w:lvlJc w:val="left"/>
      <w:pPr>
        <w:ind w:left="578" w:hanging="360"/>
      </w:pPr>
      <w:rPr>
        <w:rFonts w:ascii="Calibri" w:eastAsiaTheme="minorHAnsi" w:hAnsi="Calibri" w:cstheme="minorBidi"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6" w15:restartNumberingAfterBreak="0">
    <w:nsid w:val="70D97E4F"/>
    <w:multiLevelType w:val="hybridMultilevel"/>
    <w:tmpl w:val="908028C4"/>
    <w:lvl w:ilvl="0" w:tplc="DCA8D3B6">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37" w15:restartNumberingAfterBreak="0">
    <w:nsid w:val="728C479E"/>
    <w:multiLevelType w:val="hybridMultilevel"/>
    <w:tmpl w:val="90DE1814"/>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38" w15:restartNumberingAfterBreak="0">
    <w:nsid w:val="742B6C03"/>
    <w:multiLevelType w:val="hybridMultilevel"/>
    <w:tmpl w:val="F2ECE868"/>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39" w15:restartNumberingAfterBreak="0">
    <w:nsid w:val="7450790D"/>
    <w:multiLevelType w:val="hybridMultilevel"/>
    <w:tmpl w:val="8DD6CF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30"/>
  </w:num>
  <w:num w:numId="3">
    <w:abstractNumId w:val="11"/>
  </w:num>
  <w:num w:numId="4">
    <w:abstractNumId w:val="22"/>
  </w:num>
  <w:num w:numId="5">
    <w:abstractNumId w:val="2"/>
  </w:num>
  <w:num w:numId="6">
    <w:abstractNumId w:val="24"/>
  </w:num>
  <w:num w:numId="7">
    <w:abstractNumId w:val="31"/>
  </w:num>
  <w:num w:numId="8">
    <w:abstractNumId w:val="6"/>
  </w:num>
  <w:num w:numId="9">
    <w:abstractNumId w:val="36"/>
  </w:num>
  <w:num w:numId="10">
    <w:abstractNumId w:val="25"/>
  </w:num>
  <w:num w:numId="11">
    <w:abstractNumId w:val="28"/>
  </w:num>
  <w:num w:numId="12">
    <w:abstractNumId w:val="14"/>
  </w:num>
  <w:num w:numId="13">
    <w:abstractNumId w:val="13"/>
  </w:num>
  <w:num w:numId="14">
    <w:abstractNumId w:val="9"/>
  </w:num>
  <w:num w:numId="15">
    <w:abstractNumId w:val="10"/>
  </w:num>
  <w:num w:numId="16">
    <w:abstractNumId w:val="19"/>
  </w:num>
  <w:num w:numId="17">
    <w:abstractNumId w:val="35"/>
  </w:num>
  <w:num w:numId="18">
    <w:abstractNumId w:val="23"/>
  </w:num>
  <w:num w:numId="19">
    <w:abstractNumId w:val="33"/>
  </w:num>
  <w:num w:numId="20">
    <w:abstractNumId w:val="7"/>
  </w:num>
  <w:num w:numId="21">
    <w:abstractNumId w:val="4"/>
  </w:num>
  <w:num w:numId="22">
    <w:abstractNumId w:val="26"/>
  </w:num>
  <w:num w:numId="23">
    <w:abstractNumId w:val="37"/>
  </w:num>
  <w:num w:numId="24">
    <w:abstractNumId w:val="1"/>
  </w:num>
  <w:num w:numId="25">
    <w:abstractNumId w:val="17"/>
  </w:num>
  <w:num w:numId="26">
    <w:abstractNumId w:val="38"/>
  </w:num>
  <w:num w:numId="27">
    <w:abstractNumId w:val="12"/>
  </w:num>
  <w:num w:numId="28">
    <w:abstractNumId w:val="3"/>
  </w:num>
  <w:num w:numId="29">
    <w:abstractNumId w:val="29"/>
  </w:num>
  <w:num w:numId="30">
    <w:abstractNumId w:val="32"/>
  </w:num>
  <w:num w:numId="31">
    <w:abstractNumId w:val="39"/>
  </w:num>
  <w:num w:numId="32">
    <w:abstractNumId w:val="20"/>
  </w:num>
  <w:num w:numId="33">
    <w:abstractNumId w:val="18"/>
  </w:num>
  <w:num w:numId="34">
    <w:abstractNumId w:val="15"/>
  </w:num>
  <w:num w:numId="35">
    <w:abstractNumId w:val="16"/>
  </w:num>
  <w:num w:numId="36">
    <w:abstractNumId w:val="5"/>
  </w:num>
  <w:num w:numId="37">
    <w:abstractNumId w:val="8"/>
  </w:num>
  <w:num w:numId="38">
    <w:abstractNumId w:val="34"/>
  </w:num>
  <w:num w:numId="39">
    <w:abstractNumId w:val="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978"/>
    <w:rsid w:val="00040B14"/>
    <w:rsid w:val="000626EE"/>
    <w:rsid w:val="0007460B"/>
    <w:rsid w:val="00080748"/>
    <w:rsid w:val="00100A8A"/>
    <w:rsid w:val="001E7CBB"/>
    <w:rsid w:val="00215FC3"/>
    <w:rsid w:val="002C00AF"/>
    <w:rsid w:val="00302746"/>
    <w:rsid w:val="003146C9"/>
    <w:rsid w:val="003633AC"/>
    <w:rsid w:val="003B6CC5"/>
    <w:rsid w:val="00411D20"/>
    <w:rsid w:val="004155EE"/>
    <w:rsid w:val="004428CA"/>
    <w:rsid w:val="00472CD4"/>
    <w:rsid w:val="00491024"/>
    <w:rsid w:val="004C4065"/>
    <w:rsid w:val="00680F4A"/>
    <w:rsid w:val="006D2BA3"/>
    <w:rsid w:val="0083735F"/>
    <w:rsid w:val="0088092F"/>
    <w:rsid w:val="00894540"/>
    <w:rsid w:val="00895F00"/>
    <w:rsid w:val="008E60BD"/>
    <w:rsid w:val="00904972"/>
    <w:rsid w:val="00951949"/>
    <w:rsid w:val="009567E9"/>
    <w:rsid w:val="00957E1C"/>
    <w:rsid w:val="00A261B8"/>
    <w:rsid w:val="00A276F4"/>
    <w:rsid w:val="00A4338D"/>
    <w:rsid w:val="00A50819"/>
    <w:rsid w:val="00A510E5"/>
    <w:rsid w:val="00AF1EF5"/>
    <w:rsid w:val="00C52153"/>
    <w:rsid w:val="00C67074"/>
    <w:rsid w:val="00C8773D"/>
    <w:rsid w:val="00D5621C"/>
    <w:rsid w:val="00DA3DB0"/>
    <w:rsid w:val="00DC5A87"/>
    <w:rsid w:val="00DE2D75"/>
    <w:rsid w:val="00DF4AD1"/>
    <w:rsid w:val="00E05978"/>
    <w:rsid w:val="00E1103C"/>
    <w:rsid w:val="00E168A0"/>
    <w:rsid w:val="00E313DF"/>
    <w:rsid w:val="00E316B4"/>
    <w:rsid w:val="00F811EA"/>
    <w:rsid w:val="00F972AB"/>
    <w:rsid w:val="00F973F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22106"/>
  <w15:docId w15:val="{29C93513-9B18-494C-9F36-13EC835F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978"/>
    <w:pPr>
      <w:ind w:left="720"/>
      <w:contextualSpacing/>
    </w:pPr>
  </w:style>
  <w:style w:type="paragraph" w:customStyle="1" w:styleId="temas">
    <w:name w:val="temas"/>
    <w:basedOn w:val="Normal"/>
    <w:rsid w:val="00215FC3"/>
    <w:pPr>
      <w:overflowPunct w:val="0"/>
      <w:autoSpaceDE w:val="0"/>
      <w:autoSpaceDN w:val="0"/>
      <w:adjustRightInd w:val="0"/>
      <w:spacing w:after="0" w:line="240" w:lineRule="auto"/>
      <w:textAlignment w:val="baseline"/>
    </w:pPr>
    <w:rPr>
      <w:rFonts w:ascii="Courier New" w:eastAsia="Times New Roman" w:hAnsi="Courier New" w:cs="Times New Roman"/>
      <w:color w:val="000000"/>
      <w:szCs w:val="20"/>
      <w:lang w:val="es-ES_tradnl" w:eastAsia="es-ES"/>
    </w:rPr>
  </w:style>
  <w:style w:type="paragraph" w:styleId="Sangradetextonormal">
    <w:name w:val="Body Text Indent"/>
    <w:basedOn w:val="Normal"/>
    <w:link w:val="SangradetextonormalCar"/>
    <w:rsid w:val="00A261B8"/>
    <w:pPr>
      <w:spacing w:after="0" w:line="360" w:lineRule="auto"/>
      <w:ind w:left="709" w:hanging="709"/>
      <w:jc w:val="both"/>
    </w:pPr>
    <w:rPr>
      <w:rFonts w:ascii="Dutch" w:eastAsia="Times New Roman" w:hAnsi="Dutch" w:cs="Times New Roman"/>
      <w:b/>
      <w:spacing w:val="-3"/>
      <w:sz w:val="26"/>
      <w:szCs w:val="20"/>
      <w:lang w:val="es-ES_tradnl" w:eastAsia="es-ES"/>
    </w:rPr>
  </w:style>
  <w:style w:type="character" w:customStyle="1" w:styleId="SangradetextonormalCar">
    <w:name w:val="Sangría de texto normal Car"/>
    <w:basedOn w:val="Fuentedeprrafopredeter"/>
    <w:link w:val="Sangradetextonormal"/>
    <w:rsid w:val="00A261B8"/>
    <w:rPr>
      <w:rFonts w:ascii="Dutch" w:eastAsia="Times New Roman" w:hAnsi="Dutch" w:cs="Times New Roman"/>
      <w:b/>
      <w:spacing w:val="-3"/>
      <w:sz w:val="26"/>
      <w:szCs w:val="20"/>
      <w:lang w:val="es-ES_tradnl" w:eastAsia="es-ES"/>
    </w:rPr>
  </w:style>
  <w:style w:type="paragraph" w:styleId="NormalWeb">
    <w:name w:val="Normal (Web)"/>
    <w:basedOn w:val="Normal"/>
    <w:uiPriority w:val="99"/>
    <w:semiHidden/>
    <w:unhideWhenUsed/>
    <w:rsid w:val="00E1103C"/>
    <w:rPr>
      <w:rFonts w:ascii="Times New Roman" w:hAnsi="Times New Roman" w:cs="Times New Roman"/>
      <w:sz w:val="24"/>
      <w:szCs w:val="24"/>
    </w:rPr>
  </w:style>
  <w:style w:type="paragraph" w:styleId="Mapadeldocumento">
    <w:name w:val="Document Map"/>
    <w:basedOn w:val="Normal"/>
    <w:link w:val="MapadeldocumentoCar"/>
    <w:uiPriority w:val="99"/>
    <w:semiHidden/>
    <w:unhideWhenUsed/>
    <w:rsid w:val="00472CD4"/>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472CD4"/>
    <w:rPr>
      <w:rFonts w:ascii="Lucida Grande" w:hAnsi="Lucida Grande" w:cs="Lucida Grande"/>
      <w:sz w:val="24"/>
      <w:szCs w:val="24"/>
    </w:rPr>
  </w:style>
  <w:style w:type="paragraph" w:styleId="Textonotapie">
    <w:name w:val="footnote text"/>
    <w:basedOn w:val="Normal"/>
    <w:link w:val="TextonotapieCar"/>
    <w:uiPriority w:val="99"/>
    <w:unhideWhenUsed/>
    <w:rsid w:val="00F972AB"/>
    <w:pPr>
      <w:spacing w:after="0" w:line="240" w:lineRule="auto"/>
    </w:pPr>
    <w:rPr>
      <w:sz w:val="24"/>
      <w:szCs w:val="24"/>
    </w:rPr>
  </w:style>
  <w:style w:type="character" w:customStyle="1" w:styleId="TextonotapieCar">
    <w:name w:val="Texto nota pie Car"/>
    <w:basedOn w:val="Fuentedeprrafopredeter"/>
    <w:link w:val="Textonotapie"/>
    <w:uiPriority w:val="99"/>
    <w:rsid w:val="00F972AB"/>
    <w:rPr>
      <w:sz w:val="24"/>
      <w:szCs w:val="24"/>
    </w:rPr>
  </w:style>
  <w:style w:type="character" w:styleId="Refdenotaalpie">
    <w:name w:val="footnote reference"/>
    <w:basedOn w:val="Fuentedeprrafopredeter"/>
    <w:uiPriority w:val="99"/>
    <w:unhideWhenUsed/>
    <w:rsid w:val="00F972AB"/>
    <w:rPr>
      <w:vertAlign w:val="superscript"/>
    </w:rPr>
  </w:style>
  <w:style w:type="paragraph" w:styleId="Encabezado">
    <w:name w:val="header"/>
    <w:basedOn w:val="Normal"/>
    <w:link w:val="EncabezadoCar"/>
    <w:uiPriority w:val="99"/>
    <w:unhideWhenUsed/>
    <w:rsid w:val="003146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46C9"/>
  </w:style>
  <w:style w:type="paragraph" w:styleId="Piedepgina">
    <w:name w:val="footer"/>
    <w:basedOn w:val="Normal"/>
    <w:link w:val="PiedepginaCar"/>
    <w:uiPriority w:val="99"/>
    <w:unhideWhenUsed/>
    <w:rsid w:val="003146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46C9"/>
  </w:style>
  <w:style w:type="paragraph" w:styleId="Textonotaalfinal">
    <w:name w:val="endnote text"/>
    <w:basedOn w:val="Normal"/>
    <w:link w:val="TextonotaalfinalCar"/>
    <w:uiPriority w:val="99"/>
    <w:semiHidden/>
    <w:unhideWhenUsed/>
    <w:rsid w:val="0030274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02746"/>
    <w:rPr>
      <w:sz w:val="20"/>
      <w:szCs w:val="20"/>
    </w:rPr>
  </w:style>
  <w:style w:type="character" w:styleId="Refdenotaalfinal">
    <w:name w:val="endnote reference"/>
    <w:basedOn w:val="Fuentedeprrafopredeter"/>
    <w:uiPriority w:val="99"/>
    <w:semiHidden/>
    <w:unhideWhenUsed/>
    <w:rsid w:val="003027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18194">
      <w:bodyDiv w:val="1"/>
      <w:marLeft w:val="0"/>
      <w:marRight w:val="0"/>
      <w:marTop w:val="0"/>
      <w:marBottom w:val="0"/>
      <w:divBdr>
        <w:top w:val="none" w:sz="0" w:space="0" w:color="auto"/>
        <w:left w:val="none" w:sz="0" w:space="0" w:color="auto"/>
        <w:bottom w:val="none" w:sz="0" w:space="0" w:color="auto"/>
        <w:right w:val="none" w:sz="0" w:space="0" w:color="auto"/>
      </w:divBdr>
    </w:div>
    <w:div w:id="1524133124">
      <w:bodyDiv w:val="1"/>
      <w:marLeft w:val="0"/>
      <w:marRight w:val="0"/>
      <w:marTop w:val="0"/>
      <w:marBottom w:val="0"/>
      <w:divBdr>
        <w:top w:val="none" w:sz="0" w:space="0" w:color="auto"/>
        <w:left w:val="none" w:sz="0" w:space="0" w:color="auto"/>
        <w:bottom w:val="none" w:sz="0" w:space="0" w:color="auto"/>
        <w:right w:val="none" w:sz="0" w:space="0" w:color="auto"/>
      </w:divBdr>
    </w:div>
    <w:div w:id="1531263962">
      <w:bodyDiv w:val="1"/>
      <w:marLeft w:val="0"/>
      <w:marRight w:val="0"/>
      <w:marTop w:val="0"/>
      <w:marBottom w:val="0"/>
      <w:divBdr>
        <w:top w:val="none" w:sz="0" w:space="0" w:color="auto"/>
        <w:left w:val="none" w:sz="0" w:space="0" w:color="auto"/>
        <w:bottom w:val="none" w:sz="0" w:space="0" w:color="auto"/>
        <w:right w:val="none" w:sz="0" w:space="0" w:color="auto"/>
      </w:divBdr>
    </w:div>
    <w:div w:id="18001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0611-7DA6-4767-B3B3-DC717687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13</Pages>
  <Words>3973</Words>
  <Characters>21852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garcia beamud</dc:creator>
  <cp:keywords/>
  <dc:description/>
  <cp:lastModifiedBy>Elena</cp:lastModifiedBy>
  <cp:revision>8</cp:revision>
  <dcterms:created xsi:type="dcterms:W3CDTF">2019-03-10T16:13:00Z</dcterms:created>
  <dcterms:modified xsi:type="dcterms:W3CDTF">2019-07-31T15:13:00Z</dcterms:modified>
</cp:coreProperties>
</file>