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3E41C523" wp14:editId="7C34A880">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7249" w:rsidRDefault="00D37249">
                            <w:pPr>
                              <w:rPr>
                                <w:rFonts w:ascii="Segoe UI" w:hAnsi="Segoe UI" w:cs="Segoe UI"/>
                                <w:b/>
                                <w:color w:val="FFFFFF" w:themeColor="background1"/>
                                <w:sz w:val="36"/>
                                <w:szCs w:val="36"/>
                              </w:rPr>
                            </w:pPr>
                            <w:r w:rsidRPr="00D37249">
                              <w:rPr>
                                <w:rFonts w:ascii="Segoe UI" w:hAnsi="Segoe UI" w:cs="Segoe UI"/>
                                <w:b/>
                                <w:color w:val="FFFFFF" w:themeColor="background1"/>
                                <w:sz w:val="36"/>
                                <w:szCs w:val="36"/>
                              </w:rPr>
                              <w:t>Enero-Marzo 2020</w:t>
                            </w:r>
                          </w:p>
                          <w:p w:rsidR="00D37249" w:rsidRPr="00D37249" w:rsidRDefault="00D37249">
                            <w:pPr>
                              <w:rPr>
                                <w:rFonts w:ascii="Segoe UI" w:hAnsi="Segoe UI" w:cs="Segoe UI"/>
                                <w:b/>
                                <w:color w:val="FFFFFF" w:themeColor="background1"/>
                                <w:sz w:val="36"/>
                                <w:szCs w:val="36"/>
                              </w:rPr>
                            </w:pPr>
                          </w:p>
                          <w:p w:rsidR="00D37249" w:rsidRPr="00D37249" w:rsidRDefault="00D37249"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rsidR="00D37249" w:rsidRPr="005F1DFB" w:rsidRDefault="00B42623"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00D37249" w:rsidRPr="005F1DFB">
                              <w:rPr>
                                <w:rFonts w:ascii="Segoe UI" w:hAnsi="Segoe UI" w:cs="Segoe UI"/>
                                <w:b/>
                                <w:sz w:val="36"/>
                                <w:szCs w:val="36"/>
                              </w:rPr>
                              <w:t>A)</w:t>
                            </w:r>
                          </w:p>
                          <w:p w:rsidR="005F1DFB" w:rsidRDefault="005F1DFB" w:rsidP="005F1DFB">
                            <w:pPr>
                              <w:spacing w:after="0" w:line="240" w:lineRule="auto"/>
                              <w:rPr>
                                <w:rFonts w:ascii="Segoe UI" w:hAnsi="Segoe UI" w:cs="Segoe UI"/>
                                <w:b/>
                                <w:color w:val="FFFFFF" w:themeColor="background1"/>
                                <w:sz w:val="36"/>
                                <w:szCs w:val="36"/>
                              </w:rPr>
                            </w:pPr>
                          </w:p>
                          <w:p w:rsidR="005F1DFB" w:rsidRDefault="005F1DFB" w:rsidP="005F1DFB">
                            <w:pPr>
                              <w:spacing w:after="0" w:line="240" w:lineRule="auto"/>
                              <w:rPr>
                                <w:rFonts w:ascii="Segoe UI" w:hAnsi="Segoe UI" w:cs="Segoe UI"/>
                                <w:b/>
                                <w:color w:val="FFFFFF" w:themeColor="background1"/>
                                <w:sz w:val="36"/>
                                <w:szCs w:val="36"/>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rPr>
                            </w:pPr>
                          </w:p>
                          <w:p w:rsidR="005F1DFB" w:rsidRPr="00EE05FD" w:rsidRDefault="005F1DFB"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sidR="00EE05FD">
                              <w:rPr>
                                <w:rFonts w:ascii="Segoe UI" w:hAnsi="Segoe UI" w:cs="Segoe UI"/>
                                <w:sz w:val="20"/>
                                <w:szCs w:val="20"/>
                              </w:rPr>
                              <w:t xml:space="preserve">. </w:t>
                            </w:r>
                          </w:p>
                          <w:p w:rsidR="005F1DFB" w:rsidRPr="00EE05FD" w:rsidRDefault="005F1DFB"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rsidR="005F1DFB" w:rsidRDefault="005F1DFB"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rsidR="003F49BB" w:rsidRPr="003F49BB" w:rsidRDefault="003F49BB"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rsidR="00D37249" w:rsidRDefault="00D37249">
                      <w:pPr>
                        <w:rPr>
                          <w:rFonts w:ascii="Segoe UI" w:hAnsi="Segoe UI" w:cs="Segoe UI"/>
                          <w:b/>
                          <w:color w:val="FFFFFF" w:themeColor="background1"/>
                          <w:sz w:val="36"/>
                          <w:szCs w:val="36"/>
                        </w:rPr>
                      </w:pPr>
                      <w:r w:rsidRPr="00D37249">
                        <w:rPr>
                          <w:rFonts w:ascii="Segoe UI" w:hAnsi="Segoe UI" w:cs="Segoe UI"/>
                          <w:b/>
                          <w:color w:val="FFFFFF" w:themeColor="background1"/>
                          <w:sz w:val="36"/>
                          <w:szCs w:val="36"/>
                        </w:rPr>
                        <w:t>Enero-Marzo 2020</w:t>
                      </w:r>
                    </w:p>
                    <w:p w:rsidR="00D37249" w:rsidRPr="00D37249" w:rsidRDefault="00D37249">
                      <w:pPr>
                        <w:rPr>
                          <w:rFonts w:ascii="Segoe UI" w:hAnsi="Segoe UI" w:cs="Segoe UI"/>
                          <w:b/>
                          <w:color w:val="FFFFFF" w:themeColor="background1"/>
                          <w:sz w:val="36"/>
                          <w:szCs w:val="36"/>
                        </w:rPr>
                      </w:pPr>
                    </w:p>
                    <w:p w:rsidR="00D37249" w:rsidRPr="00D37249" w:rsidRDefault="00D37249"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rsidR="00D37249" w:rsidRPr="005F1DFB" w:rsidRDefault="00B42623"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00D37249" w:rsidRPr="005F1DFB">
                        <w:rPr>
                          <w:rFonts w:ascii="Segoe UI" w:hAnsi="Segoe UI" w:cs="Segoe UI"/>
                          <w:b/>
                          <w:sz w:val="36"/>
                          <w:szCs w:val="36"/>
                        </w:rPr>
                        <w:t>A)</w:t>
                      </w:r>
                    </w:p>
                    <w:p w:rsidR="005F1DFB" w:rsidRDefault="005F1DFB" w:rsidP="005F1DFB">
                      <w:pPr>
                        <w:spacing w:after="0" w:line="240" w:lineRule="auto"/>
                        <w:rPr>
                          <w:rFonts w:ascii="Segoe UI" w:hAnsi="Segoe UI" w:cs="Segoe UI"/>
                          <w:b/>
                          <w:color w:val="FFFFFF" w:themeColor="background1"/>
                          <w:sz w:val="36"/>
                          <w:szCs w:val="36"/>
                        </w:rPr>
                      </w:pPr>
                    </w:p>
                    <w:p w:rsidR="005F1DFB" w:rsidRDefault="005F1DFB" w:rsidP="005F1DFB">
                      <w:pPr>
                        <w:spacing w:after="0" w:line="240" w:lineRule="auto"/>
                        <w:rPr>
                          <w:rFonts w:ascii="Segoe UI" w:hAnsi="Segoe UI" w:cs="Segoe UI"/>
                          <w:b/>
                          <w:color w:val="FFFFFF" w:themeColor="background1"/>
                          <w:sz w:val="36"/>
                          <w:szCs w:val="36"/>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color w:val="FFFFFF" w:themeColor="background1"/>
                        </w:rPr>
                      </w:pPr>
                    </w:p>
                    <w:p w:rsidR="005F1DFB" w:rsidRDefault="005F1DFB" w:rsidP="005F1DFB">
                      <w:pPr>
                        <w:spacing w:after="0" w:line="240" w:lineRule="auto"/>
                        <w:rPr>
                          <w:rFonts w:ascii="Segoe UI" w:hAnsi="Segoe UI" w:cs="Segoe UI"/>
                          <w:b/>
                        </w:rPr>
                      </w:pPr>
                    </w:p>
                    <w:p w:rsidR="005F1DFB" w:rsidRPr="00EE05FD" w:rsidRDefault="005F1DFB"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sidR="00EE05FD">
                        <w:rPr>
                          <w:rFonts w:ascii="Segoe UI" w:hAnsi="Segoe UI" w:cs="Segoe UI"/>
                          <w:sz w:val="20"/>
                          <w:szCs w:val="20"/>
                        </w:rPr>
                        <w:t xml:space="preserve">. </w:t>
                      </w:r>
                    </w:p>
                    <w:p w:rsidR="005F1DFB" w:rsidRPr="00EE05FD" w:rsidRDefault="005F1DFB"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rsidR="005F1DFB" w:rsidRDefault="005F1DFB"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rsidR="003F49BB" w:rsidRPr="003F49BB" w:rsidRDefault="003F49BB"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0B314012" wp14:editId="7B73B8E5">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0DEC" w:rsidRPr="005F0DEC" w:rsidRDefault="005F0DEC">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rsidR="005F0DEC" w:rsidRPr="005F0DEC" w:rsidRDefault="005F0DEC">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4B9836ED" wp14:editId="297FEDC7">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8880" cy="9802912"/>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2D589271" wp14:editId="39F6C960">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C2F" w:rsidRPr="00226C2F" w:rsidRDefault="00226C2F"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rsidR="00226C2F" w:rsidRPr="00226C2F" w:rsidRDefault="00226C2F"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rsidR="00226C2F" w:rsidRPr="005F0DEC" w:rsidRDefault="00226C2F" w:rsidP="00226C2F">
                            <w:pPr>
                              <w:spacing w:after="0" w:line="240" w:lineRule="auto"/>
                              <w:rPr>
                                <w:rFonts w:cstheme="minorHAnsi"/>
                                <w:b/>
                                <w:color w:val="FFFFFF" w:themeColor="background1"/>
                              </w:rPr>
                            </w:pPr>
                          </w:p>
                          <w:p w:rsidR="00226C2F" w:rsidRPr="00226C2F" w:rsidRDefault="00226C2F" w:rsidP="00226C2F">
                            <w:pPr>
                              <w:jc w:val="center"/>
                              <w:rPr>
                                <w:rFonts w:cstheme="minorHAnsi"/>
                                <w:b/>
                                <w:color w:val="FFFFFF" w:themeColor="background1"/>
                                <w:sz w:val="20"/>
                                <w:szCs w:val="20"/>
                              </w:rPr>
                            </w:pPr>
                            <w:r w:rsidRPr="00226C2F">
                              <w:rPr>
                                <w:rFonts w:cstheme="minorHAnsi"/>
                                <w:b/>
                                <w:color w:val="FFFFFF" w:themeColor="background1"/>
                                <w:sz w:val="20"/>
                                <w:szCs w:val="20"/>
                              </w:rPr>
                              <w:t>Enero-Marzo 2020</w:t>
                            </w:r>
                          </w:p>
                          <w:p w:rsidR="00226C2F" w:rsidRDefault="00226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rsidR="00226C2F" w:rsidRPr="00226C2F" w:rsidRDefault="00226C2F"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rsidR="00226C2F" w:rsidRPr="00226C2F" w:rsidRDefault="00226C2F"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rsidR="00226C2F" w:rsidRPr="005F0DEC" w:rsidRDefault="00226C2F" w:rsidP="00226C2F">
                      <w:pPr>
                        <w:spacing w:after="0" w:line="240" w:lineRule="auto"/>
                        <w:rPr>
                          <w:rFonts w:cstheme="minorHAnsi"/>
                          <w:b/>
                          <w:color w:val="FFFFFF" w:themeColor="background1"/>
                        </w:rPr>
                      </w:pPr>
                    </w:p>
                    <w:p w:rsidR="00226C2F" w:rsidRPr="00226C2F" w:rsidRDefault="00226C2F" w:rsidP="00226C2F">
                      <w:pPr>
                        <w:jc w:val="center"/>
                        <w:rPr>
                          <w:rFonts w:cstheme="minorHAnsi"/>
                          <w:b/>
                          <w:color w:val="FFFFFF" w:themeColor="background1"/>
                          <w:sz w:val="20"/>
                          <w:szCs w:val="20"/>
                        </w:rPr>
                      </w:pPr>
                      <w:r w:rsidRPr="00226C2F">
                        <w:rPr>
                          <w:rFonts w:cstheme="minorHAnsi"/>
                          <w:b/>
                          <w:color w:val="FFFFFF" w:themeColor="background1"/>
                          <w:sz w:val="20"/>
                          <w:szCs w:val="20"/>
                        </w:rPr>
                        <w:t>Enero-Marzo 2020</w:t>
                      </w:r>
                    </w:p>
                    <w:p w:rsidR="00226C2F" w:rsidRDefault="00226C2F"/>
                  </w:txbxContent>
                </v:textbox>
              </v:shape>
            </w:pict>
          </mc:Fallback>
        </mc:AlternateContent>
      </w:r>
    </w:p>
    <w:p w:rsidR="00226C2F" w:rsidRDefault="00226C2F" w:rsidP="00226C2F">
      <w:pPr>
        <w:spacing w:after="0" w:line="240" w:lineRule="auto"/>
        <w:jc w:val="center"/>
        <w:rPr>
          <w:rFonts w:cstheme="minorHAnsi"/>
          <w:b/>
          <w:color w:val="FFFFFF" w:themeColor="background1"/>
          <w:sz w:val="32"/>
          <w:szCs w:val="32"/>
        </w:rPr>
      </w:pPr>
    </w:p>
    <w:p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3F0A0713" wp14:editId="7EBE3053">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rsidR="00226C2F" w:rsidRPr="00226C2F" w:rsidRDefault="00226C2F"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rsidR="00226C2F" w:rsidRPr="00226C2F" w:rsidRDefault="00226C2F"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rsidR="00226C2F" w:rsidRDefault="00226C2F" w:rsidP="00226C2F">
      <w:pPr>
        <w:spacing w:after="0" w:line="240" w:lineRule="auto"/>
        <w:jc w:val="center"/>
        <w:rPr>
          <w:rFonts w:cstheme="minorHAnsi"/>
          <w:b/>
          <w:color w:val="FFFFFF" w:themeColor="background1"/>
          <w:sz w:val="32"/>
          <w:szCs w:val="32"/>
        </w:rPr>
      </w:pPr>
    </w:p>
    <w:p w:rsidR="00226C2F" w:rsidRPr="00226C2F" w:rsidRDefault="00226C2F" w:rsidP="00226C2F">
      <w:pPr>
        <w:spacing w:after="0" w:line="240" w:lineRule="auto"/>
        <w:jc w:val="center"/>
        <w:rPr>
          <w:rFonts w:cstheme="minorHAnsi"/>
          <w:b/>
          <w:color w:val="FFFFFF" w:themeColor="background1"/>
          <w:sz w:val="20"/>
          <w:szCs w:val="20"/>
        </w:rPr>
      </w:pPr>
    </w:p>
    <w:p w:rsidR="00226C2F" w:rsidRPr="005F0DEC" w:rsidRDefault="00226C2F" w:rsidP="00C943B2">
      <w:pPr>
        <w:rPr>
          <w:rFonts w:ascii="Segoe UI" w:hAnsi="Segoe UI" w:cs="Segoe UI"/>
          <w:b/>
          <w:color w:val="000000" w:themeColor="text1"/>
          <w:sz w:val="20"/>
          <w:szCs w:val="20"/>
        </w:rPr>
      </w:pP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Achón Bruñén, M. J.</w:t>
      </w:r>
      <w:r w:rsidRPr="00C660D0">
        <w:rPr>
          <w:sz w:val="20"/>
          <w:szCs w:val="20"/>
        </w:rPr>
        <w:t xml:space="preserve"> “Problemas prácticos que plantea la oposición por defectos procesales en la ejecución ordinaria, provisional e hipotecaria”: </w:t>
      </w:r>
      <w:r w:rsidRPr="00C660D0">
        <w:rPr>
          <w:i/>
          <w:sz w:val="20"/>
          <w:szCs w:val="20"/>
        </w:rPr>
        <w:t>Proceso civil: cuaderno jurídico</w:t>
      </w:r>
      <w:r w:rsidRPr="00C660D0">
        <w:rPr>
          <w:sz w:val="20"/>
          <w:szCs w:val="20"/>
        </w:rPr>
        <w:t>, Nº. 138, 2020, págs. 7-26.</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Agüero Ortiz,</w:t>
      </w:r>
      <w:r w:rsidRPr="00C660D0">
        <w:rPr>
          <w:sz w:val="20"/>
          <w:szCs w:val="20"/>
        </w:rPr>
        <w:t xml:space="preserve"> A. “Consecuencias auguradas de la doctrina «</w:t>
      </w:r>
      <w:proofErr w:type="spellStart"/>
      <w:r w:rsidRPr="00C660D0">
        <w:rPr>
          <w:sz w:val="20"/>
          <w:szCs w:val="20"/>
        </w:rPr>
        <w:t>sygma</w:t>
      </w:r>
      <w:proofErr w:type="spellEnd"/>
      <w:r w:rsidRPr="00C660D0">
        <w:rPr>
          <w:sz w:val="20"/>
          <w:szCs w:val="20"/>
        </w:rPr>
        <w:t xml:space="preserve">» en la jurisprudencia menor: del interés normal usurario al control de transparencia”: </w:t>
      </w:r>
      <w:r w:rsidRPr="00C660D0">
        <w:rPr>
          <w:i/>
          <w:sz w:val="20"/>
          <w:szCs w:val="20"/>
        </w:rPr>
        <w:t>Revista Jurídica sobre Consumidores y Usuarios</w:t>
      </w:r>
      <w:r w:rsidRPr="00C660D0">
        <w:rPr>
          <w:sz w:val="20"/>
          <w:szCs w:val="20"/>
        </w:rPr>
        <w:t>, N</w:t>
      </w:r>
      <w:r w:rsidR="009E7932">
        <w:rPr>
          <w:sz w:val="20"/>
          <w:szCs w:val="20"/>
        </w:rPr>
        <w:t>º</w:t>
      </w:r>
      <w:r w:rsidRPr="00C660D0">
        <w:rPr>
          <w:sz w:val="20"/>
          <w:szCs w:val="20"/>
        </w:rPr>
        <w:t>.</w:t>
      </w:r>
      <w:bookmarkStart w:id="0" w:name="_GoBack"/>
      <w:bookmarkEnd w:id="0"/>
      <w:r w:rsidRPr="00C660D0">
        <w:rPr>
          <w:sz w:val="20"/>
          <w:szCs w:val="20"/>
        </w:rPr>
        <w:t xml:space="preserve"> 7, Febrero 2020.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Alemany Castell,</w:t>
      </w:r>
      <w:r w:rsidRPr="00C660D0">
        <w:rPr>
          <w:sz w:val="20"/>
          <w:szCs w:val="20"/>
        </w:rPr>
        <w:t xml:space="preserve"> M. “Los créditos y las tarjetas revolving”: </w:t>
      </w:r>
      <w:r w:rsidRPr="00C660D0">
        <w:rPr>
          <w:i/>
          <w:sz w:val="20"/>
          <w:szCs w:val="20"/>
        </w:rPr>
        <w:t>Revista Jurídica sobre Consumidores y Usuarios</w:t>
      </w:r>
      <w:r w:rsidRPr="00C660D0">
        <w:rPr>
          <w:sz w:val="20"/>
          <w:szCs w:val="20"/>
        </w:rPr>
        <w:t>, N</w:t>
      </w:r>
      <w:r w:rsidR="009E7932">
        <w:rPr>
          <w:sz w:val="20"/>
          <w:szCs w:val="20"/>
        </w:rPr>
        <w:t>º</w:t>
      </w:r>
      <w:r w:rsidRPr="00C660D0">
        <w:rPr>
          <w:sz w:val="20"/>
          <w:szCs w:val="20"/>
        </w:rPr>
        <w:t>. 7, Febrero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Amérigo Alonso, J.</w:t>
      </w:r>
      <w:r w:rsidRPr="00C660D0">
        <w:rPr>
          <w:sz w:val="20"/>
          <w:szCs w:val="20"/>
        </w:rPr>
        <w:t xml:space="preserve"> “Sobre el alcance de la noción de prestamista inmobiliario: ¿comprende o no a los compradores de créditos inmobiliarios?”: </w:t>
      </w:r>
      <w:r w:rsidRPr="00C660D0">
        <w:rPr>
          <w:i/>
          <w:sz w:val="20"/>
          <w:szCs w:val="20"/>
        </w:rPr>
        <w:t>Diario La Ley</w:t>
      </w:r>
      <w:r w:rsidRPr="00C660D0">
        <w:rPr>
          <w:sz w:val="20"/>
          <w:szCs w:val="20"/>
        </w:rPr>
        <w:t>, Nº 9594,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Argelich Comelles</w:t>
      </w:r>
      <w:r w:rsidRPr="00C660D0">
        <w:rPr>
          <w:sz w:val="20"/>
          <w:szCs w:val="20"/>
        </w:rPr>
        <w:t xml:space="preserve">, C. “Mediación y responsabilidad civil por accidentes de circulación, negligencias médicas y en el ámbito de la construcción”: </w:t>
      </w:r>
      <w:r w:rsidRPr="00C660D0">
        <w:rPr>
          <w:i/>
          <w:sz w:val="20"/>
          <w:szCs w:val="20"/>
        </w:rPr>
        <w:t>Diario La Ley</w:t>
      </w:r>
      <w:r w:rsidRPr="00C660D0">
        <w:rPr>
          <w:sz w:val="20"/>
          <w:szCs w:val="20"/>
        </w:rPr>
        <w:t>, Nº 9560,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Ariza Sabariego, A.</w:t>
      </w:r>
      <w:r w:rsidRPr="00C660D0">
        <w:rPr>
          <w:sz w:val="20"/>
          <w:szCs w:val="20"/>
        </w:rPr>
        <w:t xml:space="preserve"> “El control de transparencia en la ley de contratos de crédito inmobiliario”: </w:t>
      </w:r>
      <w:r w:rsidRPr="00C660D0">
        <w:rPr>
          <w:i/>
          <w:sz w:val="20"/>
          <w:szCs w:val="20"/>
        </w:rPr>
        <w:t>Diario La Ley</w:t>
      </w:r>
      <w:r w:rsidRPr="00C660D0">
        <w:rPr>
          <w:sz w:val="20"/>
          <w:szCs w:val="20"/>
        </w:rPr>
        <w:t>, Nº 9573,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Bachmeier, T.</w:t>
      </w:r>
      <w:r w:rsidRPr="00C660D0">
        <w:rPr>
          <w:sz w:val="20"/>
          <w:szCs w:val="20"/>
        </w:rPr>
        <w:t xml:space="preserve"> “</w:t>
      </w:r>
      <w:proofErr w:type="spellStart"/>
      <w:r w:rsidRPr="00C660D0">
        <w:rPr>
          <w:sz w:val="20"/>
          <w:szCs w:val="20"/>
        </w:rPr>
        <w:t>Consumer</w:t>
      </w:r>
      <w:proofErr w:type="spellEnd"/>
      <w:r w:rsidRPr="00C660D0">
        <w:rPr>
          <w:sz w:val="20"/>
          <w:szCs w:val="20"/>
        </w:rPr>
        <w:t xml:space="preserve"> </w:t>
      </w:r>
      <w:proofErr w:type="spellStart"/>
      <w:r w:rsidRPr="00C660D0">
        <w:rPr>
          <w:sz w:val="20"/>
          <w:szCs w:val="20"/>
        </w:rPr>
        <w:t>Protection</w:t>
      </w:r>
      <w:proofErr w:type="spellEnd"/>
      <w:r w:rsidRPr="00C660D0">
        <w:rPr>
          <w:sz w:val="20"/>
          <w:szCs w:val="20"/>
        </w:rPr>
        <w:t xml:space="preserve"> in </w:t>
      </w:r>
      <w:proofErr w:type="spellStart"/>
      <w:r w:rsidRPr="00C660D0">
        <w:rPr>
          <w:sz w:val="20"/>
          <w:szCs w:val="20"/>
        </w:rPr>
        <w:t>the</w:t>
      </w:r>
      <w:proofErr w:type="spellEnd"/>
      <w:r w:rsidRPr="00C660D0">
        <w:rPr>
          <w:sz w:val="20"/>
          <w:szCs w:val="20"/>
        </w:rPr>
        <w:t xml:space="preserve"> </w:t>
      </w:r>
      <w:proofErr w:type="spellStart"/>
      <w:r w:rsidRPr="00C660D0">
        <w:rPr>
          <w:sz w:val="20"/>
          <w:szCs w:val="20"/>
        </w:rPr>
        <w:t>Brussels</w:t>
      </w:r>
      <w:proofErr w:type="spellEnd"/>
      <w:r w:rsidRPr="00C660D0">
        <w:rPr>
          <w:sz w:val="20"/>
          <w:szCs w:val="20"/>
        </w:rPr>
        <w:t xml:space="preserve"> I </w:t>
      </w:r>
      <w:proofErr w:type="spellStart"/>
      <w:r w:rsidRPr="00C660D0">
        <w:rPr>
          <w:sz w:val="20"/>
          <w:szCs w:val="20"/>
        </w:rPr>
        <w:t>Recast</w:t>
      </w:r>
      <w:proofErr w:type="spellEnd"/>
      <w:r w:rsidRPr="00C660D0">
        <w:rPr>
          <w:sz w:val="20"/>
          <w:szCs w:val="20"/>
        </w:rPr>
        <w:t xml:space="preserve"> and </w:t>
      </w:r>
      <w:proofErr w:type="spellStart"/>
      <w:r w:rsidRPr="00C660D0">
        <w:rPr>
          <w:sz w:val="20"/>
          <w:szCs w:val="20"/>
        </w:rPr>
        <w:t>its</w:t>
      </w:r>
      <w:proofErr w:type="spellEnd"/>
      <w:r w:rsidRPr="00C660D0">
        <w:rPr>
          <w:sz w:val="20"/>
          <w:szCs w:val="20"/>
        </w:rPr>
        <w:t xml:space="preserve"> Interface </w:t>
      </w:r>
      <w:proofErr w:type="spellStart"/>
      <w:r w:rsidRPr="00C660D0">
        <w:rPr>
          <w:sz w:val="20"/>
          <w:szCs w:val="20"/>
        </w:rPr>
        <w:t>with</w:t>
      </w:r>
      <w:proofErr w:type="spellEnd"/>
      <w:r w:rsidRPr="00C660D0">
        <w:rPr>
          <w:sz w:val="20"/>
          <w:szCs w:val="20"/>
        </w:rPr>
        <w:t xml:space="preserve"> </w:t>
      </w:r>
      <w:proofErr w:type="spellStart"/>
      <w:r w:rsidRPr="00C660D0">
        <w:rPr>
          <w:sz w:val="20"/>
          <w:szCs w:val="20"/>
        </w:rPr>
        <w:t>Third</w:t>
      </w:r>
      <w:proofErr w:type="spellEnd"/>
      <w:r w:rsidRPr="00C660D0">
        <w:rPr>
          <w:sz w:val="20"/>
          <w:szCs w:val="20"/>
        </w:rPr>
        <w:t xml:space="preserve"> </w:t>
      </w:r>
      <w:proofErr w:type="spellStart"/>
      <w:r w:rsidRPr="00C660D0">
        <w:rPr>
          <w:sz w:val="20"/>
          <w:szCs w:val="20"/>
        </w:rPr>
        <w:t>States</w:t>
      </w:r>
      <w:proofErr w:type="spellEnd"/>
      <w:r w:rsidRPr="00C660D0">
        <w:rPr>
          <w:sz w:val="20"/>
          <w:szCs w:val="20"/>
        </w:rPr>
        <w:t xml:space="preserve">”: </w:t>
      </w:r>
      <w:proofErr w:type="spellStart"/>
      <w:r w:rsidRPr="00C660D0">
        <w:rPr>
          <w:i/>
          <w:sz w:val="20"/>
          <w:szCs w:val="20"/>
        </w:rPr>
        <w:t>European</w:t>
      </w:r>
      <w:proofErr w:type="spellEnd"/>
      <w:r w:rsidRPr="00C660D0">
        <w:rPr>
          <w:i/>
          <w:sz w:val="20"/>
          <w:szCs w:val="20"/>
        </w:rPr>
        <w:t xml:space="preserve"> </w:t>
      </w:r>
      <w:proofErr w:type="spellStart"/>
      <w:r w:rsidRPr="00C660D0">
        <w:rPr>
          <w:i/>
          <w:sz w:val="20"/>
          <w:szCs w:val="20"/>
        </w:rPr>
        <w:t>law</w:t>
      </w:r>
      <w:proofErr w:type="spellEnd"/>
      <w:r w:rsidRPr="00C660D0">
        <w:rPr>
          <w:i/>
          <w:sz w:val="20"/>
          <w:szCs w:val="20"/>
        </w:rPr>
        <w:t xml:space="preserve"> </w:t>
      </w:r>
      <w:proofErr w:type="spellStart"/>
      <w:r w:rsidRPr="00C660D0">
        <w:rPr>
          <w:i/>
          <w:sz w:val="20"/>
          <w:szCs w:val="20"/>
        </w:rPr>
        <w:t>review</w:t>
      </w:r>
      <w:proofErr w:type="spellEnd"/>
      <w:r w:rsidRPr="00C660D0">
        <w:rPr>
          <w:sz w:val="20"/>
          <w:szCs w:val="20"/>
        </w:rPr>
        <w:t>, Nº 6, 2019, págs. 841-854.</w:t>
      </w:r>
    </w:p>
    <w:p w:rsid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Ballugera Gómez</w:t>
      </w:r>
      <w:r w:rsidRPr="00C660D0">
        <w:rPr>
          <w:sz w:val="20"/>
          <w:szCs w:val="20"/>
        </w:rPr>
        <w:t xml:space="preserve">, C. “Un interés de demora abusivo a medias. Breve comentario y resumen de la resolución de 27 junio 2019”: </w:t>
      </w:r>
      <w:r w:rsidRPr="00C660D0">
        <w:rPr>
          <w:i/>
          <w:sz w:val="20"/>
          <w:szCs w:val="20"/>
        </w:rPr>
        <w:t xml:space="preserve">Revista de Derecho </w:t>
      </w:r>
      <w:proofErr w:type="spellStart"/>
      <w:r w:rsidRPr="00C660D0">
        <w:rPr>
          <w:i/>
          <w:sz w:val="20"/>
          <w:szCs w:val="20"/>
        </w:rPr>
        <w:t>vLex</w:t>
      </w:r>
      <w:proofErr w:type="spellEnd"/>
      <w:r w:rsidRPr="00C660D0">
        <w:rPr>
          <w:sz w:val="20"/>
          <w:szCs w:val="20"/>
        </w:rPr>
        <w:t>, N</w:t>
      </w:r>
      <w:r w:rsidR="009E7932">
        <w:rPr>
          <w:sz w:val="20"/>
          <w:szCs w:val="20"/>
        </w:rPr>
        <w:t>º</w:t>
      </w:r>
      <w:r w:rsidRPr="00C660D0">
        <w:rPr>
          <w:sz w:val="20"/>
          <w:szCs w:val="20"/>
        </w:rPr>
        <w:t xml:space="preserve">. 188, Enero 2020. </w:t>
      </w:r>
    </w:p>
    <w:p w:rsidR="00C45C39" w:rsidRDefault="00C45C39" w:rsidP="00C45C39">
      <w:pPr>
        <w:pStyle w:val="Prrafodelista"/>
        <w:numPr>
          <w:ilvl w:val="0"/>
          <w:numId w:val="1"/>
        </w:numPr>
        <w:spacing w:beforeLines="100" w:before="240" w:afterLines="100" w:after="240"/>
        <w:ind w:left="357" w:hanging="357"/>
        <w:contextualSpacing w:val="0"/>
        <w:jc w:val="both"/>
        <w:rPr>
          <w:sz w:val="20"/>
          <w:szCs w:val="20"/>
        </w:rPr>
      </w:pPr>
      <w:r w:rsidRPr="00977986">
        <w:rPr>
          <w:sz w:val="20"/>
          <w:szCs w:val="20"/>
        </w:rPr>
        <w:t>BALLUGERA GÓMEZ, C. “Indicación del código de depósito del formulario en el Registro de cláusulas e interés de demora inferior al legal”, en www.notariosyregistradores.com (19 marzo 2020).</w:t>
      </w:r>
    </w:p>
    <w:p w:rsidR="00C45C39" w:rsidRPr="00C45C39" w:rsidRDefault="00C45C39" w:rsidP="00C45C39">
      <w:pPr>
        <w:pStyle w:val="Prrafodelista"/>
        <w:numPr>
          <w:ilvl w:val="0"/>
          <w:numId w:val="1"/>
        </w:numPr>
        <w:spacing w:beforeLines="100" w:before="240" w:afterLines="100" w:after="240"/>
        <w:ind w:left="357" w:hanging="357"/>
        <w:contextualSpacing w:val="0"/>
        <w:jc w:val="both"/>
        <w:rPr>
          <w:sz w:val="20"/>
          <w:szCs w:val="20"/>
        </w:rPr>
      </w:pPr>
      <w:r w:rsidRPr="00977986">
        <w:rPr>
          <w:sz w:val="20"/>
          <w:szCs w:val="20"/>
        </w:rPr>
        <w:t xml:space="preserve">BALLUGERA GÓMEZ, C. “Una visión práctica del control de transparencia aplicado a las hipotecas”, Cápsulas de consumo, </w:t>
      </w:r>
      <w:proofErr w:type="spellStart"/>
      <w:r w:rsidRPr="00977986">
        <w:rPr>
          <w:sz w:val="20"/>
          <w:szCs w:val="20"/>
        </w:rPr>
        <w:t>Càpsules</w:t>
      </w:r>
      <w:proofErr w:type="spellEnd"/>
      <w:r w:rsidRPr="00977986">
        <w:rPr>
          <w:sz w:val="20"/>
          <w:szCs w:val="20"/>
        </w:rPr>
        <w:t xml:space="preserve"> </w:t>
      </w:r>
      <w:proofErr w:type="spellStart"/>
      <w:r w:rsidRPr="00977986">
        <w:rPr>
          <w:sz w:val="20"/>
          <w:szCs w:val="20"/>
        </w:rPr>
        <w:t>formatives</w:t>
      </w:r>
      <w:proofErr w:type="spellEnd"/>
      <w:r w:rsidRPr="00977986">
        <w:rPr>
          <w:sz w:val="20"/>
          <w:szCs w:val="20"/>
        </w:rPr>
        <w:t xml:space="preserve"> </w:t>
      </w:r>
      <w:proofErr w:type="spellStart"/>
      <w:r w:rsidRPr="00977986">
        <w:rPr>
          <w:sz w:val="20"/>
          <w:szCs w:val="20"/>
        </w:rPr>
        <w:t>gratuites</w:t>
      </w:r>
      <w:proofErr w:type="spellEnd"/>
      <w:r w:rsidRPr="00977986">
        <w:rPr>
          <w:sz w:val="20"/>
          <w:szCs w:val="20"/>
        </w:rPr>
        <w:t>, ICAB, (26 marzo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Bastidas Cid, Y. V</w:t>
      </w:r>
      <w:r w:rsidRPr="00C660D0">
        <w:rPr>
          <w:sz w:val="20"/>
          <w:szCs w:val="20"/>
        </w:rPr>
        <w:t xml:space="preserve">. “El cumplimiento de los principios del tratamiento de datos personales establecidos en el reglamento general de protección de datos de la unión europea en proyectos de Big Data”: </w:t>
      </w:r>
      <w:r w:rsidRPr="00C660D0">
        <w:rPr>
          <w:i/>
          <w:sz w:val="20"/>
          <w:szCs w:val="20"/>
        </w:rPr>
        <w:t>Informática y Derecho: Revista Iberoamericana de Derecho Informático (segunda época)</w:t>
      </w:r>
      <w:r w:rsidRPr="00C660D0">
        <w:rPr>
          <w:sz w:val="20"/>
          <w:szCs w:val="20"/>
        </w:rPr>
        <w:t>, Nº. 6, 2019, págs. 15-48.</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Betancor Sánchez, V. E</w:t>
      </w:r>
      <w:r w:rsidRPr="00C660D0">
        <w:rPr>
          <w:sz w:val="20"/>
          <w:szCs w:val="20"/>
        </w:rPr>
        <w:t xml:space="preserve">. “Tarjetas </w:t>
      </w:r>
      <w:proofErr w:type="spellStart"/>
      <w:r w:rsidRPr="00C660D0">
        <w:rPr>
          <w:sz w:val="20"/>
          <w:szCs w:val="20"/>
        </w:rPr>
        <w:t>revolving</w:t>
      </w:r>
      <w:proofErr w:type="spellEnd"/>
      <w:r w:rsidRPr="00C660D0">
        <w:rPr>
          <w:sz w:val="20"/>
          <w:szCs w:val="20"/>
        </w:rPr>
        <w:t xml:space="preserve">: ¿medio de pago o </w:t>
      </w:r>
      <w:proofErr w:type="spellStart"/>
      <w:r w:rsidRPr="00C660D0">
        <w:rPr>
          <w:sz w:val="20"/>
          <w:szCs w:val="20"/>
        </w:rPr>
        <w:t>credito</w:t>
      </w:r>
      <w:proofErr w:type="spellEnd"/>
      <w:r w:rsidRPr="00C660D0">
        <w:rPr>
          <w:sz w:val="20"/>
          <w:szCs w:val="20"/>
        </w:rPr>
        <w:t xml:space="preserve"> al consumo?”: </w:t>
      </w:r>
      <w:r w:rsidRPr="00C660D0">
        <w:rPr>
          <w:i/>
          <w:sz w:val="20"/>
          <w:szCs w:val="20"/>
        </w:rPr>
        <w:t>Diario La Ley</w:t>
      </w:r>
      <w:r w:rsidRPr="00C660D0">
        <w:rPr>
          <w:sz w:val="20"/>
          <w:szCs w:val="20"/>
        </w:rPr>
        <w:t>, Nº 9580,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Blázquez Martín, R.</w:t>
      </w:r>
      <w:r w:rsidRPr="00C660D0">
        <w:rPr>
          <w:sz w:val="20"/>
          <w:szCs w:val="20"/>
        </w:rPr>
        <w:t xml:space="preserve"> “Pronunciamientos de la Sala Primera del Tribunal Supremo sobre seguros obligatorios”: </w:t>
      </w:r>
      <w:r w:rsidRPr="00C660D0">
        <w:rPr>
          <w:i/>
          <w:sz w:val="20"/>
          <w:szCs w:val="20"/>
        </w:rPr>
        <w:t>Diario La Ley</w:t>
      </w:r>
      <w:r w:rsidRPr="00C660D0">
        <w:rPr>
          <w:sz w:val="20"/>
          <w:szCs w:val="20"/>
        </w:rPr>
        <w:t>, Nº 9546,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lastRenderedPageBreak/>
        <w:t>Cano Escobar</w:t>
      </w:r>
      <w:r w:rsidRPr="00C660D0">
        <w:rPr>
          <w:sz w:val="20"/>
          <w:szCs w:val="20"/>
        </w:rPr>
        <w:t xml:space="preserve">, J. “Acciones colectivas y extensión de cosa juzgada a consumidores y usuarios”: </w:t>
      </w:r>
      <w:r w:rsidRPr="00C660D0">
        <w:rPr>
          <w:i/>
          <w:sz w:val="20"/>
          <w:szCs w:val="20"/>
        </w:rPr>
        <w:t>Revista jurídica de Catalunya</w:t>
      </w:r>
      <w:r w:rsidRPr="00C660D0">
        <w:rPr>
          <w:sz w:val="20"/>
          <w:szCs w:val="20"/>
        </w:rPr>
        <w:t>, Vol. 118, Nº 3, 2019, págs. 723-748.</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Casas Vallés</w:t>
      </w:r>
      <w:r w:rsidRPr="00C660D0">
        <w:rPr>
          <w:sz w:val="20"/>
          <w:szCs w:val="20"/>
        </w:rPr>
        <w:t>, R. “Informe sobre la eventual calificación como usurarios de los intereses remuneratorios estipulados en contratos de crédito "</w:t>
      </w:r>
      <w:proofErr w:type="spellStart"/>
      <w:r w:rsidRPr="00C660D0">
        <w:rPr>
          <w:sz w:val="20"/>
          <w:szCs w:val="20"/>
        </w:rPr>
        <w:t>revolving</w:t>
      </w:r>
      <w:proofErr w:type="spellEnd"/>
      <w:r w:rsidRPr="00C660D0">
        <w:rPr>
          <w:sz w:val="20"/>
          <w:szCs w:val="20"/>
        </w:rPr>
        <w:t xml:space="preserve">"”: </w:t>
      </w:r>
      <w:r w:rsidRPr="00C660D0">
        <w:rPr>
          <w:i/>
          <w:sz w:val="20"/>
          <w:szCs w:val="20"/>
        </w:rPr>
        <w:t>Revista Jurídica sobre Consumidores y Usuarios</w:t>
      </w:r>
      <w:r w:rsidRPr="00C660D0">
        <w:rPr>
          <w:sz w:val="20"/>
          <w:szCs w:val="20"/>
        </w:rPr>
        <w:t>, N</w:t>
      </w:r>
      <w:r w:rsidR="009E7932">
        <w:rPr>
          <w:sz w:val="20"/>
          <w:szCs w:val="20"/>
        </w:rPr>
        <w:t>º</w:t>
      </w:r>
      <w:r w:rsidRPr="00C660D0">
        <w:rPr>
          <w:sz w:val="20"/>
          <w:szCs w:val="20"/>
        </w:rPr>
        <w:t>. 7, Febrero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sz w:val="20"/>
          <w:szCs w:val="20"/>
        </w:rPr>
        <w:t xml:space="preserve">CASTILLA BAREA, M. “La protección del tercero hipotecario ante la cesión por un solo cónyuge de un bien de la comunidad </w:t>
      </w:r>
      <w:proofErr w:type="spellStart"/>
      <w:r w:rsidRPr="00C660D0">
        <w:rPr>
          <w:sz w:val="20"/>
          <w:szCs w:val="20"/>
        </w:rPr>
        <w:t>posganancial</w:t>
      </w:r>
      <w:proofErr w:type="spellEnd"/>
      <w:r w:rsidRPr="00C660D0">
        <w:rPr>
          <w:sz w:val="20"/>
          <w:szCs w:val="20"/>
        </w:rPr>
        <w:t xml:space="preserve"> y hereditaria a cambio de alimentos”: </w:t>
      </w:r>
      <w:r w:rsidRPr="00C660D0">
        <w:rPr>
          <w:i/>
          <w:sz w:val="20"/>
          <w:szCs w:val="20"/>
        </w:rPr>
        <w:t>Derecho privado y Constitución</w:t>
      </w:r>
      <w:r w:rsidRPr="00C660D0">
        <w:rPr>
          <w:sz w:val="20"/>
          <w:szCs w:val="20"/>
        </w:rPr>
        <w:t>, Nº 35, 2019, págs. 125-167.</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Conde Fuentes, J.</w:t>
      </w:r>
      <w:r w:rsidRPr="00C660D0">
        <w:rPr>
          <w:sz w:val="20"/>
          <w:szCs w:val="20"/>
        </w:rPr>
        <w:t xml:space="preserve"> “La plataforma europea de resolución de litigios en línea ¿alternativa efectiva para los consumidores?”: </w:t>
      </w:r>
      <w:r w:rsidRPr="00C660D0">
        <w:rPr>
          <w:i/>
          <w:sz w:val="20"/>
          <w:szCs w:val="20"/>
        </w:rPr>
        <w:t>Revista General de Derecho Procesal</w:t>
      </w:r>
      <w:r w:rsidRPr="00C660D0">
        <w:rPr>
          <w:sz w:val="20"/>
          <w:szCs w:val="20"/>
        </w:rPr>
        <w:t>, Nº. 50, 2020.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De las Heras</w:t>
      </w:r>
      <w:r w:rsidRPr="00C660D0">
        <w:rPr>
          <w:sz w:val="20"/>
          <w:szCs w:val="20"/>
        </w:rPr>
        <w:t xml:space="preserve">, M. “La remodelación del viaje combinado por Real Decreto-ley 23/2018, de 21 de diciembre”: </w:t>
      </w:r>
      <w:r w:rsidRPr="00C660D0">
        <w:rPr>
          <w:i/>
          <w:sz w:val="20"/>
          <w:szCs w:val="20"/>
        </w:rPr>
        <w:t>IDP.</w:t>
      </w:r>
      <w:r w:rsidRPr="00C660D0">
        <w:rPr>
          <w:sz w:val="20"/>
          <w:szCs w:val="20"/>
        </w:rPr>
        <w:t xml:space="preserve"> </w:t>
      </w:r>
      <w:r w:rsidRPr="00C660D0">
        <w:rPr>
          <w:i/>
          <w:sz w:val="20"/>
          <w:szCs w:val="20"/>
        </w:rPr>
        <w:t>Revista de Internet, Derecho y Política</w:t>
      </w:r>
      <w:r w:rsidRPr="00C660D0">
        <w:rPr>
          <w:sz w:val="20"/>
          <w:szCs w:val="20"/>
        </w:rPr>
        <w:t>, N</w:t>
      </w:r>
      <w:r w:rsidR="009E7932">
        <w:rPr>
          <w:sz w:val="20"/>
          <w:szCs w:val="20"/>
        </w:rPr>
        <w:t>º</w:t>
      </w:r>
      <w:r w:rsidRPr="00C660D0">
        <w:rPr>
          <w:sz w:val="20"/>
          <w:szCs w:val="20"/>
        </w:rPr>
        <w:t xml:space="preserve">. 30, Enero 2020.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Fatah, F.</w:t>
      </w:r>
      <w:r w:rsidRPr="00C660D0">
        <w:rPr>
          <w:sz w:val="20"/>
          <w:szCs w:val="20"/>
        </w:rPr>
        <w:t xml:space="preserve"> “La </w:t>
      </w:r>
      <w:proofErr w:type="spellStart"/>
      <w:r w:rsidRPr="00C660D0">
        <w:rPr>
          <w:sz w:val="20"/>
          <w:szCs w:val="20"/>
        </w:rPr>
        <w:t>souveraineté</w:t>
      </w:r>
      <w:proofErr w:type="spellEnd"/>
      <w:r w:rsidRPr="00C660D0">
        <w:rPr>
          <w:sz w:val="20"/>
          <w:szCs w:val="20"/>
        </w:rPr>
        <w:t xml:space="preserve"> à </w:t>
      </w:r>
      <w:proofErr w:type="spellStart"/>
      <w:r w:rsidRPr="00C660D0">
        <w:rPr>
          <w:sz w:val="20"/>
          <w:szCs w:val="20"/>
        </w:rPr>
        <w:t>l’ère</w:t>
      </w:r>
      <w:proofErr w:type="spellEnd"/>
      <w:r w:rsidRPr="00C660D0">
        <w:rPr>
          <w:sz w:val="20"/>
          <w:szCs w:val="20"/>
        </w:rPr>
        <w:t xml:space="preserve"> du </w:t>
      </w:r>
      <w:proofErr w:type="spellStart"/>
      <w:proofErr w:type="gramStart"/>
      <w:r w:rsidRPr="00C660D0">
        <w:rPr>
          <w:sz w:val="20"/>
          <w:szCs w:val="20"/>
        </w:rPr>
        <w:t>numérique</w:t>
      </w:r>
      <w:proofErr w:type="spellEnd"/>
      <w:r w:rsidRPr="00C660D0">
        <w:rPr>
          <w:sz w:val="20"/>
          <w:szCs w:val="20"/>
        </w:rPr>
        <w:t xml:space="preserve"> :</w:t>
      </w:r>
      <w:proofErr w:type="gramEnd"/>
      <w:r w:rsidRPr="00C660D0">
        <w:rPr>
          <w:sz w:val="20"/>
          <w:szCs w:val="20"/>
        </w:rPr>
        <w:t xml:space="preserve"> </w:t>
      </w:r>
      <w:proofErr w:type="spellStart"/>
      <w:r w:rsidRPr="00C660D0">
        <w:rPr>
          <w:sz w:val="20"/>
          <w:szCs w:val="20"/>
        </w:rPr>
        <w:t>enjeux</w:t>
      </w:r>
      <w:proofErr w:type="spellEnd"/>
      <w:r w:rsidRPr="00C660D0">
        <w:rPr>
          <w:sz w:val="20"/>
          <w:szCs w:val="20"/>
        </w:rPr>
        <w:t xml:space="preserve"> </w:t>
      </w:r>
      <w:proofErr w:type="spellStart"/>
      <w:r w:rsidRPr="00C660D0">
        <w:rPr>
          <w:sz w:val="20"/>
          <w:szCs w:val="20"/>
        </w:rPr>
        <w:t>stratégiques</w:t>
      </w:r>
      <w:proofErr w:type="spellEnd"/>
      <w:r w:rsidRPr="00C660D0">
        <w:rPr>
          <w:sz w:val="20"/>
          <w:szCs w:val="20"/>
        </w:rPr>
        <w:t xml:space="preserve"> </w:t>
      </w:r>
      <w:proofErr w:type="spellStart"/>
      <w:r w:rsidRPr="00C660D0">
        <w:rPr>
          <w:sz w:val="20"/>
          <w:szCs w:val="20"/>
        </w:rPr>
        <w:t>pour</w:t>
      </w:r>
      <w:proofErr w:type="spellEnd"/>
      <w:r w:rsidRPr="00C660D0">
        <w:rPr>
          <w:sz w:val="20"/>
          <w:szCs w:val="20"/>
        </w:rPr>
        <w:t xml:space="preserve"> </w:t>
      </w:r>
      <w:proofErr w:type="spellStart"/>
      <w:r w:rsidRPr="00C660D0">
        <w:rPr>
          <w:sz w:val="20"/>
          <w:szCs w:val="20"/>
        </w:rPr>
        <w:t>l’État</w:t>
      </w:r>
      <w:proofErr w:type="spellEnd"/>
      <w:r w:rsidRPr="00C660D0">
        <w:rPr>
          <w:sz w:val="20"/>
          <w:szCs w:val="20"/>
        </w:rPr>
        <w:t xml:space="preserve"> </w:t>
      </w:r>
      <w:proofErr w:type="spellStart"/>
      <w:r w:rsidRPr="00C660D0">
        <w:rPr>
          <w:sz w:val="20"/>
          <w:szCs w:val="20"/>
        </w:rPr>
        <w:t>français</w:t>
      </w:r>
      <w:proofErr w:type="spellEnd"/>
      <w:r w:rsidRPr="00C660D0">
        <w:rPr>
          <w:sz w:val="20"/>
          <w:szCs w:val="20"/>
        </w:rPr>
        <w:t xml:space="preserve"> et les </w:t>
      </w:r>
      <w:proofErr w:type="spellStart"/>
      <w:r w:rsidRPr="00C660D0">
        <w:rPr>
          <w:sz w:val="20"/>
          <w:szCs w:val="20"/>
        </w:rPr>
        <w:t>institutions</w:t>
      </w:r>
      <w:proofErr w:type="spellEnd"/>
      <w:r w:rsidRPr="00C660D0">
        <w:rPr>
          <w:sz w:val="20"/>
          <w:szCs w:val="20"/>
        </w:rPr>
        <w:t xml:space="preserve"> </w:t>
      </w:r>
      <w:proofErr w:type="spellStart"/>
      <w:r w:rsidRPr="00C660D0">
        <w:rPr>
          <w:sz w:val="20"/>
          <w:szCs w:val="20"/>
        </w:rPr>
        <w:t>européennes</w:t>
      </w:r>
      <w:proofErr w:type="spellEnd"/>
      <w:r w:rsidRPr="00C660D0">
        <w:rPr>
          <w:sz w:val="20"/>
          <w:szCs w:val="20"/>
        </w:rPr>
        <w:t xml:space="preserve">”: </w:t>
      </w:r>
      <w:proofErr w:type="spellStart"/>
      <w:r w:rsidRPr="00C660D0">
        <w:rPr>
          <w:i/>
          <w:sz w:val="20"/>
          <w:szCs w:val="20"/>
        </w:rPr>
        <w:t>Revue</w:t>
      </w:r>
      <w:proofErr w:type="spellEnd"/>
      <w:r w:rsidRPr="00C660D0">
        <w:rPr>
          <w:i/>
          <w:sz w:val="20"/>
          <w:szCs w:val="20"/>
        </w:rPr>
        <w:t xml:space="preserve"> du marche </w:t>
      </w:r>
      <w:proofErr w:type="spellStart"/>
      <w:r w:rsidRPr="00C660D0">
        <w:rPr>
          <w:i/>
          <w:sz w:val="20"/>
          <w:szCs w:val="20"/>
        </w:rPr>
        <w:t>commun</w:t>
      </w:r>
      <w:proofErr w:type="spellEnd"/>
      <w:r w:rsidRPr="00C660D0">
        <w:rPr>
          <w:i/>
          <w:sz w:val="20"/>
          <w:szCs w:val="20"/>
        </w:rPr>
        <w:t xml:space="preserve"> et de </w:t>
      </w:r>
      <w:proofErr w:type="spellStart"/>
      <w:r w:rsidRPr="00C660D0">
        <w:rPr>
          <w:i/>
          <w:sz w:val="20"/>
          <w:szCs w:val="20"/>
        </w:rPr>
        <w:t>l'Union</w:t>
      </w:r>
      <w:proofErr w:type="spellEnd"/>
      <w:r w:rsidRPr="00C660D0">
        <w:rPr>
          <w:i/>
          <w:sz w:val="20"/>
          <w:szCs w:val="20"/>
        </w:rPr>
        <w:t xml:space="preserve"> </w:t>
      </w:r>
      <w:proofErr w:type="spellStart"/>
      <w:r w:rsidRPr="00C660D0">
        <w:rPr>
          <w:i/>
          <w:sz w:val="20"/>
          <w:szCs w:val="20"/>
        </w:rPr>
        <w:t>Européenne</w:t>
      </w:r>
      <w:proofErr w:type="spellEnd"/>
      <w:r w:rsidRPr="00C660D0">
        <w:rPr>
          <w:sz w:val="20"/>
          <w:szCs w:val="20"/>
        </w:rPr>
        <w:t>, Nº 634, 2020, págs. 26-34.</w:t>
      </w:r>
    </w:p>
    <w:p w:rsidR="00B917BF" w:rsidRDefault="00C660D0" w:rsidP="00B917BF">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Fernández Lozano, J. L.</w:t>
      </w:r>
      <w:r w:rsidRPr="00C660D0">
        <w:rPr>
          <w:sz w:val="20"/>
          <w:szCs w:val="20"/>
        </w:rPr>
        <w:t xml:space="preserve"> “La protección de datos y la función pública notarial”: </w:t>
      </w:r>
      <w:r w:rsidRPr="00C660D0">
        <w:rPr>
          <w:i/>
          <w:sz w:val="20"/>
          <w:szCs w:val="20"/>
        </w:rPr>
        <w:t>Revista Jurídica del Notariado</w:t>
      </w:r>
      <w:r w:rsidRPr="00C660D0">
        <w:rPr>
          <w:sz w:val="20"/>
          <w:szCs w:val="20"/>
        </w:rPr>
        <w:t>, Nº 108-109, 2019 (Ejemplar dedicado a: 130 aniversario Código Civil), págs. 109-235.</w:t>
      </w:r>
    </w:p>
    <w:p w:rsidR="00B917BF" w:rsidRPr="00B917BF" w:rsidRDefault="00B917BF" w:rsidP="00B917BF">
      <w:pPr>
        <w:pStyle w:val="Prrafodelista"/>
        <w:numPr>
          <w:ilvl w:val="0"/>
          <w:numId w:val="1"/>
        </w:numPr>
        <w:spacing w:beforeLines="100" w:before="240" w:afterLines="100" w:after="240"/>
        <w:ind w:left="360"/>
        <w:contextualSpacing w:val="0"/>
        <w:jc w:val="both"/>
        <w:rPr>
          <w:sz w:val="20"/>
          <w:szCs w:val="20"/>
        </w:rPr>
      </w:pPr>
      <w:r w:rsidRPr="00B917BF">
        <w:rPr>
          <w:caps/>
          <w:sz w:val="20"/>
          <w:szCs w:val="20"/>
        </w:rPr>
        <w:t>Fernández Seijo</w:t>
      </w:r>
      <w:r w:rsidRPr="00B917BF">
        <w:rPr>
          <w:sz w:val="20"/>
          <w:szCs w:val="20"/>
        </w:rPr>
        <w:t xml:space="preserve">, J. M. “Devolver la espada al acreedor enajenado: sobre la aplicación práctica de la cláusulas </w:t>
      </w:r>
      <w:proofErr w:type="spellStart"/>
      <w:r w:rsidRPr="00B917BF">
        <w:rPr>
          <w:sz w:val="20"/>
          <w:szCs w:val="20"/>
        </w:rPr>
        <w:t>rebus</w:t>
      </w:r>
      <w:proofErr w:type="spellEnd"/>
      <w:r w:rsidRPr="00B917BF">
        <w:rPr>
          <w:sz w:val="20"/>
          <w:szCs w:val="20"/>
        </w:rPr>
        <w:t xml:space="preserve"> sic </w:t>
      </w:r>
      <w:proofErr w:type="spellStart"/>
      <w:r w:rsidRPr="00B917BF">
        <w:rPr>
          <w:sz w:val="20"/>
          <w:szCs w:val="20"/>
        </w:rPr>
        <w:t>stantibus</w:t>
      </w:r>
      <w:proofErr w:type="spellEnd"/>
      <w:r w:rsidRPr="00B917BF">
        <w:rPr>
          <w:sz w:val="20"/>
          <w:szCs w:val="20"/>
        </w:rPr>
        <w:t xml:space="preserve"> en la última jurisprudencia del Tribunal Supremo”: </w:t>
      </w:r>
      <w:r w:rsidRPr="00B917BF">
        <w:rPr>
          <w:i/>
          <w:sz w:val="20"/>
          <w:szCs w:val="20"/>
        </w:rPr>
        <w:t>Diario La Ley</w:t>
      </w:r>
      <w:r w:rsidRPr="00B917BF">
        <w:rPr>
          <w:sz w:val="20"/>
          <w:szCs w:val="20"/>
        </w:rPr>
        <w:t xml:space="preserve">, Nº 9607, 2020.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Gallego Córcoles, I.</w:t>
      </w:r>
      <w:r w:rsidRPr="00C660D0">
        <w:rPr>
          <w:sz w:val="20"/>
          <w:szCs w:val="20"/>
        </w:rPr>
        <w:t xml:space="preserve"> “Breve nota sobre la nueva regulación de la contratación en los sectores del agua, la energía, los transportes y los servicios postales”: </w:t>
      </w:r>
      <w:r w:rsidRPr="00C660D0">
        <w:rPr>
          <w:i/>
          <w:sz w:val="20"/>
          <w:szCs w:val="20"/>
        </w:rPr>
        <w:t>Diario La Ley</w:t>
      </w:r>
      <w:r w:rsidRPr="00C660D0">
        <w:rPr>
          <w:sz w:val="20"/>
          <w:szCs w:val="20"/>
        </w:rPr>
        <w:t>, Nº 9574, 2020.</w:t>
      </w:r>
    </w:p>
    <w:p w:rsidR="00B917BF" w:rsidRDefault="00C660D0" w:rsidP="00B917BF">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Gálvez Criado, A.</w:t>
      </w:r>
      <w:r w:rsidRPr="00C660D0">
        <w:rPr>
          <w:sz w:val="20"/>
          <w:szCs w:val="20"/>
        </w:rPr>
        <w:t xml:space="preserve"> “El seguro de vida e invalidez vinculado a un préstamo hipotecario y la designación del prestamista como un beneficiario”: </w:t>
      </w:r>
      <w:r w:rsidRPr="00C660D0">
        <w:rPr>
          <w:i/>
          <w:sz w:val="20"/>
          <w:szCs w:val="20"/>
        </w:rPr>
        <w:t>Revista de derecho bancario y bursátil</w:t>
      </w:r>
      <w:r w:rsidRPr="00C660D0">
        <w:rPr>
          <w:sz w:val="20"/>
          <w:szCs w:val="20"/>
        </w:rPr>
        <w:t>, Año nº 38, Nº 156, 2019, págs. 147-184.</w:t>
      </w:r>
    </w:p>
    <w:p w:rsidR="00B917BF" w:rsidRPr="00B917BF" w:rsidRDefault="00B917BF" w:rsidP="00B917BF">
      <w:pPr>
        <w:pStyle w:val="Prrafodelista"/>
        <w:numPr>
          <w:ilvl w:val="0"/>
          <w:numId w:val="1"/>
        </w:numPr>
        <w:spacing w:beforeLines="100" w:before="240" w:afterLines="100" w:after="240"/>
        <w:ind w:left="360"/>
        <w:contextualSpacing w:val="0"/>
        <w:jc w:val="both"/>
        <w:rPr>
          <w:sz w:val="20"/>
          <w:szCs w:val="20"/>
        </w:rPr>
      </w:pPr>
      <w:r w:rsidRPr="00B917BF">
        <w:rPr>
          <w:caps/>
          <w:sz w:val="20"/>
          <w:szCs w:val="20"/>
        </w:rPr>
        <w:t>García Garnica</w:t>
      </w:r>
      <w:r w:rsidRPr="00B917BF">
        <w:rPr>
          <w:sz w:val="20"/>
          <w:szCs w:val="20"/>
        </w:rPr>
        <w:t xml:space="preserve">, M. C. “Las vías para reclamar ante una negligencia médica. Especial consideración a la doctrina de la STS, Sala 1ª, de 5 de junio de 2019, sobre la acción directa en los supuestos de responsabilidad patrimonial de la Administración”: </w:t>
      </w:r>
      <w:r w:rsidRPr="00B917BF">
        <w:rPr>
          <w:i/>
          <w:sz w:val="20"/>
          <w:szCs w:val="20"/>
        </w:rPr>
        <w:t>Revista de Derecho Civil</w:t>
      </w:r>
      <w:r w:rsidRPr="00B917BF">
        <w:rPr>
          <w:sz w:val="20"/>
          <w:szCs w:val="20"/>
        </w:rPr>
        <w:t xml:space="preserve">, Vol. 7, Nº 1, 2020, págs. 31-68.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Gil Aragón, L.</w:t>
      </w:r>
      <w:r w:rsidRPr="00C660D0">
        <w:rPr>
          <w:sz w:val="20"/>
          <w:szCs w:val="20"/>
        </w:rPr>
        <w:t xml:space="preserve"> “Responsabilidad en el uso de inteligencias artificiales”: </w:t>
      </w:r>
      <w:r w:rsidRPr="00C660D0">
        <w:rPr>
          <w:i/>
          <w:sz w:val="20"/>
          <w:szCs w:val="20"/>
        </w:rPr>
        <w:t>Práctica derecho daños: Revista de Responsabilidad Civil y Seguros</w:t>
      </w:r>
      <w:r w:rsidRPr="00C660D0">
        <w:rPr>
          <w:sz w:val="20"/>
          <w:szCs w:val="20"/>
        </w:rPr>
        <w:t>, Nº. 141, 2019, pág. 3.</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Gómez Amigo, L.</w:t>
      </w:r>
      <w:r w:rsidRPr="00C660D0">
        <w:rPr>
          <w:sz w:val="20"/>
          <w:szCs w:val="20"/>
        </w:rPr>
        <w:t xml:space="preserve"> “Control de las cláusulas abusivas y garantías procesales en los procesos con técnica monitoria, a la luz de la jurisprudencia reciente”: </w:t>
      </w:r>
      <w:r w:rsidRPr="00C660D0">
        <w:rPr>
          <w:i/>
          <w:sz w:val="20"/>
          <w:szCs w:val="20"/>
        </w:rPr>
        <w:t>Revista General de Derecho Procesal</w:t>
      </w:r>
      <w:r w:rsidRPr="00C660D0">
        <w:rPr>
          <w:sz w:val="20"/>
          <w:szCs w:val="20"/>
        </w:rPr>
        <w:t>, Nº. 49, 2019.</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González Quevedo, J.; Rosabal Robaina, Y.; González Hernández, A</w:t>
      </w:r>
      <w:r w:rsidRPr="00C660D0">
        <w:rPr>
          <w:sz w:val="20"/>
          <w:szCs w:val="20"/>
        </w:rPr>
        <w:t xml:space="preserve">. “La hipoteca inmobiliaria en Cuba: reformulaciones de pasado y futuro”: </w:t>
      </w:r>
      <w:r w:rsidRPr="00C660D0">
        <w:rPr>
          <w:i/>
          <w:sz w:val="20"/>
          <w:szCs w:val="20"/>
        </w:rPr>
        <w:t>Revista Crítica de Derecho Inmobiliario</w:t>
      </w:r>
      <w:r w:rsidRPr="00C660D0">
        <w:rPr>
          <w:sz w:val="20"/>
          <w:szCs w:val="20"/>
        </w:rPr>
        <w:t>, Año nº 95, Nº Extra 775, 2019 (Ejemplar dedicado a: 500 aniversario de la fundación de La Habana (Cuba)), págs. 125-156.</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lastRenderedPageBreak/>
        <w:t>Grande Seara, P.</w:t>
      </w:r>
      <w:r w:rsidRPr="00C660D0">
        <w:rPr>
          <w:sz w:val="20"/>
          <w:szCs w:val="20"/>
        </w:rPr>
        <w:t xml:space="preserve"> “El sistema arbitral de consumo tras la Ley 7/2017, de 2 de noviembre, por la que se incorpora al ordenamiento jurídico español la Directiva 2013/11/UE, relativa a la resolución alternativa de litigios en materia de consumo”: </w:t>
      </w:r>
      <w:r w:rsidRPr="00C660D0">
        <w:rPr>
          <w:i/>
          <w:sz w:val="20"/>
          <w:szCs w:val="20"/>
        </w:rPr>
        <w:t>Revista General de Derecho Procesal</w:t>
      </w:r>
      <w:r w:rsidRPr="00C660D0">
        <w:rPr>
          <w:sz w:val="20"/>
          <w:szCs w:val="20"/>
        </w:rPr>
        <w:t>, Nº. 50, 2020.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Guillén Navarro</w:t>
      </w:r>
      <w:r w:rsidRPr="00C660D0">
        <w:rPr>
          <w:sz w:val="20"/>
          <w:szCs w:val="20"/>
        </w:rPr>
        <w:t xml:space="preserve">, N. A. “La etiqueta ecológica de la Unión Europea: Régimen jurídico e implementación”: </w:t>
      </w:r>
      <w:r w:rsidRPr="00C660D0">
        <w:rPr>
          <w:i/>
          <w:sz w:val="20"/>
          <w:szCs w:val="20"/>
        </w:rPr>
        <w:t>Actualidad Jurídica Ambiental</w:t>
      </w:r>
      <w:r w:rsidRPr="00C660D0">
        <w:rPr>
          <w:sz w:val="20"/>
          <w:szCs w:val="20"/>
        </w:rPr>
        <w:t>, N</w:t>
      </w:r>
      <w:r w:rsidR="009E7932">
        <w:rPr>
          <w:sz w:val="20"/>
          <w:szCs w:val="20"/>
        </w:rPr>
        <w:t>º</w:t>
      </w:r>
      <w:r w:rsidRPr="00C660D0">
        <w:rPr>
          <w:sz w:val="20"/>
          <w:szCs w:val="20"/>
        </w:rPr>
        <w:t xml:space="preserve">. 98, Febrero 2020.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Izquierdo Grau, G.</w:t>
      </w:r>
      <w:r w:rsidRPr="00C660D0">
        <w:rPr>
          <w:sz w:val="20"/>
          <w:szCs w:val="20"/>
        </w:rPr>
        <w:t xml:space="preserve"> “Análisis sobre la regulación de las acciones colectivas en el ordenamiento jurídico español a la luz de las directrices de la Comisión Europea”: </w:t>
      </w:r>
      <w:r w:rsidRPr="00C660D0">
        <w:rPr>
          <w:i/>
          <w:sz w:val="20"/>
          <w:szCs w:val="20"/>
        </w:rPr>
        <w:t>Revista General de Derecho Procesal</w:t>
      </w:r>
      <w:r w:rsidRPr="00C660D0">
        <w:rPr>
          <w:sz w:val="20"/>
          <w:szCs w:val="20"/>
        </w:rPr>
        <w:t>, Nº. 49, 2019.</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Jiménez Paris, T. A.</w:t>
      </w:r>
      <w:r w:rsidRPr="00C660D0">
        <w:rPr>
          <w:sz w:val="20"/>
          <w:szCs w:val="20"/>
        </w:rPr>
        <w:t xml:space="preserve"> “Breve introducción a la nueva Ley 5/2019, de 15 de marzo, reguladora de los contratos de crédito inmobiliario”: </w:t>
      </w:r>
      <w:r w:rsidRPr="00C660D0">
        <w:rPr>
          <w:i/>
          <w:sz w:val="20"/>
          <w:szCs w:val="20"/>
        </w:rPr>
        <w:t>Revista Crítica de Derecho Inmobiliario</w:t>
      </w:r>
      <w:r w:rsidRPr="00C660D0">
        <w:rPr>
          <w:sz w:val="20"/>
          <w:szCs w:val="20"/>
        </w:rPr>
        <w:t>, Nº 776, 2019, págs. 3127-3154</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Jiménez-Asenjo Sotomayor, L.</w:t>
      </w:r>
      <w:r w:rsidRPr="00C660D0">
        <w:rPr>
          <w:sz w:val="20"/>
          <w:szCs w:val="20"/>
        </w:rPr>
        <w:t xml:space="preserve"> “La influencia de la jurisprudencia bancaria protectora del consumidor en la de seguros”: </w:t>
      </w:r>
      <w:r w:rsidRPr="00C660D0">
        <w:rPr>
          <w:i/>
          <w:sz w:val="20"/>
          <w:szCs w:val="20"/>
        </w:rPr>
        <w:t>Revista española de seguros: Publicación doctrinal de Derecho y Economía de los Seguros privados</w:t>
      </w:r>
      <w:r w:rsidRPr="00C660D0">
        <w:rPr>
          <w:sz w:val="20"/>
          <w:szCs w:val="20"/>
        </w:rPr>
        <w:t>, Nº. 180, 2019, págs. 475-482.</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Lagos Rodríguez, B.</w:t>
      </w:r>
      <w:r w:rsidRPr="00C660D0">
        <w:rPr>
          <w:sz w:val="20"/>
          <w:szCs w:val="20"/>
        </w:rPr>
        <w:t xml:space="preserve"> “Responsabilidad bancaria por el incumplimiento de la obligación de custodia en el robo de la caja de seguridad: especial atención a la declaración de la víctima en nuestra doctrina y jurisprudencia”: </w:t>
      </w:r>
      <w:r w:rsidRPr="00C660D0">
        <w:rPr>
          <w:i/>
          <w:sz w:val="20"/>
          <w:szCs w:val="20"/>
        </w:rPr>
        <w:t>Revista de derecho bancario y bursátil</w:t>
      </w:r>
      <w:r w:rsidRPr="00C660D0">
        <w:rPr>
          <w:sz w:val="20"/>
          <w:szCs w:val="20"/>
        </w:rPr>
        <w:t>, Año nº 38, Nº 156, 2019, págs. 107-146.</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Laneret, N.</w:t>
      </w:r>
      <w:r w:rsidRPr="00C660D0">
        <w:rPr>
          <w:sz w:val="20"/>
          <w:szCs w:val="20"/>
        </w:rPr>
        <w:t xml:space="preserve"> “</w:t>
      </w:r>
      <w:proofErr w:type="spellStart"/>
      <w:r w:rsidRPr="00C660D0">
        <w:rPr>
          <w:sz w:val="20"/>
          <w:szCs w:val="20"/>
        </w:rPr>
        <w:t>L’accountability</w:t>
      </w:r>
      <w:proofErr w:type="spellEnd"/>
      <w:r w:rsidRPr="00C660D0">
        <w:rPr>
          <w:sz w:val="20"/>
          <w:szCs w:val="20"/>
        </w:rPr>
        <w:t xml:space="preserve"> et la </w:t>
      </w:r>
      <w:proofErr w:type="spellStart"/>
      <w:r w:rsidRPr="00C660D0">
        <w:rPr>
          <w:sz w:val="20"/>
          <w:szCs w:val="20"/>
        </w:rPr>
        <w:t>protection</w:t>
      </w:r>
      <w:proofErr w:type="spellEnd"/>
      <w:r w:rsidRPr="00C660D0">
        <w:rPr>
          <w:sz w:val="20"/>
          <w:szCs w:val="20"/>
        </w:rPr>
        <w:t xml:space="preserve"> </w:t>
      </w:r>
      <w:proofErr w:type="spellStart"/>
      <w:r w:rsidRPr="00C660D0">
        <w:rPr>
          <w:sz w:val="20"/>
          <w:szCs w:val="20"/>
        </w:rPr>
        <w:t>effective</w:t>
      </w:r>
      <w:proofErr w:type="spellEnd"/>
      <w:r w:rsidRPr="00C660D0">
        <w:rPr>
          <w:sz w:val="20"/>
          <w:szCs w:val="20"/>
        </w:rPr>
        <w:t xml:space="preserve"> des </w:t>
      </w:r>
      <w:proofErr w:type="spellStart"/>
      <w:r w:rsidRPr="00C660D0">
        <w:rPr>
          <w:sz w:val="20"/>
          <w:szCs w:val="20"/>
        </w:rPr>
        <w:t>données</w:t>
      </w:r>
      <w:proofErr w:type="spellEnd"/>
      <w:r w:rsidRPr="00C660D0">
        <w:rPr>
          <w:sz w:val="20"/>
          <w:szCs w:val="20"/>
        </w:rPr>
        <w:t xml:space="preserve"> </w:t>
      </w:r>
      <w:proofErr w:type="spellStart"/>
      <w:r w:rsidRPr="00C660D0">
        <w:rPr>
          <w:sz w:val="20"/>
          <w:szCs w:val="20"/>
        </w:rPr>
        <w:t>personnelles</w:t>
      </w:r>
      <w:proofErr w:type="spellEnd"/>
      <w:r w:rsidRPr="00C660D0">
        <w:rPr>
          <w:sz w:val="20"/>
          <w:szCs w:val="20"/>
        </w:rPr>
        <w:t xml:space="preserve"> </w:t>
      </w:r>
      <w:proofErr w:type="spellStart"/>
      <w:r w:rsidRPr="00C660D0">
        <w:rPr>
          <w:sz w:val="20"/>
          <w:szCs w:val="20"/>
        </w:rPr>
        <w:t>dans</w:t>
      </w:r>
      <w:proofErr w:type="spellEnd"/>
      <w:r w:rsidRPr="00C660D0">
        <w:rPr>
          <w:sz w:val="20"/>
          <w:szCs w:val="20"/>
        </w:rPr>
        <w:t xml:space="preserve"> un monde digital </w:t>
      </w:r>
      <w:proofErr w:type="spellStart"/>
      <w:r w:rsidRPr="00C660D0">
        <w:rPr>
          <w:sz w:val="20"/>
          <w:szCs w:val="20"/>
        </w:rPr>
        <w:t>connecté</w:t>
      </w:r>
      <w:proofErr w:type="spellEnd"/>
      <w:r w:rsidRPr="00C660D0">
        <w:rPr>
          <w:sz w:val="20"/>
          <w:szCs w:val="20"/>
        </w:rPr>
        <w:t xml:space="preserve">”: </w:t>
      </w:r>
      <w:proofErr w:type="spellStart"/>
      <w:r w:rsidRPr="00C660D0">
        <w:rPr>
          <w:i/>
          <w:sz w:val="20"/>
          <w:szCs w:val="20"/>
        </w:rPr>
        <w:t>Revue</w:t>
      </w:r>
      <w:proofErr w:type="spellEnd"/>
      <w:r w:rsidRPr="00C660D0">
        <w:rPr>
          <w:i/>
          <w:sz w:val="20"/>
          <w:szCs w:val="20"/>
        </w:rPr>
        <w:t xml:space="preserve"> du marche </w:t>
      </w:r>
      <w:proofErr w:type="spellStart"/>
      <w:r w:rsidRPr="00C660D0">
        <w:rPr>
          <w:i/>
          <w:sz w:val="20"/>
          <w:szCs w:val="20"/>
        </w:rPr>
        <w:t>commun</w:t>
      </w:r>
      <w:proofErr w:type="spellEnd"/>
      <w:r w:rsidRPr="00C660D0">
        <w:rPr>
          <w:i/>
          <w:sz w:val="20"/>
          <w:szCs w:val="20"/>
        </w:rPr>
        <w:t xml:space="preserve"> et de </w:t>
      </w:r>
      <w:proofErr w:type="spellStart"/>
      <w:r w:rsidRPr="00C660D0">
        <w:rPr>
          <w:i/>
          <w:sz w:val="20"/>
          <w:szCs w:val="20"/>
        </w:rPr>
        <w:t>l'Union</w:t>
      </w:r>
      <w:proofErr w:type="spellEnd"/>
      <w:r w:rsidRPr="00C660D0">
        <w:rPr>
          <w:i/>
          <w:sz w:val="20"/>
          <w:szCs w:val="20"/>
        </w:rPr>
        <w:t xml:space="preserve"> </w:t>
      </w:r>
      <w:proofErr w:type="spellStart"/>
      <w:r w:rsidRPr="00C660D0">
        <w:rPr>
          <w:i/>
          <w:sz w:val="20"/>
          <w:szCs w:val="20"/>
        </w:rPr>
        <w:t>Européenne</w:t>
      </w:r>
      <w:proofErr w:type="spellEnd"/>
      <w:r w:rsidRPr="00C660D0">
        <w:rPr>
          <w:sz w:val="20"/>
          <w:szCs w:val="20"/>
        </w:rPr>
        <w:t>, Nº 634, 2020, págs. 35-40.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Laro-González, E.</w:t>
      </w:r>
      <w:r w:rsidRPr="00C660D0">
        <w:rPr>
          <w:sz w:val="20"/>
          <w:szCs w:val="20"/>
        </w:rPr>
        <w:t xml:space="preserve"> “Nuevos horizontes para el derecho de protección de datos personales, al amparo del nuevo reglamento general de protección de datos y de la directiva relativa al tratamiento de datos personales en el ámbito penal”: </w:t>
      </w:r>
      <w:r w:rsidRPr="00C660D0">
        <w:rPr>
          <w:i/>
          <w:sz w:val="20"/>
          <w:szCs w:val="20"/>
        </w:rPr>
        <w:t>Informática y Derecho: Revista Iberoamericana de Derecho Informático (segunda época)</w:t>
      </w:r>
      <w:r w:rsidRPr="00C660D0">
        <w:rPr>
          <w:sz w:val="20"/>
          <w:szCs w:val="20"/>
        </w:rPr>
        <w:t>, Nº. 6, 2019, págs. 49-73.</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Livenais, T.</w:t>
      </w:r>
      <w:r w:rsidRPr="00C660D0">
        <w:rPr>
          <w:sz w:val="20"/>
          <w:szCs w:val="20"/>
        </w:rPr>
        <w:t xml:space="preserve"> “Le </w:t>
      </w:r>
      <w:proofErr w:type="spellStart"/>
      <w:r w:rsidRPr="00C660D0">
        <w:rPr>
          <w:sz w:val="20"/>
          <w:szCs w:val="20"/>
        </w:rPr>
        <w:t>règlement</w:t>
      </w:r>
      <w:proofErr w:type="spellEnd"/>
      <w:r w:rsidRPr="00C660D0">
        <w:rPr>
          <w:sz w:val="20"/>
          <w:szCs w:val="20"/>
        </w:rPr>
        <w:t xml:space="preserve"> </w:t>
      </w:r>
      <w:proofErr w:type="spellStart"/>
      <w:r w:rsidRPr="00C660D0">
        <w:rPr>
          <w:sz w:val="20"/>
          <w:szCs w:val="20"/>
        </w:rPr>
        <w:t>général</w:t>
      </w:r>
      <w:proofErr w:type="spellEnd"/>
      <w:r w:rsidRPr="00C660D0">
        <w:rPr>
          <w:sz w:val="20"/>
          <w:szCs w:val="20"/>
        </w:rPr>
        <w:t xml:space="preserve"> sur la </w:t>
      </w:r>
      <w:proofErr w:type="spellStart"/>
      <w:r w:rsidRPr="00C660D0">
        <w:rPr>
          <w:sz w:val="20"/>
          <w:szCs w:val="20"/>
        </w:rPr>
        <w:t>protection</w:t>
      </w:r>
      <w:proofErr w:type="spellEnd"/>
      <w:r w:rsidRPr="00C660D0">
        <w:rPr>
          <w:sz w:val="20"/>
          <w:szCs w:val="20"/>
        </w:rPr>
        <w:t xml:space="preserve"> des </w:t>
      </w:r>
      <w:proofErr w:type="spellStart"/>
      <w:r w:rsidRPr="00C660D0">
        <w:rPr>
          <w:sz w:val="20"/>
          <w:szCs w:val="20"/>
        </w:rPr>
        <w:t>données</w:t>
      </w:r>
      <w:proofErr w:type="spellEnd"/>
      <w:r w:rsidRPr="00C660D0">
        <w:rPr>
          <w:sz w:val="20"/>
          <w:szCs w:val="20"/>
        </w:rPr>
        <w:t xml:space="preserve">, </w:t>
      </w:r>
      <w:proofErr w:type="spellStart"/>
      <w:r w:rsidRPr="00C660D0">
        <w:rPr>
          <w:sz w:val="20"/>
          <w:szCs w:val="20"/>
        </w:rPr>
        <w:t>outil</w:t>
      </w:r>
      <w:proofErr w:type="spellEnd"/>
      <w:r w:rsidRPr="00C660D0">
        <w:rPr>
          <w:sz w:val="20"/>
          <w:szCs w:val="20"/>
        </w:rPr>
        <w:t xml:space="preserve"> </w:t>
      </w:r>
      <w:proofErr w:type="spellStart"/>
      <w:r w:rsidRPr="00C660D0">
        <w:rPr>
          <w:sz w:val="20"/>
          <w:szCs w:val="20"/>
        </w:rPr>
        <w:t>d’émancipation</w:t>
      </w:r>
      <w:proofErr w:type="spellEnd"/>
      <w:r w:rsidRPr="00C660D0">
        <w:rPr>
          <w:sz w:val="20"/>
          <w:szCs w:val="20"/>
        </w:rPr>
        <w:t xml:space="preserve"> des </w:t>
      </w:r>
      <w:proofErr w:type="spellStart"/>
      <w:r w:rsidRPr="00C660D0">
        <w:rPr>
          <w:sz w:val="20"/>
          <w:szCs w:val="20"/>
        </w:rPr>
        <w:t>consommateurs</w:t>
      </w:r>
      <w:proofErr w:type="spellEnd"/>
      <w:r w:rsidRPr="00C660D0">
        <w:rPr>
          <w:sz w:val="20"/>
          <w:szCs w:val="20"/>
        </w:rPr>
        <w:t xml:space="preserve"> </w:t>
      </w:r>
      <w:proofErr w:type="spellStart"/>
      <w:r w:rsidRPr="00C660D0">
        <w:rPr>
          <w:sz w:val="20"/>
          <w:szCs w:val="20"/>
        </w:rPr>
        <w:t>face</w:t>
      </w:r>
      <w:proofErr w:type="spellEnd"/>
      <w:r w:rsidRPr="00C660D0">
        <w:rPr>
          <w:sz w:val="20"/>
          <w:szCs w:val="20"/>
        </w:rPr>
        <w:t xml:space="preserve"> </w:t>
      </w:r>
      <w:proofErr w:type="spellStart"/>
      <w:r w:rsidRPr="00C660D0">
        <w:rPr>
          <w:sz w:val="20"/>
          <w:szCs w:val="20"/>
        </w:rPr>
        <w:t>aux</w:t>
      </w:r>
      <w:proofErr w:type="spellEnd"/>
      <w:r w:rsidRPr="00C660D0">
        <w:rPr>
          <w:sz w:val="20"/>
          <w:szCs w:val="20"/>
        </w:rPr>
        <w:t xml:space="preserve"> </w:t>
      </w:r>
      <w:proofErr w:type="spellStart"/>
      <w:r w:rsidRPr="00C660D0">
        <w:rPr>
          <w:sz w:val="20"/>
          <w:szCs w:val="20"/>
        </w:rPr>
        <w:t>objets</w:t>
      </w:r>
      <w:proofErr w:type="spellEnd"/>
      <w:r w:rsidRPr="00C660D0">
        <w:rPr>
          <w:sz w:val="20"/>
          <w:szCs w:val="20"/>
        </w:rPr>
        <w:t xml:space="preserve"> </w:t>
      </w:r>
      <w:proofErr w:type="spellStart"/>
      <w:r w:rsidRPr="00C660D0">
        <w:rPr>
          <w:sz w:val="20"/>
          <w:szCs w:val="20"/>
        </w:rPr>
        <w:t>connectés</w:t>
      </w:r>
      <w:proofErr w:type="spellEnd"/>
      <w:r w:rsidRPr="00C660D0">
        <w:rPr>
          <w:sz w:val="20"/>
          <w:szCs w:val="20"/>
        </w:rPr>
        <w:t xml:space="preserve">”: </w:t>
      </w:r>
      <w:proofErr w:type="spellStart"/>
      <w:r w:rsidRPr="00C660D0">
        <w:rPr>
          <w:i/>
          <w:sz w:val="20"/>
          <w:szCs w:val="20"/>
        </w:rPr>
        <w:t>Revue</w:t>
      </w:r>
      <w:proofErr w:type="spellEnd"/>
      <w:r w:rsidRPr="00C660D0">
        <w:rPr>
          <w:i/>
          <w:sz w:val="20"/>
          <w:szCs w:val="20"/>
        </w:rPr>
        <w:t xml:space="preserve"> du marche </w:t>
      </w:r>
      <w:proofErr w:type="spellStart"/>
      <w:r w:rsidRPr="00C660D0">
        <w:rPr>
          <w:i/>
          <w:sz w:val="20"/>
          <w:szCs w:val="20"/>
        </w:rPr>
        <w:t>commun</w:t>
      </w:r>
      <w:proofErr w:type="spellEnd"/>
      <w:r w:rsidRPr="00C660D0">
        <w:rPr>
          <w:i/>
          <w:sz w:val="20"/>
          <w:szCs w:val="20"/>
        </w:rPr>
        <w:t xml:space="preserve"> et de </w:t>
      </w:r>
      <w:proofErr w:type="spellStart"/>
      <w:r w:rsidRPr="00C660D0">
        <w:rPr>
          <w:i/>
          <w:sz w:val="20"/>
          <w:szCs w:val="20"/>
        </w:rPr>
        <w:t>l'Union</w:t>
      </w:r>
      <w:proofErr w:type="spellEnd"/>
      <w:r w:rsidRPr="00C660D0">
        <w:rPr>
          <w:i/>
          <w:sz w:val="20"/>
          <w:szCs w:val="20"/>
        </w:rPr>
        <w:t xml:space="preserve"> </w:t>
      </w:r>
      <w:proofErr w:type="spellStart"/>
      <w:r w:rsidRPr="00C660D0">
        <w:rPr>
          <w:i/>
          <w:sz w:val="20"/>
          <w:szCs w:val="20"/>
        </w:rPr>
        <w:t>Européenne</w:t>
      </w:r>
      <w:proofErr w:type="spellEnd"/>
      <w:r w:rsidRPr="00C660D0">
        <w:rPr>
          <w:sz w:val="20"/>
          <w:szCs w:val="20"/>
        </w:rPr>
        <w:t>, Nº 634, 2020, págs. 48-52.</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Macho Carro</w:t>
      </w:r>
      <w:r w:rsidRPr="00C660D0">
        <w:rPr>
          <w:sz w:val="20"/>
          <w:szCs w:val="20"/>
        </w:rPr>
        <w:t xml:space="preserve">, A. “La tutela jurisdiccional indirecta del Derecho a la vivienda en la Unión Europea”: </w:t>
      </w:r>
      <w:r w:rsidRPr="00C660D0">
        <w:rPr>
          <w:i/>
          <w:sz w:val="20"/>
          <w:szCs w:val="20"/>
        </w:rPr>
        <w:t>Revista de estudios europeos</w:t>
      </w:r>
      <w:r w:rsidRPr="00C660D0">
        <w:rPr>
          <w:sz w:val="20"/>
          <w:szCs w:val="20"/>
        </w:rPr>
        <w:t>, Nº. 75 (Enero-Junio), 2020, págs. 292-305.</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Marín Narros, H. D.</w:t>
      </w:r>
      <w:r w:rsidRPr="00C660D0">
        <w:rPr>
          <w:sz w:val="20"/>
          <w:szCs w:val="20"/>
        </w:rPr>
        <w:t xml:space="preserve"> “Nulidad de la condición general de resolución anticipada de los préstamos hipotecarios con consumidores conforme a las SSTJUE de 14 de marzo de 2013, de 26 de enero de 2017, de 26 de marzo de 2019, SSTS de 23 de diciembre de 2015, de 18 de febrero de 2016, de 11 de septiembre de 2019 y resto de jurisprudencia del Tribunal Supremo y jurisprudencia menor”: Revista Crítica de Derecho Inmobiliario, Año nº 95, Nº 775, 2019, págs. 2695-2726</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Martín Briceño, M. R.</w:t>
      </w:r>
      <w:r w:rsidRPr="00C660D0">
        <w:rPr>
          <w:sz w:val="20"/>
          <w:szCs w:val="20"/>
        </w:rPr>
        <w:t xml:space="preserve"> “Los efectos del afianzamiento de un préstamo en la sociedad de gananciales: en especial la fianza del préstamo hipotecario”: </w:t>
      </w:r>
      <w:r w:rsidRPr="00C660D0">
        <w:rPr>
          <w:i/>
          <w:sz w:val="20"/>
          <w:szCs w:val="20"/>
        </w:rPr>
        <w:t>Revista Crítica de Derecho Inmobiliario</w:t>
      </w:r>
      <w:r w:rsidRPr="00C660D0">
        <w:rPr>
          <w:sz w:val="20"/>
          <w:szCs w:val="20"/>
        </w:rPr>
        <w:t>, Nº 776, 2019, págs. 2805-2850.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lastRenderedPageBreak/>
        <w:t>Martín Fuster, J.</w:t>
      </w:r>
      <w:r w:rsidRPr="00C660D0">
        <w:rPr>
          <w:sz w:val="20"/>
          <w:szCs w:val="20"/>
        </w:rPr>
        <w:t xml:space="preserve"> “Suspensión del pago del préstamo hipotecario a causa del Coronavirus: Supuestos dentro y fuera del ámbito del Real Decreto-Ley 8/2020 y problemas prácticos”: </w:t>
      </w:r>
      <w:r w:rsidRPr="00C660D0">
        <w:rPr>
          <w:i/>
          <w:sz w:val="20"/>
          <w:szCs w:val="20"/>
        </w:rPr>
        <w:t>Diario La Ley</w:t>
      </w:r>
      <w:r w:rsidRPr="00C660D0">
        <w:rPr>
          <w:sz w:val="20"/>
          <w:szCs w:val="20"/>
        </w:rPr>
        <w:t>, Nº 9602,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Martín Moral, M. F.</w:t>
      </w:r>
      <w:r w:rsidRPr="00C660D0">
        <w:rPr>
          <w:sz w:val="20"/>
          <w:szCs w:val="20"/>
        </w:rPr>
        <w:t xml:space="preserve"> “La protección del consumidor frente a las plataformas colaborativas: Una especial referencia al caso de </w:t>
      </w:r>
      <w:proofErr w:type="spellStart"/>
      <w:r w:rsidRPr="00C660D0">
        <w:rPr>
          <w:sz w:val="20"/>
          <w:szCs w:val="20"/>
        </w:rPr>
        <w:t>Airbnb</w:t>
      </w:r>
      <w:proofErr w:type="spellEnd"/>
      <w:r w:rsidRPr="00C660D0">
        <w:rPr>
          <w:sz w:val="20"/>
          <w:szCs w:val="20"/>
        </w:rPr>
        <w:t xml:space="preserve"> </w:t>
      </w:r>
      <w:proofErr w:type="spellStart"/>
      <w:r w:rsidRPr="00C660D0">
        <w:rPr>
          <w:sz w:val="20"/>
          <w:szCs w:val="20"/>
        </w:rPr>
        <w:t>Ireland</w:t>
      </w:r>
      <w:proofErr w:type="spellEnd"/>
      <w:r w:rsidRPr="00C660D0">
        <w:rPr>
          <w:sz w:val="20"/>
          <w:szCs w:val="20"/>
        </w:rPr>
        <w:t xml:space="preserve">”: </w:t>
      </w:r>
      <w:r w:rsidRPr="00C660D0">
        <w:rPr>
          <w:i/>
          <w:sz w:val="20"/>
          <w:szCs w:val="20"/>
        </w:rPr>
        <w:t>La Ley mercantil</w:t>
      </w:r>
      <w:r w:rsidRPr="00C660D0">
        <w:rPr>
          <w:sz w:val="20"/>
          <w:szCs w:val="20"/>
        </w:rPr>
        <w:t>, Nº. 64 (diciembre), 2019, pág. 4.</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 xml:space="preserve">Martínez </w:t>
      </w:r>
      <w:proofErr w:type="spellStart"/>
      <w:r w:rsidRPr="00C660D0">
        <w:rPr>
          <w:caps/>
          <w:sz w:val="20"/>
          <w:szCs w:val="20"/>
        </w:rPr>
        <w:t>Martínez</w:t>
      </w:r>
      <w:proofErr w:type="spellEnd"/>
      <w:r w:rsidRPr="00C660D0">
        <w:rPr>
          <w:caps/>
          <w:sz w:val="20"/>
          <w:szCs w:val="20"/>
        </w:rPr>
        <w:t>, N.</w:t>
      </w:r>
      <w:r w:rsidRPr="00C660D0">
        <w:rPr>
          <w:sz w:val="20"/>
          <w:szCs w:val="20"/>
        </w:rPr>
        <w:t xml:space="preserve">  “Reflexiones en torno a la protección post mortem de los datos personales y la gestión de la transmisión </w:t>
      </w:r>
      <w:proofErr w:type="spellStart"/>
      <w:r w:rsidRPr="00C660D0">
        <w:rPr>
          <w:sz w:val="20"/>
          <w:szCs w:val="20"/>
        </w:rPr>
        <w:t>mortls</w:t>
      </w:r>
      <w:proofErr w:type="spellEnd"/>
      <w:r w:rsidRPr="00C660D0">
        <w:rPr>
          <w:sz w:val="20"/>
          <w:szCs w:val="20"/>
        </w:rPr>
        <w:t xml:space="preserve"> causa del patrimonio digital tras la aprobación de la LOPDGDD”: </w:t>
      </w:r>
      <w:r w:rsidRPr="00C660D0">
        <w:rPr>
          <w:i/>
          <w:sz w:val="20"/>
          <w:szCs w:val="20"/>
        </w:rPr>
        <w:t>Derecho privado y Constitución</w:t>
      </w:r>
      <w:r w:rsidRPr="00C660D0">
        <w:rPr>
          <w:sz w:val="20"/>
          <w:szCs w:val="20"/>
        </w:rPr>
        <w:t>, Nº 35, 2019, págs. 169-212.</w:t>
      </w:r>
    </w:p>
    <w:p w:rsidR="00C943B2" w:rsidRDefault="00C660D0" w:rsidP="00C943B2">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 xml:space="preserve">Martínez </w:t>
      </w:r>
      <w:proofErr w:type="spellStart"/>
      <w:r w:rsidRPr="00C660D0">
        <w:rPr>
          <w:caps/>
          <w:sz w:val="20"/>
          <w:szCs w:val="20"/>
        </w:rPr>
        <w:t>Martínez</w:t>
      </w:r>
      <w:proofErr w:type="spellEnd"/>
      <w:r w:rsidRPr="00C660D0">
        <w:rPr>
          <w:caps/>
          <w:sz w:val="20"/>
          <w:szCs w:val="20"/>
        </w:rPr>
        <w:t>, N.</w:t>
      </w:r>
      <w:r w:rsidRPr="00C660D0">
        <w:rPr>
          <w:sz w:val="20"/>
          <w:szCs w:val="20"/>
        </w:rPr>
        <w:t xml:space="preserve"> “El conflicto entre el derecho al olvido y la libertad de información de la prensa contenida en hemerotecas”: </w:t>
      </w:r>
      <w:r w:rsidRPr="00C660D0">
        <w:rPr>
          <w:i/>
          <w:sz w:val="20"/>
          <w:szCs w:val="20"/>
        </w:rPr>
        <w:t>Derecho privado y Constitución</w:t>
      </w:r>
      <w:r w:rsidRPr="00C660D0">
        <w:rPr>
          <w:sz w:val="20"/>
          <w:szCs w:val="20"/>
        </w:rPr>
        <w:t>, Nº 34, 2019, págs. 51-95.</w:t>
      </w:r>
    </w:p>
    <w:p w:rsidR="00B917BF" w:rsidRDefault="00C943B2" w:rsidP="00B917BF">
      <w:pPr>
        <w:pStyle w:val="Prrafodelista"/>
        <w:numPr>
          <w:ilvl w:val="0"/>
          <w:numId w:val="1"/>
        </w:numPr>
        <w:spacing w:beforeLines="100" w:before="240" w:afterLines="100" w:after="240"/>
        <w:ind w:left="360"/>
        <w:contextualSpacing w:val="0"/>
        <w:jc w:val="both"/>
        <w:rPr>
          <w:sz w:val="20"/>
          <w:szCs w:val="20"/>
        </w:rPr>
      </w:pPr>
      <w:r w:rsidRPr="00C943B2">
        <w:rPr>
          <w:caps/>
          <w:sz w:val="20"/>
          <w:szCs w:val="20"/>
        </w:rPr>
        <w:t xml:space="preserve">Martínez </w:t>
      </w:r>
      <w:proofErr w:type="spellStart"/>
      <w:r w:rsidRPr="00C943B2">
        <w:rPr>
          <w:caps/>
          <w:sz w:val="20"/>
          <w:szCs w:val="20"/>
        </w:rPr>
        <w:t>Martínez</w:t>
      </w:r>
      <w:proofErr w:type="spellEnd"/>
      <w:r w:rsidRPr="00C943B2">
        <w:rPr>
          <w:caps/>
          <w:sz w:val="20"/>
          <w:szCs w:val="20"/>
        </w:rPr>
        <w:t>,</w:t>
      </w:r>
      <w:r w:rsidRPr="00C943B2">
        <w:rPr>
          <w:sz w:val="20"/>
          <w:szCs w:val="20"/>
        </w:rPr>
        <w:t xml:space="preserve"> R. “Los tratamientos de datos personales en la crisis del COVID-19. Un enfoque desde la salud pública”: </w:t>
      </w:r>
      <w:r w:rsidRPr="00C943B2">
        <w:rPr>
          <w:i/>
          <w:sz w:val="20"/>
          <w:szCs w:val="20"/>
        </w:rPr>
        <w:t>Diario La Ley</w:t>
      </w:r>
      <w:r w:rsidRPr="00C943B2">
        <w:rPr>
          <w:sz w:val="20"/>
          <w:szCs w:val="20"/>
        </w:rPr>
        <w:t xml:space="preserve">, nº 9604, 2020. </w:t>
      </w:r>
    </w:p>
    <w:p w:rsidR="00B917BF" w:rsidRPr="00B917BF" w:rsidRDefault="00B917BF" w:rsidP="00B917BF">
      <w:pPr>
        <w:pStyle w:val="Prrafodelista"/>
        <w:numPr>
          <w:ilvl w:val="0"/>
          <w:numId w:val="1"/>
        </w:numPr>
        <w:spacing w:beforeLines="100" w:before="240" w:afterLines="100" w:after="240"/>
        <w:ind w:left="360"/>
        <w:contextualSpacing w:val="0"/>
        <w:jc w:val="both"/>
        <w:rPr>
          <w:sz w:val="20"/>
          <w:szCs w:val="20"/>
        </w:rPr>
      </w:pPr>
      <w:r w:rsidRPr="00B917BF">
        <w:rPr>
          <w:caps/>
          <w:sz w:val="20"/>
          <w:szCs w:val="20"/>
        </w:rPr>
        <w:t>Molins Sancho</w:t>
      </w:r>
      <w:r w:rsidRPr="00B917BF">
        <w:rPr>
          <w:sz w:val="20"/>
          <w:szCs w:val="20"/>
        </w:rPr>
        <w:t>, F. “El contrato de mantenimiento de ascensores: análisis de la STS de 17 de septiembre de 2019 acerca de la duración excesiva del contrato</w:t>
      </w:r>
      <w:r w:rsidRPr="00B917BF">
        <w:rPr>
          <w:sz w:val="20"/>
          <w:szCs w:val="20"/>
        </w:rPr>
        <w:t xml:space="preserve">”: </w:t>
      </w:r>
      <w:r w:rsidRPr="00B917BF">
        <w:rPr>
          <w:i/>
          <w:sz w:val="20"/>
          <w:szCs w:val="20"/>
        </w:rPr>
        <w:t>Revista de Derecho Civil</w:t>
      </w:r>
      <w:r w:rsidRPr="00B917BF">
        <w:rPr>
          <w:sz w:val="20"/>
          <w:szCs w:val="20"/>
        </w:rPr>
        <w:t xml:space="preserve">, Vol. 7, Nº 1, 2020, págs. </w:t>
      </w:r>
      <w:r w:rsidRPr="00B917BF">
        <w:rPr>
          <w:sz w:val="20"/>
          <w:szCs w:val="20"/>
        </w:rPr>
        <w:t xml:space="preserve">173-213.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Montánchez Ramos, M.</w:t>
      </w:r>
      <w:r w:rsidRPr="00C660D0">
        <w:rPr>
          <w:sz w:val="20"/>
          <w:szCs w:val="20"/>
        </w:rPr>
        <w:t xml:space="preserve"> “La perversa reclamación hipotecaria limitada a parte del capital cuyo pago debe realizarse en diferentes plazos”: </w:t>
      </w:r>
      <w:r w:rsidRPr="00C660D0">
        <w:rPr>
          <w:i/>
          <w:sz w:val="20"/>
          <w:szCs w:val="20"/>
        </w:rPr>
        <w:t>Diario La Ley</w:t>
      </w:r>
      <w:r w:rsidRPr="00C660D0">
        <w:rPr>
          <w:sz w:val="20"/>
          <w:szCs w:val="20"/>
        </w:rPr>
        <w:t>, Nº 9591,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Olivos Celis, M. K</w:t>
      </w:r>
      <w:r w:rsidRPr="00C660D0">
        <w:rPr>
          <w:sz w:val="20"/>
          <w:szCs w:val="20"/>
        </w:rPr>
        <w:t xml:space="preserve">. “El nuevo reglamento de protección de datos personales para Europa: reflexiones desde la experiencia latinoamericana”: </w:t>
      </w:r>
      <w:r w:rsidRPr="00C660D0">
        <w:rPr>
          <w:i/>
          <w:sz w:val="20"/>
          <w:szCs w:val="20"/>
        </w:rPr>
        <w:t>Informática y Derecho: Revista Iberoamericana de Derecho Informático (segunda época)</w:t>
      </w:r>
      <w:r w:rsidRPr="00C660D0">
        <w:rPr>
          <w:sz w:val="20"/>
          <w:szCs w:val="20"/>
        </w:rPr>
        <w:t>, Nº. 6, 2019, págs. 117-133.</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Pazos Castro</w:t>
      </w:r>
      <w:r w:rsidRPr="00C660D0">
        <w:rPr>
          <w:sz w:val="20"/>
          <w:szCs w:val="20"/>
        </w:rPr>
        <w:t xml:space="preserve">, R. “La protección de los usuarios contra los problemas de fiabilidad de los sistemas de reputación en línea”: </w:t>
      </w:r>
      <w:proofErr w:type="spellStart"/>
      <w:r w:rsidRPr="00C660D0">
        <w:rPr>
          <w:i/>
          <w:sz w:val="20"/>
          <w:szCs w:val="20"/>
        </w:rPr>
        <w:t>Dereito</w:t>
      </w:r>
      <w:proofErr w:type="spellEnd"/>
      <w:r w:rsidRPr="00C660D0">
        <w:rPr>
          <w:i/>
          <w:sz w:val="20"/>
          <w:szCs w:val="20"/>
        </w:rPr>
        <w:t xml:space="preserve">: Revista </w:t>
      </w:r>
      <w:proofErr w:type="spellStart"/>
      <w:r w:rsidRPr="00C660D0">
        <w:rPr>
          <w:i/>
          <w:sz w:val="20"/>
          <w:szCs w:val="20"/>
        </w:rPr>
        <w:t>xuridica</w:t>
      </w:r>
      <w:proofErr w:type="spellEnd"/>
      <w:r w:rsidRPr="00C660D0">
        <w:rPr>
          <w:i/>
          <w:sz w:val="20"/>
          <w:szCs w:val="20"/>
        </w:rPr>
        <w:t xml:space="preserve"> da </w:t>
      </w:r>
      <w:proofErr w:type="spellStart"/>
      <w:r w:rsidRPr="00C660D0">
        <w:rPr>
          <w:i/>
          <w:sz w:val="20"/>
          <w:szCs w:val="20"/>
        </w:rPr>
        <w:t>Universidade</w:t>
      </w:r>
      <w:proofErr w:type="spellEnd"/>
      <w:r w:rsidRPr="00C660D0">
        <w:rPr>
          <w:i/>
          <w:sz w:val="20"/>
          <w:szCs w:val="20"/>
        </w:rPr>
        <w:t xml:space="preserve"> de Santiago de Compostela</w:t>
      </w:r>
      <w:r w:rsidRPr="00C660D0">
        <w:rPr>
          <w:sz w:val="20"/>
          <w:szCs w:val="20"/>
        </w:rPr>
        <w:t>, Vol. 28, Nº 2, 2019, págs. 91-115.</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Perea González, A.</w:t>
      </w:r>
      <w:r w:rsidRPr="00C660D0">
        <w:rPr>
          <w:sz w:val="20"/>
          <w:szCs w:val="20"/>
        </w:rPr>
        <w:t xml:space="preserve"> “El concepto de consumidor en el alambre: alcance y futuro de la «Doctrina </w:t>
      </w:r>
      <w:proofErr w:type="spellStart"/>
      <w:r w:rsidRPr="00C660D0">
        <w:rPr>
          <w:sz w:val="20"/>
          <w:szCs w:val="20"/>
        </w:rPr>
        <w:t>Petruchová</w:t>
      </w:r>
      <w:proofErr w:type="spellEnd"/>
      <w:r w:rsidRPr="00C660D0">
        <w:rPr>
          <w:sz w:val="20"/>
          <w:szCs w:val="20"/>
        </w:rPr>
        <w:t xml:space="preserve">»”: </w:t>
      </w:r>
      <w:r w:rsidRPr="00C660D0">
        <w:rPr>
          <w:i/>
          <w:sz w:val="20"/>
          <w:szCs w:val="20"/>
        </w:rPr>
        <w:t>Diario La Ley</w:t>
      </w:r>
      <w:r w:rsidRPr="00C660D0">
        <w:rPr>
          <w:sz w:val="20"/>
          <w:szCs w:val="20"/>
        </w:rPr>
        <w:t>, Nº 9544, 2019.</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Raga Sastre, N.</w:t>
      </w:r>
      <w:r w:rsidRPr="00C660D0">
        <w:rPr>
          <w:sz w:val="20"/>
          <w:szCs w:val="20"/>
        </w:rPr>
        <w:t xml:space="preserve"> “Retos del Registro de la Propiedad en materia de protección de datos y nuevas tecnologías”: </w:t>
      </w:r>
      <w:r w:rsidRPr="00C660D0">
        <w:rPr>
          <w:i/>
          <w:sz w:val="20"/>
          <w:szCs w:val="20"/>
        </w:rPr>
        <w:t>Revista Crítica de Derecho Inmobiliario</w:t>
      </w:r>
      <w:r w:rsidRPr="00C660D0">
        <w:rPr>
          <w:sz w:val="20"/>
          <w:szCs w:val="20"/>
        </w:rPr>
        <w:t>, Año nº 95, Nº Extra 775, 2019 (Ejemplar dedicado a: 500 aniversario de la fundación de La Habana (Cuba)), págs. 269-303.</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Redondo Trigo, F.</w:t>
      </w:r>
      <w:r w:rsidRPr="00C660D0">
        <w:rPr>
          <w:sz w:val="20"/>
          <w:szCs w:val="20"/>
        </w:rPr>
        <w:t xml:space="preserve"> “De nuevo sobre la fianza y consumidores”: </w:t>
      </w:r>
      <w:r w:rsidRPr="00C660D0">
        <w:rPr>
          <w:i/>
          <w:sz w:val="20"/>
          <w:szCs w:val="20"/>
        </w:rPr>
        <w:t>Revista Crítica de Derecho Inmobiliario</w:t>
      </w:r>
      <w:r w:rsidRPr="00C660D0">
        <w:rPr>
          <w:sz w:val="20"/>
          <w:szCs w:val="20"/>
        </w:rPr>
        <w:t>, Nº 776, 2019, págs. 3155-3170.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Reyner Serrà, J.</w:t>
      </w:r>
      <w:r w:rsidRPr="00C660D0">
        <w:rPr>
          <w:sz w:val="20"/>
          <w:szCs w:val="20"/>
        </w:rPr>
        <w:t xml:space="preserve"> “El crédito "</w:t>
      </w:r>
      <w:proofErr w:type="spellStart"/>
      <w:r w:rsidRPr="00C660D0">
        <w:rPr>
          <w:sz w:val="20"/>
          <w:szCs w:val="20"/>
        </w:rPr>
        <w:t>revolving</w:t>
      </w:r>
      <w:proofErr w:type="spellEnd"/>
      <w:r w:rsidRPr="00C660D0">
        <w:rPr>
          <w:sz w:val="20"/>
          <w:szCs w:val="20"/>
        </w:rPr>
        <w:t xml:space="preserve">" con o sin tarjeta asociada. Diferencias y similitudes entre sí y con otras operaciones de crédito al consumo”: </w:t>
      </w:r>
      <w:r w:rsidRPr="00C660D0">
        <w:rPr>
          <w:i/>
          <w:sz w:val="20"/>
          <w:szCs w:val="20"/>
        </w:rPr>
        <w:t>Revista Jurídica sobre Consumidores y Usuarios</w:t>
      </w:r>
      <w:r w:rsidRPr="00C660D0">
        <w:rPr>
          <w:sz w:val="20"/>
          <w:szCs w:val="20"/>
        </w:rPr>
        <w:t>, N. 7, Febrero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Rodríguez, G. E.</w:t>
      </w:r>
      <w:r w:rsidRPr="00C660D0">
        <w:rPr>
          <w:sz w:val="20"/>
          <w:szCs w:val="20"/>
        </w:rPr>
        <w:t xml:space="preserve"> “La regulación de la actividad de las plataformas prestadoras de servicios en internet: el caso </w:t>
      </w:r>
      <w:proofErr w:type="spellStart"/>
      <w:r w:rsidRPr="00C660D0">
        <w:rPr>
          <w:sz w:val="20"/>
          <w:szCs w:val="20"/>
        </w:rPr>
        <w:t>BlaBlaCar</w:t>
      </w:r>
      <w:proofErr w:type="spellEnd"/>
      <w:r w:rsidRPr="00C660D0">
        <w:rPr>
          <w:sz w:val="20"/>
          <w:szCs w:val="20"/>
        </w:rPr>
        <w:t xml:space="preserve"> y el test de la influencia decisiva en la actividad subyacente”: </w:t>
      </w:r>
      <w:r w:rsidRPr="00C660D0">
        <w:rPr>
          <w:i/>
          <w:sz w:val="20"/>
          <w:szCs w:val="20"/>
        </w:rPr>
        <w:t>Diario La Ley</w:t>
      </w:r>
      <w:r w:rsidRPr="00C660D0">
        <w:rPr>
          <w:sz w:val="20"/>
          <w:szCs w:val="20"/>
        </w:rPr>
        <w:t>, Nº 9554,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lastRenderedPageBreak/>
        <w:t>Romani, A.</w:t>
      </w:r>
      <w:r w:rsidRPr="00C660D0">
        <w:rPr>
          <w:sz w:val="20"/>
          <w:szCs w:val="20"/>
        </w:rPr>
        <w:t xml:space="preserve"> M. “Le </w:t>
      </w:r>
      <w:proofErr w:type="spellStart"/>
      <w:r w:rsidRPr="00C660D0">
        <w:rPr>
          <w:sz w:val="20"/>
          <w:szCs w:val="20"/>
        </w:rPr>
        <w:t>droit</w:t>
      </w:r>
      <w:proofErr w:type="spellEnd"/>
      <w:r w:rsidRPr="00C660D0">
        <w:rPr>
          <w:sz w:val="20"/>
          <w:szCs w:val="20"/>
        </w:rPr>
        <w:t xml:space="preserve"> </w:t>
      </w:r>
      <w:proofErr w:type="spellStart"/>
      <w:r w:rsidRPr="00C660D0">
        <w:rPr>
          <w:sz w:val="20"/>
          <w:szCs w:val="20"/>
        </w:rPr>
        <w:t>français</w:t>
      </w:r>
      <w:proofErr w:type="spellEnd"/>
      <w:r w:rsidRPr="00C660D0">
        <w:rPr>
          <w:sz w:val="20"/>
          <w:szCs w:val="20"/>
        </w:rPr>
        <w:t xml:space="preserve"> de la </w:t>
      </w:r>
      <w:proofErr w:type="spellStart"/>
      <w:r w:rsidRPr="00C660D0">
        <w:rPr>
          <w:sz w:val="20"/>
          <w:szCs w:val="20"/>
        </w:rPr>
        <w:t>prévention</w:t>
      </w:r>
      <w:proofErr w:type="spellEnd"/>
      <w:r w:rsidRPr="00C660D0">
        <w:rPr>
          <w:sz w:val="20"/>
          <w:szCs w:val="20"/>
        </w:rPr>
        <w:t xml:space="preserve"> et la </w:t>
      </w:r>
      <w:proofErr w:type="spellStart"/>
      <w:r w:rsidRPr="00C660D0">
        <w:rPr>
          <w:sz w:val="20"/>
          <w:szCs w:val="20"/>
        </w:rPr>
        <w:t>directive</w:t>
      </w:r>
      <w:proofErr w:type="spellEnd"/>
      <w:r w:rsidRPr="00C660D0">
        <w:rPr>
          <w:sz w:val="20"/>
          <w:szCs w:val="20"/>
        </w:rPr>
        <w:t xml:space="preserve"> « </w:t>
      </w:r>
      <w:proofErr w:type="spellStart"/>
      <w:r w:rsidRPr="00C660D0">
        <w:rPr>
          <w:sz w:val="20"/>
          <w:szCs w:val="20"/>
        </w:rPr>
        <w:t>restructuration</w:t>
      </w:r>
      <w:proofErr w:type="spellEnd"/>
      <w:r w:rsidRPr="00C660D0">
        <w:rPr>
          <w:sz w:val="20"/>
          <w:szCs w:val="20"/>
        </w:rPr>
        <w:t xml:space="preserve"> et </w:t>
      </w:r>
      <w:proofErr w:type="spellStart"/>
      <w:r w:rsidRPr="00C660D0">
        <w:rPr>
          <w:sz w:val="20"/>
          <w:szCs w:val="20"/>
        </w:rPr>
        <w:t>insolvabilité</w:t>
      </w:r>
      <w:proofErr w:type="spellEnd"/>
      <w:r w:rsidRPr="00C660D0">
        <w:rPr>
          <w:sz w:val="20"/>
          <w:szCs w:val="20"/>
        </w:rPr>
        <w:t xml:space="preserve"> » 2019/1023/UE, </w:t>
      </w:r>
      <w:proofErr w:type="spellStart"/>
      <w:r w:rsidRPr="00C660D0">
        <w:rPr>
          <w:sz w:val="20"/>
          <w:szCs w:val="20"/>
        </w:rPr>
        <w:t>ou</w:t>
      </w:r>
      <w:proofErr w:type="spellEnd"/>
      <w:r w:rsidRPr="00C660D0">
        <w:rPr>
          <w:sz w:val="20"/>
          <w:szCs w:val="20"/>
        </w:rPr>
        <w:t xml:space="preserve"> </w:t>
      </w:r>
      <w:proofErr w:type="spellStart"/>
      <w:r w:rsidRPr="00C660D0">
        <w:rPr>
          <w:sz w:val="20"/>
          <w:szCs w:val="20"/>
        </w:rPr>
        <w:t>l’enrichissement</w:t>
      </w:r>
      <w:proofErr w:type="spellEnd"/>
      <w:r w:rsidRPr="00C660D0">
        <w:rPr>
          <w:sz w:val="20"/>
          <w:szCs w:val="20"/>
        </w:rPr>
        <w:t xml:space="preserve"> des </w:t>
      </w:r>
      <w:proofErr w:type="spellStart"/>
      <w:r w:rsidRPr="00C660D0">
        <w:rPr>
          <w:sz w:val="20"/>
          <w:szCs w:val="20"/>
        </w:rPr>
        <w:t>droits</w:t>
      </w:r>
      <w:proofErr w:type="spellEnd"/>
      <w:r w:rsidRPr="00C660D0">
        <w:rPr>
          <w:sz w:val="20"/>
          <w:szCs w:val="20"/>
        </w:rPr>
        <w:t xml:space="preserve"> </w:t>
      </w:r>
      <w:proofErr w:type="spellStart"/>
      <w:r w:rsidRPr="00C660D0">
        <w:rPr>
          <w:sz w:val="20"/>
          <w:szCs w:val="20"/>
        </w:rPr>
        <w:t>dans</w:t>
      </w:r>
      <w:proofErr w:type="spellEnd"/>
      <w:r w:rsidRPr="00C660D0">
        <w:rPr>
          <w:sz w:val="20"/>
          <w:szCs w:val="20"/>
        </w:rPr>
        <w:t xml:space="preserve"> un </w:t>
      </w:r>
      <w:proofErr w:type="spellStart"/>
      <w:r w:rsidRPr="00C660D0">
        <w:rPr>
          <w:sz w:val="20"/>
          <w:szCs w:val="20"/>
        </w:rPr>
        <w:t>but</w:t>
      </w:r>
      <w:proofErr w:type="spellEnd"/>
      <w:r w:rsidRPr="00C660D0">
        <w:rPr>
          <w:sz w:val="20"/>
          <w:szCs w:val="20"/>
        </w:rPr>
        <w:t xml:space="preserve"> </w:t>
      </w:r>
      <w:proofErr w:type="spellStart"/>
      <w:r w:rsidRPr="00C660D0">
        <w:rPr>
          <w:sz w:val="20"/>
          <w:szCs w:val="20"/>
        </w:rPr>
        <w:t>commun</w:t>
      </w:r>
      <w:proofErr w:type="spellEnd"/>
      <w:r w:rsidRPr="00C660D0">
        <w:rPr>
          <w:sz w:val="20"/>
          <w:szCs w:val="20"/>
        </w:rPr>
        <w:t xml:space="preserve">”: </w:t>
      </w:r>
      <w:proofErr w:type="spellStart"/>
      <w:r w:rsidRPr="00C660D0">
        <w:rPr>
          <w:i/>
          <w:sz w:val="20"/>
          <w:szCs w:val="20"/>
        </w:rPr>
        <w:t>Revue</w:t>
      </w:r>
      <w:proofErr w:type="spellEnd"/>
      <w:r w:rsidRPr="00C660D0">
        <w:rPr>
          <w:i/>
          <w:sz w:val="20"/>
          <w:szCs w:val="20"/>
        </w:rPr>
        <w:t xml:space="preserve"> du marche </w:t>
      </w:r>
      <w:proofErr w:type="spellStart"/>
      <w:r w:rsidRPr="00C660D0">
        <w:rPr>
          <w:i/>
          <w:sz w:val="20"/>
          <w:szCs w:val="20"/>
        </w:rPr>
        <w:t>commun</w:t>
      </w:r>
      <w:proofErr w:type="spellEnd"/>
      <w:r w:rsidRPr="00C660D0">
        <w:rPr>
          <w:i/>
          <w:sz w:val="20"/>
          <w:szCs w:val="20"/>
        </w:rPr>
        <w:t xml:space="preserve"> et de </w:t>
      </w:r>
      <w:proofErr w:type="spellStart"/>
      <w:r w:rsidRPr="00C660D0">
        <w:rPr>
          <w:i/>
          <w:sz w:val="20"/>
          <w:szCs w:val="20"/>
        </w:rPr>
        <w:t>l'Union</w:t>
      </w:r>
      <w:proofErr w:type="spellEnd"/>
      <w:r w:rsidRPr="00C660D0">
        <w:rPr>
          <w:i/>
          <w:sz w:val="20"/>
          <w:szCs w:val="20"/>
        </w:rPr>
        <w:t xml:space="preserve"> </w:t>
      </w:r>
      <w:proofErr w:type="spellStart"/>
      <w:r w:rsidRPr="00C660D0">
        <w:rPr>
          <w:i/>
          <w:sz w:val="20"/>
          <w:szCs w:val="20"/>
        </w:rPr>
        <w:t>Européenne</w:t>
      </w:r>
      <w:proofErr w:type="spellEnd"/>
      <w:r w:rsidRPr="00C660D0">
        <w:rPr>
          <w:sz w:val="20"/>
          <w:szCs w:val="20"/>
        </w:rPr>
        <w:t>, Nº 634, 2020, págs. 53-62.</w:t>
      </w:r>
    </w:p>
    <w:p w:rsidR="001E467C" w:rsidRDefault="00C660D0" w:rsidP="001E467C">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Rotondo Tornaría, F.</w:t>
      </w:r>
      <w:r w:rsidRPr="00C660D0">
        <w:rPr>
          <w:sz w:val="20"/>
          <w:szCs w:val="20"/>
        </w:rPr>
        <w:t xml:space="preserve"> “El principio de responsabilidad y el reglamento europeo de protección de datos”: </w:t>
      </w:r>
      <w:r w:rsidRPr="00C660D0">
        <w:rPr>
          <w:i/>
          <w:sz w:val="20"/>
          <w:szCs w:val="20"/>
        </w:rPr>
        <w:t>Informática y Derecho: Revista Iberoamericana de Derecho Informático</w:t>
      </w:r>
      <w:r w:rsidRPr="00C660D0">
        <w:rPr>
          <w:sz w:val="20"/>
          <w:szCs w:val="20"/>
        </w:rPr>
        <w:t xml:space="preserve"> </w:t>
      </w:r>
      <w:r w:rsidRPr="00C660D0">
        <w:rPr>
          <w:i/>
          <w:sz w:val="20"/>
          <w:szCs w:val="20"/>
        </w:rPr>
        <w:t>(segunda época)</w:t>
      </w:r>
      <w:r w:rsidRPr="00C660D0">
        <w:rPr>
          <w:sz w:val="20"/>
          <w:szCs w:val="20"/>
        </w:rPr>
        <w:t>, Nº. 6, 2019, págs. 135-152.</w:t>
      </w:r>
    </w:p>
    <w:p w:rsidR="001E467C" w:rsidRPr="001E467C" w:rsidRDefault="001E467C" w:rsidP="001E467C">
      <w:pPr>
        <w:pStyle w:val="Prrafodelista"/>
        <w:numPr>
          <w:ilvl w:val="0"/>
          <w:numId w:val="1"/>
        </w:numPr>
        <w:spacing w:beforeLines="100" w:before="240" w:afterLines="100" w:after="240"/>
        <w:ind w:left="360"/>
        <w:contextualSpacing w:val="0"/>
        <w:jc w:val="both"/>
        <w:rPr>
          <w:sz w:val="20"/>
          <w:szCs w:val="20"/>
        </w:rPr>
      </w:pPr>
      <w:r w:rsidRPr="001E467C">
        <w:rPr>
          <w:caps/>
          <w:sz w:val="20"/>
          <w:szCs w:val="20"/>
        </w:rPr>
        <w:t>Ruda González, A.; Jerez Delgado</w:t>
      </w:r>
      <w:r w:rsidRPr="001E467C">
        <w:rPr>
          <w:sz w:val="20"/>
          <w:szCs w:val="20"/>
        </w:rPr>
        <w:t>, C.</w:t>
      </w:r>
      <w:r>
        <w:rPr>
          <w:sz w:val="20"/>
          <w:szCs w:val="20"/>
        </w:rPr>
        <w:t xml:space="preserve"> (Dir.).</w:t>
      </w:r>
      <w:r w:rsidRPr="001E467C">
        <w:rPr>
          <w:sz w:val="20"/>
          <w:szCs w:val="20"/>
        </w:rPr>
        <w:t xml:space="preserve"> </w:t>
      </w:r>
      <w:r w:rsidRPr="001E467C">
        <w:rPr>
          <w:i/>
          <w:sz w:val="20"/>
          <w:szCs w:val="20"/>
        </w:rPr>
        <w:t xml:space="preserve">Estudios sobre Jurisprudencia Europea. Materiales del III Encuentro anual del Centro español del </w:t>
      </w:r>
      <w:proofErr w:type="spellStart"/>
      <w:r w:rsidRPr="001E467C">
        <w:rPr>
          <w:i/>
          <w:sz w:val="20"/>
          <w:szCs w:val="20"/>
        </w:rPr>
        <w:t>European</w:t>
      </w:r>
      <w:proofErr w:type="spellEnd"/>
      <w:r w:rsidRPr="001E467C">
        <w:rPr>
          <w:i/>
          <w:sz w:val="20"/>
          <w:szCs w:val="20"/>
        </w:rPr>
        <w:t xml:space="preserve"> </w:t>
      </w:r>
      <w:proofErr w:type="spellStart"/>
      <w:r w:rsidRPr="001E467C">
        <w:rPr>
          <w:i/>
          <w:sz w:val="20"/>
          <w:szCs w:val="20"/>
        </w:rPr>
        <w:t>Law</w:t>
      </w:r>
      <w:proofErr w:type="spellEnd"/>
      <w:r w:rsidRPr="001E467C">
        <w:rPr>
          <w:i/>
          <w:sz w:val="20"/>
          <w:szCs w:val="20"/>
        </w:rPr>
        <w:t xml:space="preserve"> </w:t>
      </w:r>
      <w:proofErr w:type="spellStart"/>
      <w:r w:rsidRPr="001E467C">
        <w:rPr>
          <w:i/>
          <w:sz w:val="20"/>
          <w:szCs w:val="20"/>
        </w:rPr>
        <w:t>Institute</w:t>
      </w:r>
      <w:proofErr w:type="spellEnd"/>
      <w:r w:rsidRPr="001E467C">
        <w:rPr>
          <w:sz w:val="20"/>
          <w:szCs w:val="20"/>
        </w:rPr>
        <w:t xml:space="preserve">. </w:t>
      </w:r>
      <w:proofErr w:type="spellStart"/>
      <w:r w:rsidRPr="001E467C">
        <w:rPr>
          <w:sz w:val="20"/>
          <w:szCs w:val="20"/>
        </w:rPr>
        <w:t>Sepin</w:t>
      </w:r>
      <w:proofErr w:type="spellEnd"/>
      <w:r w:rsidRPr="001E467C">
        <w:rPr>
          <w:sz w:val="20"/>
          <w:szCs w:val="20"/>
        </w:rPr>
        <w:t xml:space="preserve">, 2020, 646 p.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Ruiz de Alegría, I. E.</w:t>
      </w:r>
      <w:r w:rsidRPr="00C660D0">
        <w:rPr>
          <w:sz w:val="20"/>
          <w:szCs w:val="20"/>
        </w:rPr>
        <w:t xml:space="preserve"> “Sobre el acuerdo de los Magistrados de la AP de Madrid de 19 de septiembre de 2019 relativo a la «usura y tarjetas </w:t>
      </w:r>
      <w:proofErr w:type="spellStart"/>
      <w:r w:rsidRPr="00C660D0">
        <w:rPr>
          <w:sz w:val="20"/>
          <w:szCs w:val="20"/>
        </w:rPr>
        <w:t>revolving</w:t>
      </w:r>
      <w:proofErr w:type="spellEnd"/>
      <w:r w:rsidRPr="00C660D0">
        <w:rPr>
          <w:sz w:val="20"/>
          <w:szCs w:val="20"/>
        </w:rPr>
        <w:t xml:space="preserve">»”: </w:t>
      </w:r>
      <w:r w:rsidRPr="00C660D0">
        <w:rPr>
          <w:i/>
          <w:sz w:val="20"/>
          <w:szCs w:val="20"/>
        </w:rPr>
        <w:t>Diario La Ley</w:t>
      </w:r>
      <w:r w:rsidRPr="00C660D0">
        <w:rPr>
          <w:sz w:val="20"/>
          <w:szCs w:val="20"/>
        </w:rPr>
        <w:t>, Nº 9571, 2020.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Ruiz de Lara, M</w:t>
      </w:r>
      <w:r w:rsidRPr="00C660D0">
        <w:rPr>
          <w:sz w:val="20"/>
          <w:szCs w:val="20"/>
        </w:rPr>
        <w:t xml:space="preserve">. “Crédito </w:t>
      </w:r>
      <w:proofErr w:type="spellStart"/>
      <w:r w:rsidRPr="00C660D0">
        <w:rPr>
          <w:sz w:val="20"/>
          <w:szCs w:val="20"/>
        </w:rPr>
        <w:t>revolving</w:t>
      </w:r>
      <w:proofErr w:type="spellEnd"/>
      <w:r w:rsidRPr="00C660D0">
        <w:rPr>
          <w:sz w:val="20"/>
          <w:szCs w:val="20"/>
        </w:rPr>
        <w:t xml:space="preserve"> e intereses bajo la Ley </w:t>
      </w:r>
      <w:proofErr w:type="spellStart"/>
      <w:r w:rsidRPr="00C660D0">
        <w:rPr>
          <w:sz w:val="20"/>
          <w:szCs w:val="20"/>
        </w:rPr>
        <w:t>Azcárate</w:t>
      </w:r>
      <w:proofErr w:type="spellEnd"/>
      <w:r w:rsidRPr="00C660D0">
        <w:rPr>
          <w:sz w:val="20"/>
          <w:szCs w:val="20"/>
        </w:rPr>
        <w:t xml:space="preserve">'. Crédito </w:t>
      </w:r>
      <w:proofErr w:type="spellStart"/>
      <w:r w:rsidRPr="00C660D0">
        <w:rPr>
          <w:sz w:val="20"/>
          <w:szCs w:val="20"/>
        </w:rPr>
        <w:t>revolving</w:t>
      </w:r>
      <w:proofErr w:type="spellEnd"/>
      <w:r w:rsidRPr="00C660D0">
        <w:rPr>
          <w:sz w:val="20"/>
          <w:szCs w:val="20"/>
        </w:rPr>
        <w:t xml:space="preserve">. Sentencia del Tribunal Supremo de 25 de noviembre de 2015”: </w:t>
      </w:r>
      <w:r w:rsidRPr="00C660D0">
        <w:rPr>
          <w:i/>
          <w:sz w:val="20"/>
          <w:szCs w:val="20"/>
        </w:rPr>
        <w:t>Revista Jurídica sobre Consumidores y Usuarios</w:t>
      </w:r>
      <w:r w:rsidRPr="00C660D0">
        <w:rPr>
          <w:sz w:val="20"/>
          <w:szCs w:val="20"/>
        </w:rPr>
        <w:t>, N</w:t>
      </w:r>
      <w:r w:rsidR="00B42623">
        <w:rPr>
          <w:sz w:val="20"/>
          <w:szCs w:val="20"/>
        </w:rPr>
        <w:t>º</w:t>
      </w:r>
      <w:r w:rsidRPr="00C660D0">
        <w:rPr>
          <w:sz w:val="20"/>
          <w:szCs w:val="20"/>
        </w:rPr>
        <w:t>. 7, Febrero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Ruiz Martin, A. M.</w:t>
      </w:r>
      <w:r w:rsidRPr="00C660D0">
        <w:rPr>
          <w:sz w:val="20"/>
          <w:szCs w:val="20"/>
        </w:rPr>
        <w:t xml:space="preserve"> “Cláusulas de permanencia, prácticas comerciales desleales, y estrategias competitivas a la luz de ciertos contratos con operadoras móviles en España: una visión holística del asunto”: </w:t>
      </w:r>
      <w:r w:rsidRPr="00C660D0">
        <w:rPr>
          <w:i/>
          <w:sz w:val="20"/>
          <w:szCs w:val="20"/>
        </w:rPr>
        <w:t>Anales de derecho</w:t>
      </w:r>
      <w:r w:rsidRPr="00C660D0">
        <w:rPr>
          <w:sz w:val="20"/>
          <w:szCs w:val="20"/>
        </w:rPr>
        <w:t>, Vol. 37, Nº 1, 2019.</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Sabater Bayle, E</w:t>
      </w:r>
      <w:r w:rsidRPr="00C660D0">
        <w:rPr>
          <w:sz w:val="20"/>
          <w:szCs w:val="20"/>
        </w:rPr>
        <w:t xml:space="preserve">. “Créditos </w:t>
      </w:r>
      <w:proofErr w:type="spellStart"/>
      <w:r w:rsidRPr="00C660D0">
        <w:rPr>
          <w:sz w:val="20"/>
          <w:szCs w:val="20"/>
        </w:rPr>
        <w:t>revolving</w:t>
      </w:r>
      <w:proofErr w:type="spellEnd"/>
      <w:r w:rsidRPr="00C660D0">
        <w:rPr>
          <w:sz w:val="20"/>
          <w:szCs w:val="20"/>
        </w:rPr>
        <w:t xml:space="preserve"> e intereses usurarios”: </w:t>
      </w:r>
      <w:r w:rsidRPr="00C660D0">
        <w:rPr>
          <w:i/>
          <w:sz w:val="20"/>
          <w:szCs w:val="20"/>
        </w:rPr>
        <w:t>Revista Jurídica sobre Consumidores y Usuarios</w:t>
      </w:r>
      <w:r w:rsidRPr="00C660D0">
        <w:rPr>
          <w:sz w:val="20"/>
          <w:szCs w:val="20"/>
        </w:rPr>
        <w:t>, N</w:t>
      </w:r>
      <w:r w:rsidR="00B42623">
        <w:rPr>
          <w:sz w:val="20"/>
          <w:szCs w:val="20"/>
        </w:rPr>
        <w:t>º</w:t>
      </w:r>
      <w:r w:rsidRPr="00C660D0">
        <w:rPr>
          <w:sz w:val="20"/>
          <w:szCs w:val="20"/>
        </w:rPr>
        <w:t>. 7, Febrero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Sáenz de Jubera Higuero, B.</w:t>
      </w:r>
      <w:r w:rsidRPr="00C660D0">
        <w:rPr>
          <w:sz w:val="20"/>
          <w:szCs w:val="20"/>
        </w:rPr>
        <w:t xml:space="preserve"> “Nulidad por abusiva de la cláusula «no show» del contrato de transporte aéreo de pasajeros”: </w:t>
      </w:r>
      <w:r w:rsidRPr="00C660D0">
        <w:rPr>
          <w:i/>
          <w:sz w:val="20"/>
          <w:szCs w:val="20"/>
        </w:rPr>
        <w:t>Revista Crítica de Derecho Inmobiliario</w:t>
      </w:r>
      <w:r w:rsidRPr="00C660D0">
        <w:rPr>
          <w:sz w:val="20"/>
          <w:szCs w:val="20"/>
        </w:rPr>
        <w:t>, Nº 776, 2019, págs. 3093-3107.</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Sánchez García, J.</w:t>
      </w:r>
      <w:r w:rsidRPr="00C660D0">
        <w:rPr>
          <w:sz w:val="20"/>
          <w:szCs w:val="20"/>
        </w:rPr>
        <w:t xml:space="preserve"> “Efectos de la sentencia del TS de 4 de marzo de 2020 sobre la tarjeta </w:t>
      </w:r>
      <w:proofErr w:type="spellStart"/>
      <w:r w:rsidRPr="00C660D0">
        <w:rPr>
          <w:sz w:val="20"/>
          <w:szCs w:val="20"/>
        </w:rPr>
        <w:t>revolving</w:t>
      </w:r>
      <w:proofErr w:type="spellEnd"/>
      <w:r w:rsidRPr="00C660D0">
        <w:rPr>
          <w:sz w:val="20"/>
          <w:szCs w:val="20"/>
        </w:rPr>
        <w:t xml:space="preserve">”: </w:t>
      </w:r>
      <w:r w:rsidRPr="00C660D0">
        <w:rPr>
          <w:i/>
          <w:sz w:val="20"/>
          <w:szCs w:val="20"/>
        </w:rPr>
        <w:t>Diario La Ley</w:t>
      </w:r>
      <w:r w:rsidRPr="00C660D0">
        <w:rPr>
          <w:sz w:val="20"/>
          <w:szCs w:val="20"/>
        </w:rPr>
        <w:t>, Nº 9595, 2020.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Sánchez García,</w:t>
      </w:r>
      <w:r w:rsidRPr="00C660D0">
        <w:rPr>
          <w:sz w:val="20"/>
          <w:szCs w:val="20"/>
        </w:rPr>
        <w:t xml:space="preserve"> J. M. “¿Debe aplicarse la ley de represión de la usura a las tarjetas </w:t>
      </w:r>
      <w:proofErr w:type="spellStart"/>
      <w:r w:rsidRPr="00C660D0">
        <w:rPr>
          <w:sz w:val="20"/>
          <w:szCs w:val="20"/>
        </w:rPr>
        <w:t>revolving</w:t>
      </w:r>
      <w:proofErr w:type="spellEnd"/>
      <w:r w:rsidRPr="00C660D0">
        <w:rPr>
          <w:sz w:val="20"/>
          <w:szCs w:val="20"/>
        </w:rPr>
        <w:t xml:space="preserve">?”: </w:t>
      </w:r>
      <w:r w:rsidRPr="00C660D0">
        <w:rPr>
          <w:i/>
          <w:sz w:val="20"/>
          <w:szCs w:val="20"/>
        </w:rPr>
        <w:t>Revista Jurídica sobre Consumidores y Usuarios</w:t>
      </w:r>
      <w:r w:rsidRPr="00C660D0">
        <w:rPr>
          <w:sz w:val="20"/>
          <w:szCs w:val="20"/>
        </w:rPr>
        <w:t>, N</w:t>
      </w:r>
      <w:r w:rsidR="009E7932">
        <w:rPr>
          <w:sz w:val="20"/>
          <w:szCs w:val="20"/>
        </w:rPr>
        <w:t>º</w:t>
      </w:r>
      <w:r w:rsidRPr="00C660D0">
        <w:rPr>
          <w:sz w:val="20"/>
          <w:szCs w:val="20"/>
        </w:rPr>
        <w:t>. 7, Febrero 2020.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Sánchez García,</w:t>
      </w:r>
      <w:r w:rsidRPr="00C660D0">
        <w:rPr>
          <w:sz w:val="20"/>
          <w:szCs w:val="20"/>
        </w:rPr>
        <w:t xml:space="preserve"> J. M. “Comentarios a la sentencia de TS de 5 de marzo de 2020 sobre el derecho de retracto litigioso del artículo 1535 del Código Civil”: </w:t>
      </w:r>
      <w:r w:rsidRPr="00B42623">
        <w:rPr>
          <w:i/>
          <w:sz w:val="20"/>
          <w:szCs w:val="20"/>
        </w:rPr>
        <w:t xml:space="preserve">Revista de Derecho </w:t>
      </w:r>
      <w:proofErr w:type="spellStart"/>
      <w:r w:rsidRPr="00B42623">
        <w:rPr>
          <w:i/>
          <w:sz w:val="20"/>
          <w:szCs w:val="20"/>
        </w:rPr>
        <w:t>vLex</w:t>
      </w:r>
      <w:proofErr w:type="spellEnd"/>
      <w:r w:rsidRPr="00C660D0">
        <w:rPr>
          <w:sz w:val="20"/>
          <w:szCs w:val="20"/>
        </w:rPr>
        <w:t>, N</w:t>
      </w:r>
      <w:r w:rsidR="00B42623">
        <w:rPr>
          <w:sz w:val="20"/>
          <w:szCs w:val="20"/>
        </w:rPr>
        <w:t>º</w:t>
      </w:r>
      <w:r w:rsidRPr="00C660D0">
        <w:rPr>
          <w:sz w:val="20"/>
          <w:szCs w:val="20"/>
        </w:rPr>
        <w:t>. 190, Marzo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Sánchez García, J. M.</w:t>
      </w:r>
      <w:r w:rsidRPr="00C660D0">
        <w:rPr>
          <w:sz w:val="20"/>
          <w:szCs w:val="20"/>
        </w:rPr>
        <w:t xml:space="preserve"> “Comentarios al acuerdo de unificación de criterios de las Secciones Civiles de la Audiencia Provincial de Alicante acerca del denominado contrato de préstamo </w:t>
      </w:r>
      <w:proofErr w:type="spellStart"/>
      <w:r w:rsidRPr="00C660D0">
        <w:rPr>
          <w:sz w:val="20"/>
          <w:szCs w:val="20"/>
        </w:rPr>
        <w:t>revolving</w:t>
      </w:r>
      <w:proofErr w:type="spellEnd"/>
      <w:r w:rsidRPr="00C660D0">
        <w:rPr>
          <w:sz w:val="20"/>
          <w:szCs w:val="20"/>
        </w:rPr>
        <w:t xml:space="preserve">”: </w:t>
      </w:r>
      <w:r w:rsidRPr="00C660D0">
        <w:rPr>
          <w:i/>
          <w:sz w:val="20"/>
          <w:szCs w:val="20"/>
        </w:rPr>
        <w:t>Diario La Ley</w:t>
      </w:r>
      <w:r w:rsidRPr="00C660D0">
        <w:rPr>
          <w:sz w:val="20"/>
          <w:szCs w:val="20"/>
        </w:rPr>
        <w:t>, Nº 9575, 2020.</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Sánchez García,</w:t>
      </w:r>
      <w:r w:rsidRPr="00C660D0">
        <w:rPr>
          <w:sz w:val="20"/>
          <w:szCs w:val="20"/>
        </w:rPr>
        <w:t xml:space="preserve"> J. M. “El control de transparencia y el juicio de </w:t>
      </w:r>
      <w:proofErr w:type="spellStart"/>
      <w:r w:rsidRPr="00C660D0">
        <w:rPr>
          <w:sz w:val="20"/>
          <w:szCs w:val="20"/>
        </w:rPr>
        <w:t>abusividad</w:t>
      </w:r>
      <w:proofErr w:type="spellEnd"/>
      <w:r w:rsidRPr="00C660D0">
        <w:rPr>
          <w:sz w:val="20"/>
          <w:szCs w:val="20"/>
        </w:rPr>
        <w:t xml:space="preserve"> tras la reforma operada por la LCCI del artículo 83 del TRLCU”: </w:t>
      </w:r>
      <w:r w:rsidRPr="00C660D0">
        <w:rPr>
          <w:i/>
          <w:sz w:val="20"/>
          <w:szCs w:val="20"/>
        </w:rPr>
        <w:t xml:space="preserve">Revista de Derecho </w:t>
      </w:r>
      <w:proofErr w:type="spellStart"/>
      <w:r w:rsidRPr="00C660D0">
        <w:rPr>
          <w:i/>
          <w:sz w:val="20"/>
          <w:szCs w:val="20"/>
        </w:rPr>
        <w:t>vLex</w:t>
      </w:r>
      <w:proofErr w:type="spellEnd"/>
      <w:r w:rsidRPr="00C660D0">
        <w:rPr>
          <w:sz w:val="20"/>
          <w:szCs w:val="20"/>
        </w:rPr>
        <w:t>, N</w:t>
      </w:r>
      <w:r w:rsidR="00B42623">
        <w:rPr>
          <w:sz w:val="20"/>
          <w:szCs w:val="20"/>
        </w:rPr>
        <w:t>º</w:t>
      </w:r>
      <w:r w:rsidRPr="00C660D0">
        <w:rPr>
          <w:sz w:val="20"/>
          <w:szCs w:val="20"/>
        </w:rPr>
        <w:t xml:space="preserve">. 190, Marzo 2020.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Sánchez García, J. M.</w:t>
      </w:r>
      <w:r w:rsidRPr="00C660D0">
        <w:rPr>
          <w:sz w:val="20"/>
          <w:szCs w:val="20"/>
        </w:rPr>
        <w:t xml:space="preserve"> “La STS 149/2020, de 4 de marzo, y cómo la Sala 1ª se ha convertido a sí misma en una ruleta rusa (</w:t>
      </w:r>
      <w:proofErr w:type="spellStart"/>
      <w:r w:rsidRPr="00C660D0">
        <w:rPr>
          <w:sz w:val="20"/>
          <w:szCs w:val="20"/>
        </w:rPr>
        <w:t>revolving</w:t>
      </w:r>
      <w:proofErr w:type="spellEnd"/>
      <w:r w:rsidRPr="00C660D0">
        <w:rPr>
          <w:sz w:val="20"/>
          <w:szCs w:val="20"/>
        </w:rPr>
        <w:t xml:space="preserve">)”: </w:t>
      </w:r>
      <w:r w:rsidRPr="00C660D0">
        <w:rPr>
          <w:i/>
          <w:sz w:val="20"/>
          <w:szCs w:val="20"/>
        </w:rPr>
        <w:t>Diario La Ley</w:t>
      </w:r>
      <w:r w:rsidRPr="00C660D0">
        <w:rPr>
          <w:sz w:val="20"/>
          <w:szCs w:val="20"/>
        </w:rPr>
        <w:t>, Nº 9587,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Schiavi, P.</w:t>
      </w:r>
      <w:r w:rsidRPr="00C660D0">
        <w:rPr>
          <w:sz w:val="20"/>
          <w:szCs w:val="20"/>
        </w:rPr>
        <w:t xml:space="preserve"> “Reputación </w:t>
      </w:r>
      <w:proofErr w:type="spellStart"/>
      <w:r w:rsidRPr="00C660D0">
        <w:rPr>
          <w:sz w:val="20"/>
          <w:szCs w:val="20"/>
        </w:rPr>
        <w:t>on</w:t>
      </w:r>
      <w:proofErr w:type="spellEnd"/>
      <w:r w:rsidRPr="00C660D0">
        <w:rPr>
          <w:sz w:val="20"/>
          <w:szCs w:val="20"/>
        </w:rPr>
        <w:t xml:space="preserve"> line ¿la identidad digital es tan importante como la real?”: </w:t>
      </w:r>
      <w:r w:rsidRPr="00C660D0">
        <w:rPr>
          <w:i/>
          <w:sz w:val="20"/>
          <w:szCs w:val="20"/>
        </w:rPr>
        <w:t>Informática y Derecho: Revista Iberoamericana de Derecho Informático</w:t>
      </w:r>
      <w:r w:rsidRPr="00C660D0">
        <w:rPr>
          <w:sz w:val="20"/>
          <w:szCs w:val="20"/>
        </w:rPr>
        <w:t xml:space="preserve"> </w:t>
      </w:r>
      <w:r w:rsidRPr="00C660D0">
        <w:rPr>
          <w:i/>
          <w:sz w:val="20"/>
          <w:szCs w:val="20"/>
        </w:rPr>
        <w:t>(segunda época)</w:t>
      </w:r>
      <w:r w:rsidRPr="00C660D0">
        <w:rPr>
          <w:sz w:val="20"/>
          <w:szCs w:val="20"/>
        </w:rPr>
        <w:t>, Nº. 6, 2019, págs. 153-164.</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lastRenderedPageBreak/>
        <w:t>Suárez Ramírez</w:t>
      </w:r>
      <w:r w:rsidRPr="00C660D0">
        <w:rPr>
          <w:sz w:val="20"/>
          <w:szCs w:val="20"/>
        </w:rPr>
        <w:t xml:space="preserve">, P. “Tarjetas </w:t>
      </w:r>
      <w:proofErr w:type="spellStart"/>
      <w:r w:rsidRPr="00C660D0">
        <w:rPr>
          <w:sz w:val="20"/>
          <w:szCs w:val="20"/>
        </w:rPr>
        <w:t>revolving</w:t>
      </w:r>
      <w:proofErr w:type="spellEnd"/>
      <w:r w:rsidRPr="00C660D0">
        <w:rPr>
          <w:sz w:val="20"/>
          <w:szCs w:val="20"/>
        </w:rPr>
        <w:t xml:space="preserve">: ¿usura o falta de transparencia?”: </w:t>
      </w:r>
      <w:r w:rsidRPr="00C660D0">
        <w:rPr>
          <w:i/>
          <w:sz w:val="20"/>
          <w:szCs w:val="20"/>
        </w:rPr>
        <w:t>Revista Jurídica sobre Consumidores y Usuarios</w:t>
      </w:r>
      <w:r w:rsidRPr="00C660D0">
        <w:rPr>
          <w:sz w:val="20"/>
          <w:szCs w:val="20"/>
        </w:rPr>
        <w:t>, N</w:t>
      </w:r>
      <w:r w:rsidR="00B42623">
        <w:rPr>
          <w:sz w:val="20"/>
          <w:szCs w:val="20"/>
        </w:rPr>
        <w:t>º</w:t>
      </w:r>
      <w:r w:rsidRPr="00C660D0">
        <w:rPr>
          <w:sz w:val="20"/>
          <w:szCs w:val="20"/>
        </w:rPr>
        <w:t>. 7, Febrero 2020.</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Valdés Díaz, C. C.</w:t>
      </w:r>
      <w:r w:rsidRPr="00C660D0">
        <w:rPr>
          <w:sz w:val="20"/>
          <w:szCs w:val="20"/>
        </w:rPr>
        <w:t xml:space="preserve"> “Del derecho a la intimidad, la protección de datos personales y la publicidad inmobiliaria registral”: </w:t>
      </w:r>
      <w:r w:rsidRPr="00C660D0">
        <w:rPr>
          <w:i/>
          <w:sz w:val="20"/>
          <w:szCs w:val="20"/>
        </w:rPr>
        <w:t>Revista Crítica de Derecho Inmobiliario</w:t>
      </w:r>
      <w:r w:rsidRPr="00C660D0">
        <w:rPr>
          <w:sz w:val="20"/>
          <w:szCs w:val="20"/>
        </w:rPr>
        <w:t>, Año nº 95, Nº Extra 775, 2019 (Ejemplar dedicado a: 500 aniversario de la fundación de La Habana (Cuba)), págs. 371-385.</w:t>
      </w:r>
    </w:p>
    <w:p w:rsidR="00C660D0" w:rsidRPr="00C660D0" w:rsidRDefault="00C660D0" w:rsidP="00C660D0">
      <w:pPr>
        <w:pStyle w:val="Prrafodelista"/>
        <w:numPr>
          <w:ilvl w:val="0"/>
          <w:numId w:val="1"/>
        </w:numPr>
        <w:spacing w:beforeLines="100" w:before="240" w:afterLines="100" w:after="240"/>
        <w:ind w:left="357" w:hanging="357"/>
        <w:contextualSpacing w:val="0"/>
        <w:jc w:val="both"/>
        <w:rPr>
          <w:sz w:val="20"/>
          <w:szCs w:val="20"/>
        </w:rPr>
      </w:pPr>
      <w:r w:rsidRPr="00C660D0">
        <w:rPr>
          <w:caps/>
          <w:sz w:val="20"/>
          <w:szCs w:val="20"/>
        </w:rPr>
        <w:t>Vázquez de Castro,</w:t>
      </w:r>
      <w:r w:rsidRPr="00C660D0">
        <w:rPr>
          <w:sz w:val="20"/>
          <w:szCs w:val="20"/>
        </w:rPr>
        <w:t xml:space="preserve"> E. “Los créditos rotativos o '</w:t>
      </w:r>
      <w:proofErr w:type="spellStart"/>
      <w:r w:rsidRPr="00C660D0">
        <w:rPr>
          <w:sz w:val="20"/>
          <w:szCs w:val="20"/>
        </w:rPr>
        <w:t>revolving</w:t>
      </w:r>
      <w:proofErr w:type="spellEnd"/>
      <w:r w:rsidRPr="00C660D0">
        <w:rPr>
          <w:sz w:val="20"/>
          <w:szCs w:val="20"/>
        </w:rPr>
        <w:t xml:space="preserve">', control de transparencia, </w:t>
      </w:r>
      <w:proofErr w:type="spellStart"/>
      <w:r w:rsidRPr="00C660D0">
        <w:rPr>
          <w:sz w:val="20"/>
          <w:szCs w:val="20"/>
        </w:rPr>
        <w:t>abusividad</w:t>
      </w:r>
      <w:proofErr w:type="spellEnd"/>
      <w:r w:rsidRPr="00C660D0">
        <w:rPr>
          <w:sz w:val="20"/>
          <w:szCs w:val="20"/>
        </w:rPr>
        <w:t xml:space="preserve"> y carácter usurario”: </w:t>
      </w:r>
      <w:r w:rsidRPr="00C660D0">
        <w:rPr>
          <w:i/>
          <w:sz w:val="20"/>
          <w:szCs w:val="20"/>
        </w:rPr>
        <w:t>Revista Jurídica sobre Consumidores y Usuarios</w:t>
      </w:r>
      <w:r w:rsidRPr="00C660D0">
        <w:rPr>
          <w:sz w:val="20"/>
          <w:szCs w:val="20"/>
        </w:rPr>
        <w:t>, N</w:t>
      </w:r>
      <w:r w:rsidR="00B42623">
        <w:rPr>
          <w:sz w:val="20"/>
          <w:szCs w:val="20"/>
        </w:rPr>
        <w:t>º</w:t>
      </w:r>
      <w:r w:rsidRPr="00C660D0">
        <w:rPr>
          <w:sz w:val="20"/>
          <w:szCs w:val="20"/>
        </w:rPr>
        <w:t xml:space="preserve">. 7, Febrero 2020. </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Vela Torres, P. J.</w:t>
      </w:r>
      <w:r w:rsidRPr="00C660D0">
        <w:rPr>
          <w:sz w:val="20"/>
          <w:szCs w:val="20"/>
        </w:rPr>
        <w:t xml:space="preserve"> “Cláusulas limitativas y lesivas en el contrato de seguro. Especial referencia al seguro de defensa jurídica”: </w:t>
      </w:r>
      <w:r w:rsidRPr="00C660D0">
        <w:rPr>
          <w:i/>
          <w:sz w:val="20"/>
          <w:szCs w:val="20"/>
        </w:rPr>
        <w:t>Responsabilidad civil, seguro y trafico: cuaderno jurídico</w:t>
      </w:r>
      <w:r w:rsidRPr="00C660D0">
        <w:rPr>
          <w:sz w:val="20"/>
          <w:szCs w:val="20"/>
        </w:rPr>
        <w:t>, Nº. 69, 2020, págs. 15-26.</w:t>
      </w:r>
    </w:p>
    <w:p w:rsidR="00C660D0" w:rsidRP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Villoria Rivera, I.; del Campo Rato, L.</w:t>
      </w:r>
      <w:r w:rsidRPr="00C660D0">
        <w:rPr>
          <w:sz w:val="20"/>
          <w:szCs w:val="20"/>
        </w:rPr>
        <w:t xml:space="preserve"> “«De aquellos polvos vienen estos lodos»: la doctrina del Tribunal de Justicia de la Unión Europea y del Tribunal Supremo Español sobre los efectos de la nulidad de las cláusulas de vencimiento anticipado Texto”: </w:t>
      </w:r>
      <w:r w:rsidRPr="00C660D0">
        <w:rPr>
          <w:i/>
          <w:sz w:val="20"/>
          <w:szCs w:val="20"/>
        </w:rPr>
        <w:t>Diario La Ley</w:t>
      </w:r>
      <w:r w:rsidRPr="00C660D0">
        <w:rPr>
          <w:sz w:val="20"/>
          <w:szCs w:val="20"/>
        </w:rPr>
        <w:t>, Nº 9586, 2020.</w:t>
      </w:r>
    </w:p>
    <w:p w:rsidR="00C660D0" w:rsidRDefault="00C660D0" w:rsidP="00C660D0">
      <w:pPr>
        <w:pStyle w:val="Prrafodelista"/>
        <w:numPr>
          <w:ilvl w:val="0"/>
          <w:numId w:val="1"/>
        </w:numPr>
        <w:spacing w:beforeLines="100" w:before="240" w:afterLines="100" w:after="240"/>
        <w:ind w:left="360"/>
        <w:contextualSpacing w:val="0"/>
        <w:jc w:val="both"/>
        <w:rPr>
          <w:sz w:val="20"/>
          <w:szCs w:val="20"/>
        </w:rPr>
      </w:pPr>
      <w:r w:rsidRPr="00C660D0">
        <w:rPr>
          <w:caps/>
          <w:sz w:val="20"/>
          <w:szCs w:val="20"/>
        </w:rPr>
        <w:t>Yáñez de Andrés, A.</w:t>
      </w:r>
      <w:r w:rsidRPr="00C660D0">
        <w:rPr>
          <w:sz w:val="20"/>
          <w:szCs w:val="20"/>
        </w:rPr>
        <w:t xml:space="preserve"> “Cláusulas suelo. «Consumidores somos todos»”: </w:t>
      </w:r>
      <w:r w:rsidRPr="00C660D0">
        <w:rPr>
          <w:i/>
          <w:sz w:val="20"/>
          <w:szCs w:val="20"/>
        </w:rPr>
        <w:t>Diario La Ley</w:t>
      </w:r>
      <w:r w:rsidRPr="00C660D0">
        <w:rPr>
          <w:sz w:val="20"/>
          <w:szCs w:val="20"/>
        </w:rPr>
        <w:t>, Nº 9574, 2020.</w:t>
      </w: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Default="003F49BB" w:rsidP="003F49BB">
      <w:pPr>
        <w:spacing w:beforeLines="100" w:before="240" w:afterLines="100" w:after="240"/>
        <w:jc w:val="both"/>
        <w:rPr>
          <w:sz w:val="20"/>
          <w:szCs w:val="20"/>
        </w:rPr>
      </w:pPr>
    </w:p>
    <w:p w:rsidR="003F49BB" w:rsidRPr="003F49BB" w:rsidRDefault="003F49BB" w:rsidP="003F49BB">
      <w:pPr>
        <w:spacing w:beforeLines="100" w:before="240" w:afterLines="100" w:after="240"/>
        <w:jc w:val="center"/>
        <w:rPr>
          <w:sz w:val="16"/>
          <w:szCs w:val="16"/>
        </w:rPr>
      </w:pPr>
      <w:r w:rsidRPr="003F49BB">
        <w:rPr>
          <w:sz w:val="16"/>
          <w:szCs w:val="16"/>
        </w:rPr>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FE1" w:rsidRDefault="00410FE1" w:rsidP="000562B1">
      <w:pPr>
        <w:spacing w:after="0" w:line="240" w:lineRule="auto"/>
      </w:pPr>
      <w:r>
        <w:separator/>
      </w:r>
    </w:p>
  </w:endnote>
  <w:endnote w:type="continuationSeparator" w:id="0">
    <w:p w:rsidR="00410FE1" w:rsidRDefault="00410FE1"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rsidR="000562B1" w:rsidRPr="000562B1" w:rsidRDefault="000562B1">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1342BF">
          <w:rPr>
            <w:rFonts w:cstheme="minorHAnsi"/>
            <w:noProof/>
          </w:rPr>
          <w:t>6</w:t>
        </w:r>
        <w:r w:rsidRPr="000562B1">
          <w:rPr>
            <w:rFonts w:cstheme="minorHAnsi"/>
          </w:rPr>
          <w:fldChar w:fldCharType="end"/>
        </w:r>
      </w:p>
    </w:sdtContent>
  </w:sdt>
  <w:p w:rsidR="000562B1" w:rsidRDefault="000562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FE1" w:rsidRDefault="00410FE1" w:rsidP="000562B1">
      <w:pPr>
        <w:spacing w:after="0" w:line="240" w:lineRule="auto"/>
      </w:pPr>
      <w:r>
        <w:separator/>
      </w:r>
    </w:p>
  </w:footnote>
  <w:footnote w:type="continuationSeparator" w:id="0">
    <w:p w:rsidR="00410FE1" w:rsidRDefault="00410FE1"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562B1"/>
    <w:rsid w:val="0012310A"/>
    <w:rsid w:val="001342BF"/>
    <w:rsid w:val="001E467C"/>
    <w:rsid w:val="00226C2F"/>
    <w:rsid w:val="00326C94"/>
    <w:rsid w:val="003F49BB"/>
    <w:rsid w:val="00410FE1"/>
    <w:rsid w:val="004158D3"/>
    <w:rsid w:val="00474518"/>
    <w:rsid w:val="0051297C"/>
    <w:rsid w:val="005527B0"/>
    <w:rsid w:val="005B7019"/>
    <w:rsid w:val="005E340F"/>
    <w:rsid w:val="005F0DEC"/>
    <w:rsid w:val="005F1DFB"/>
    <w:rsid w:val="00656A1A"/>
    <w:rsid w:val="006B172C"/>
    <w:rsid w:val="00846866"/>
    <w:rsid w:val="00916F83"/>
    <w:rsid w:val="009432D4"/>
    <w:rsid w:val="009E7932"/>
    <w:rsid w:val="00A178D6"/>
    <w:rsid w:val="00A535EC"/>
    <w:rsid w:val="00B065EF"/>
    <w:rsid w:val="00B42623"/>
    <w:rsid w:val="00B917BF"/>
    <w:rsid w:val="00BE3615"/>
    <w:rsid w:val="00C45C39"/>
    <w:rsid w:val="00C660D0"/>
    <w:rsid w:val="00C943B2"/>
    <w:rsid w:val="00C97832"/>
    <w:rsid w:val="00CB0586"/>
    <w:rsid w:val="00D364FB"/>
    <w:rsid w:val="00D37249"/>
    <w:rsid w:val="00D827B7"/>
    <w:rsid w:val="00DA30E6"/>
    <w:rsid w:val="00DC326F"/>
    <w:rsid w:val="00E618E3"/>
    <w:rsid w:val="00E86324"/>
    <w:rsid w:val="00EE0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6F874-5E8E-4B08-8FAA-2CD3A46B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2381</Words>
  <Characters>13099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15</cp:revision>
  <cp:lastPrinted>2020-04-03T10:18:00Z</cp:lastPrinted>
  <dcterms:created xsi:type="dcterms:W3CDTF">2020-04-01T15:38:00Z</dcterms:created>
  <dcterms:modified xsi:type="dcterms:W3CDTF">2020-04-03T10:18:00Z</dcterms:modified>
</cp:coreProperties>
</file>