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3E41C523" wp14:editId="7C34A880">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7C04" w:rsidRDefault="00827C04">
                            <w:pPr>
                              <w:rPr>
                                <w:rFonts w:ascii="Segoe UI" w:hAnsi="Segoe UI" w:cs="Segoe UI"/>
                                <w:b/>
                                <w:color w:val="FFFFFF" w:themeColor="background1"/>
                                <w:sz w:val="36"/>
                                <w:szCs w:val="36"/>
                              </w:rPr>
                            </w:pPr>
                            <w:r>
                              <w:rPr>
                                <w:rFonts w:ascii="Segoe UI" w:hAnsi="Segoe UI" w:cs="Segoe UI"/>
                                <w:b/>
                                <w:color w:val="FFFFFF" w:themeColor="background1"/>
                                <w:sz w:val="36"/>
                                <w:szCs w:val="36"/>
                              </w:rPr>
                              <w:t>Abril-Junio</w:t>
                            </w:r>
                            <w:r w:rsidRPr="00D37249">
                              <w:rPr>
                                <w:rFonts w:ascii="Segoe UI" w:hAnsi="Segoe UI" w:cs="Segoe UI"/>
                                <w:b/>
                                <w:color w:val="FFFFFF" w:themeColor="background1"/>
                                <w:sz w:val="36"/>
                                <w:szCs w:val="36"/>
                              </w:rPr>
                              <w:t xml:space="preserve"> 2020</w:t>
                            </w:r>
                          </w:p>
                          <w:p w:rsidR="00827C04" w:rsidRPr="00D37249" w:rsidRDefault="00827C04">
                            <w:pPr>
                              <w:rPr>
                                <w:rFonts w:ascii="Segoe UI" w:hAnsi="Segoe UI" w:cs="Segoe UI"/>
                                <w:b/>
                                <w:color w:val="FFFFFF" w:themeColor="background1"/>
                                <w:sz w:val="36"/>
                                <w:szCs w:val="36"/>
                              </w:rPr>
                            </w:pPr>
                          </w:p>
                          <w:p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rsidR="00827C04" w:rsidRDefault="00827C04" w:rsidP="005F1DFB">
                            <w:pPr>
                              <w:spacing w:after="0" w:line="240" w:lineRule="auto"/>
                              <w:rPr>
                                <w:rFonts w:ascii="Segoe UI" w:hAnsi="Segoe UI" w:cs="Segoe UI"/>
                                <w:b/>
                                <w:color w:val="FFFFFF" w:themeColor="background1"/>
                                <w:sz w:val="36"/>
                                <w:szCs w:val="36"/>
                              </w:rPr>
                            </w:pPr>
                          </w:p>
                          <w:p w:rsidR="00827C04" w:rsidRDefault="00827C04" w:rsidP="005F1DFB">
                            <w:pPr>
                              <w:spacing w:after="0" w:line="240" w:lineRule="auto"/>
                              <w:rPr>
                                <w:rFonts w:ascii="Segoe UI" w:hAnsi="Segoe UI" w:cs="Segoe UI"/>
                                <w:b/>
                                <w:color w:val="FFFFFF" w:themeColor="background1"/>
                                <w:sz w:val="36"/>
                                <w:szCs w:val="36"/>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rPr>
                            </w:pPr>
                          </w:p>
                          <w:p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Víctor Bastante </w:t>
                            </w:r>
                            <w:proofErr w:type="spellStart"/>
                            <w:r w:rsidRPr="00EE05FD">
                              <w:rPr>
                                <w:rFonts w:ascii="Segoe UI" w:hAnsi="Segoe UI" w:cs="Segoe UI"/>
                                <w:sz w:val="20"/>
                                <w:szCs w:val="20"/>
                              </w:rPr>
                              <w:t>Granell</w:t>
                            </w:r>
                            <w:proofErr w:type="spellEnd"/>
                            <w:r>
                              <w:rPr>
                                <w:rFonts w:ascii="Segoe UI" w:hAnsi="Segoe UI" w:cs="Segoe UI"/>
                                <w:sz w:val="20"/>
                                <w:szCs w:val="20"/>
                              </w:rPr>
                              <w:t xml:space="preserve">. </w:t>
                            </w:r>
                          </w:p>
                          <w:p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" filled="f" stroked="f" strokeweight=".5pt">
                <v:textbox>
                  <w:txbxContent>
                    <w:p w:rsidR="00827C04" w:rsidRDefault="00827C04">
                      <w:pPr>
                        <w:rPr>
                          <w:rFonts w:ascii="Segoe UI" w:hAnsi="Segoe UI" w:cs="Segoe UI"/>
                          <w:b/>
                          <w:color w:val="FFFFFF" w:themeColor="background1"/>
                          <w:sz w:val="36"/>
                          <w:szCs w:val="36"/>
                        </w:rPr>
                      </w:pPr>
                      <w:r>
                        <w:rPr>
                          <w:rFonts w:ascii="Segoe UI" w:hAnsi="Segoe UI" w:cs="Segoe UI"/>
                          <w:b/>
                          <w:color w:val="FFFFFF" w:themeColor="background1"/>
                          <w:sz w:val="36"/>
                          <w:szCs w:val="36"/>
                        </w:rPr>
                        <w:t>Abril-Junio</w:t>
                      </w:r>
                      <w:r w:rsidRPr="00D37249">
                        <w:rPr>
                          <w:rFonts w:ascii="Segoe UI" w:hAnsi="Segoe UI" w:cs="Segoe UI"/>
                          <w:b/>
                          <w:color w:val="FFFFFF" w:themeColor="background1"/>
                          <w:sz w:val="36"/>
                          <w:szCs w:val="36"/>
                        </w:rPr>
                        <w:t xml:space="preserve"> 2020</w:t>
                      </w:r>
                    </w:p>
                    <w:p w:rsidR="00827C04" w:rsidRPr="00D37249" w:rsidRDefault="00827C04">
                      <w:pPr>
                        <w:rPr>
                          <w:rFonts w:ascii="Segoe UI" w:hAnsi="Segoe UI" w:cs="Segoe UI"/>
                          <w:b/>
                          <w:color w:val="FFFFFF" w:themeColor="background1"/>
                          <w:sz w:val="36"/>
                          <w:szCs w:val="36"/>
                        </w:rPr>
                      </w:pPr>
                    </w:p>
                    <w:p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rsidR="00827C04" w:rsidRDefault="00827C04" w:rsidP="005F1DFB">
                      <w:pPr>
                        <w:spacing w:after="0" w:line="240" w:lineRule="auto"/>
                        <w:rPr>
                          <w:rFonts w:ascii="Segoe UI" w:hAnsi="Segoe UI" w:cs="Segoe UI"/>
                          <w:b/>
                          <w:color w:val="FFFFFF" w:themeColor="background1"/>
                          <w:sz w:val="36"/>
                          <w:szCs w:val="36"/>
                        </w:rPr>
                      </w:pPr>
                    </w:p>
                    <w:p w:rsidR="00827C04" w:rsidRDefault="00827C04" w:rsidP="005F1DFB">
                      <w:pPr>
                        <w:spacing w:after="0" w:line="240" w:lineRule="auto"/>
                        <w:rPr>
                          <w:rFonts w:ascii="Segoe UI" w:hAnsi="Segoe UI" w:cs="Segoe UI"/>
                          <w:b/>
                          <w:color w:val="FFFFFF" w:themeColor="background1"/>
                          <w:sz w:val="36"/>
                          <w:szCs w:val="36"/>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color w:val="FFFFFF" w:themeColor="background1"/>
                        </w:rPr>
                      </w:pPr>
                    </w:p>
                    <w:p w:rsidR="00827C04" w:rsidRDefault="00827C04" w:rsidP="005F1DFB">
                      <w:pPr>
                        <w:spacing w:after="0" w:line="240" w:lineRule="auto"/>
                        <w:rPr>
                          <w:rFonts w:ascii="Segoe UI" w:hAnsi="Segoe UI" w:cs="Segoe UI"/>
                          <w:b/>
                        </w:rPr>
                      </w:pPr>
                    </w:p>
                    <w:p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Víctor Bastante </w:t>
                      </w:r>
                      <w:proofErr w:type="spellStart"/>
                      <w:r w:rsidRPr="00EE05FD">
                        <w:rPr>
                          <w:rFonts w:ascii="Segoe UI" w:hAnsi="Segoe UI" w:cs="Segoe UI"/>
                          <w:sz w:val="20"/>
                          <w:szCs w:val="20"/>
                        </w:rPr>
                        <w:t>Granell</w:t>
                      </w:r>
                      <w:proofErr w:type="spellEnd"/>
                      <w:r>
                        <w:rPr>
                          <w:rFonts w:ascii="Segoe UI" w:hAnsi="Segoe UI" w:cs="Segoe UI"/>
                          <w:sz w:val="20"/>
                          <w:szCs w:val="20"/>
                        </w:rPr>
                        <w:t xml:space="preserve">. </w:t>
                      </w:r>
                    </w:p>
                    <w:p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v:textbox>
              </v:shape>
            </w:pict>
          </mc:Fallback>
        </mc:AlternateContent>
      </w: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D37249" w:rsidP="00656A1A">
      <w:pPr>
        <w:spacing w:beforeLines="100" w:before="240" w:afterLines="100" w:after="240"/>
        <w:jc w:val="center"/>
        <w:rPr>
          <w:noProof/>
          <w:lang w:eastAsia="es-ES"/>
        </w:rPr>
      </w:pPr>
    </w:p>
    <w:p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0B314012" wp14:editId="7B73B8E5">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" filled="f" stroked="f" strokeweight=".5pt">
                <v:textbox>
                  <w:txbxContent>
                    <w:p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rsidR="00C660D0" w:rsidRDefault="000562B1" w:rsidP="00226C2F">
      <w:pPr>
        <w:spacing w:after="0" w:line="240" w:lineRule="auto"/>
        <w:jc w:val="center"/>
        <w:rPr>
          <w:rFonts w:cstheme="minorHAnsi"/>
          <w:b/>
          <w:color w:val="FFFFFF" w:themeColor="background1"/>
          <w:sz w:val="32"/>
          <w:szCs w:val="32"/>
        </w:rPr>
      </w:pPr>
      <w:r w:rsidRPr="00226C2F">
        <w:rPr>
          <w:rFonts w:cstheme="minorHAnsi"/>
          <w:b/>
          <w:noProof/>
          <w:color w:val="FFFFFF" w:themeColor="background1"/>
          <w:sz w:val="32"/>
          <w:szCs w:val="32"/>
          <w:lang w:eastAsia="es-ES"/>
        </w:rPr>
        <w:lastRenderedPageBreak/>
        <w:drawing>
          <wp:anchor distT="0" distB="0" distL="114300" distR="114300" simplePos="0" relativeHeight="251662336" behindDoc="1" locked="0" layoutInCell="1" allowOverlap="1" wp14:anchorId="136D6211" wp14:editId="6657CFC2">
            <wp:simplePos x="0" y="0"/>
            <wp:positionH relativeFrom="column">
              <wp:posOffset>-1048237</wp:posOffset>
            </wp:positionH>
            <wp:positionV relativeFrom="paragraph">
              <wp:posOffset>-889162</wp:posOffset>
            </wp:positionV>
            <wp:extent cx="7549116" cy="9803218"/>
            <wp:effectExtent l="0" t="0" r="0" b="7620"/>
            <wp:wrapNone/>
            <wp:docPr id="7" name="Imagen 7" descr="C:\Users\Jesus\Downloads\Red and Grayscale Corporate Company Annual Re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Red and Grayscale Corporate Company Annual Report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9116" cy="9803218"/>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2F">
        <w:rPr>
          <w:rFonts w:cstheme="minorHAnsi"/>
          <w:b/>
          <w:noProof/>
          <w:color w:val="FFFFFF" w:themeColor="background1"/>
          <w:sz w:val="32"/>
          <w:szCs w:val="32"/>
          <w:lang w:eastAsia="es-ES"/>
        </w:rPr>
        <mc:AlternateContent>
          <mc:Choice Requires="wps">
            <w:drawing>
              <wp:anchor distT="0" distB="0" distL="114300" distR="114300" simplePos="0" relativeHeight="251663360" behindDoc="0" locked="0" layoutInCell="1" allowOverlap="1" wp14:anchorId="2D589271" wp14:editId="39F6C960">
                <wp:simplePos x="0" y="0"/>
                <wp:positionH relativeFrom="column">
                  <wp:posOffset>1120775</wp:posOffset>
                </wp:positionH>
                <wp:positionV relativeFrom="paragraph">
                  <wp:posOffset>-218307</wp:posOffset>
                </wp:positionV>
                <wp:extent cx="3466213" cy="107388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466213" cy="107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rsidR="00827C04" w:rsidRPr="005F0DEC" w:rsidRDefault="00827C04" w:rsidP="00226C2F">
                            <w:pPr>
                              <w:spacing w:after="0" w:line="240" w:lineRule="auto"/>
                              <w:rPr>
                                <w:rFonts w:cstheme="minorHAnsi"/>
                                <w:b/>
                                <w:color w:val="FFFFFF" w:themeColor="background1"/>
                              </w:rPr>
                            </w:pPr>
                          </w:p>
                          <w:p w:rsidR="00827C04" w:rsidRPr="00226C2F" w:rsidRDefault="00827C04" w:rsidP="00226C2F">
                            <w:pPr>
                              <w:jc w:val="center"/>
                              <w:rPr>
                                <w:rFonts w:cstheme="minorHAnsi"/>
                                <w:b/>
                                <w:color w:val="FFFFFF" w:themeColor="background1"/>
                                <w:sz w:val="20"/>
                                <w:szCs w:val="20"/>
                              </w:rPr>
                            </w:pPr>
                            <w:r>
                              <w:rPr>
                                <w:rFonts w:cstheme="minorHAnsi"/>
                                <w:b/>
                                <w:color w:val="FFFFFF" w:themeColor="background1"/>
                                <w:sz w:val="20"/>
                                <w:szCs w:val="20"/>
                              </w:rPr>
                              <w:t>Abril-Junio</w:t>
                            </w:r>
                            <w:r w:rsidRPr="00226C2F">
                              <w:rPr>
                                <w:rFonts w:cstheme="minorHAnsi"/>
                                <w:b/>
                                <w:color w:val="FFFFFF" w:themeColor="background1"/>
                                <w:sz w:val="20"/>
                                <w:szCs w:val="20"/>
                              </w:rPr>
                              <w:t xml:space="preserve"> 2020</w:t>
                            </w:r>
                          </w:p>
                          <w:p w:rsidR="00827C04" w:rsidRDefault="00827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1 Cuadro de texto" o:spid="_x0000_s1028" type="#_x0000_t202" style="position:absolute;left:0;text-align:left;margin-left:88.25pt;margin-top:-17.2pt;width:272.95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" filled="f" stroked="f" strokeweight=".5pt">
                <v:textbox>
                  <w:txbxContent>
                    <w:p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rsidR="00827C04" w:rsidRPr="005F0DEC" w:rsidRDefault="00827C04" w:rsidP="00226C2F">
                      <w:pPr>
                        <w:spacing w:after="0" w:line="240" w:lineRule="auto"/>
                        <w:rPr>
                          <w:rFonts w:cstheme="minorHAnsi"/>
                          <w:b/>
                          <w:color w:val="FFFFFF" w:themeColor="background1"/>
                        </w:rPr>
                      </w:pPr>
                    </w:p>
                    <w:p w:rsidR="00827C04" w:rsidRPr="00226C2F" w:rsidRDefault="00827C04" w:rsidP="00226C2F">
                      <w:pPr>
                        <w:jc w:val="center"/>
                        <w:rPr>
                          <w:rFonts w:cstheme="minorHAnsi"/>
                          <w:b/>
                          <w:color w:val="FFFFFF" w:themeColor="background1"/>
                          <w:sz w:val="20"/>
                          <w:szCs w:val="20"/>
                        </w:rPr>
                      </w:pPr>
                      <w:r>
                        <w:rPr>
                          <w:rFonts w:cstheme="minorHAnsi"/>
                          <w:b/>
                          <w:color w:val="FFFFFF" w:themeColor="background1"/>
                          <w:sz w:val="20"/>
                          <w:szCs w:val="20"/>
                        </w:rPr>
                        <w:t>Abril-Junio</w:t>
                      </w:r>
                      <w:r w:rsidRPr="00226C2F">
                        <w:rPr>
                          <w:rFonts w:cstheme="minorHAnsi"/>
                          <w:b/>
                          <w:color w:val="FFFFFF" w:themeColor="background1"/>
                          <w:sz w:val="20"/>
                          <w:szCs w:val="20"/>
                        </w:rPr>
                        <w:t xml:space="preserve"> 2020</w:t>
                      </w:r>
                    </w:p>
                    <w:p w:rsidR="00827C04" w:rsidRDefault="00827C04"/>
                  </w:txbxContent>
                </v:textbox>
              </v:shape>
            </w:pict>
          </mc:Fallback>
        </mc:AlternateContent>
      </w:r>
    </w:p>
    <w:p w:rsidR="00226C2F" w:rsidRDefault="00226C2F" w:rsidP="00226C2F">
      <w:pPr>
        <w:spacing w:after="0" w:line="240" w:lineRule="auto"/>
        <w:jc w:val="center"/>
        <w:rPr>
          <w:rFonts w:cstheme="minorHAnsi"/>
          <w:b/>
          <w:color w:val="FFFFFF" w:themeColor="background1"/>
          <w:sz w:val="32"/>
          <w:szCs w:val="32"/>
        </w:rPr>
      </w:pPr>
    </w:p>
    <w:p w:rsidR="00226C2F" w:rsidRDefault="00226C2F" w:rsidP="00226C2F">
      <w:pPr>
        <w:spacing w:after="0" w:line="240" w:lineRule="auto"/>
        <w:jc w:val="center"/>
        <w:rPr>
          <w:rFonts w:cstheme="minorHAnsi"/>
          <w:b/>
          <w:color w:val="FFFFFF" w:themeColor="background1"/>
          <w:sz w:val="32"/>
          <w:szCs w:val="32"/>
        </w:rPr>
      </w:pPr>
      <w:r>
        <w:rPr>
          <w:noProof/>
          <w:lang w:eastAsia="es-ES"/>
        </w:rPr>
        <mc:AlternateContent>
          <mc:Choice Requires="wps">
            <w:drawing>
              <wp:anchor distT="0" distB="0" distL="114300" distR="114300" simplePos="0" relativeHeight="251665408" behindDoc="0" locked="0" layoutInCell="1" allowOverlap="1" wp14:anchorId="3F0A0713" wp14:editId="7EBE3053">
                <wp:simplePos x="0" y="0"/>
                <wp:positionH relativeFrom="column">
                  <wp:posOffset>4331335</wp:posOffset>
                </wp:positionH>
                <wp:positionV relativeFrom="paragraph">
                  <wp:posOffset>71297</wp:posOffset>
                </wp:positionV>
                <wp:extent cx="659130" cy="47752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659130" cy="477520"/>
                        </a:xfrm>
                        <a:prstGeom prst="rect">
                          <a:avLst/>
                        </a:prstGeom>
                        <a:noFill/>
                        <a:ln w="6350">
                          <a:noFill/>
                        </a:ln>
                        <a:effectLst/>
                      </wps:spPr>
                      <wps:txbx>
                        <w:txbxContent>
                          <w:p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9" type="#_x0000_t202" style="position:absolute;left:0;text-align:left;margin-left:341.05pt;margin-top:5.6pt;width:51.9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" filled="f" stroked="f" strokeweight=".5pt">
                <v:textbox>
                  <w:txbxContent>
                    <w:p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v:textbox>
              </v:shape>
            </w:pict>
          </mc:Fallback>
        </mc:AlternateContent>
      </w:r>
    </w:p>
    <w:p w:rsidR="00226C2F" w:rsidRDefault="00226C2F" w:rsidP="00226C2F">
      <w:pPr>
        <w:spacing w:after="0" w:line="240" w:lineRule="auto"/>
        <w:jc w:val="center"/>
        <w:rPr>
          <w:rFonts w:cstheme="minorHAnsi"/>
          <w:b/>
          <w:color w:val="FFFFFF" w:themeColor="background1"/>
          <w:sz w:val="32"/>
          <w:szCs w:val="32"/>
        </w:rPr>
      </w:pPr>
    </w:p>
    <w:p w:rsidR="00226C2F" w:rsidRPr="00226C2F" w:rsidRDefault="00226C2F" w:rsidP="00226C2F">
      <w:pPr>
        <w:spacing w:after="0" w:line="240" w:lineRule="auto"/>
        <w:jc w:val="center"/>
        <w:rPr>
          <w:rFonts w:cstheme="minorHAnsi"/>
          <w:b/>
          <w:color w:val="FFFFFF" w:themeColor="background1"/>
          <w:sz w:val="20"/>
          <w:szCs w:val="20"/>
        </w:rPr>
      </w:pPr>
    </w:p>
    <w:p w:rsidR="00226C2F" w:rsidRPr="005F0DEC" w:rsidRDefault="00226C2F" w:rsidP="00C943B2">
      <w:pPr>
        <w:rPr>
          <w:rFonts w:ascii="Segoe UI" w:hAnsi="Segoe UI" w:cs="Segoe UI"/>
          <w:b/>
          <w:color w:val="000000" w:themeColor="text1"/>
          <w:sz w:val="20"/>
          <w:szCs w:val="20"/>
        </w:rPr>
      </w:pPr>
    </w:p>
    <w:p w:rsidR="00181687" w:rsidRPr="003278E6" w:rsidRDefault="00181687" w:rsidP="00181687">
      <w:pPr>
        <w:spacing w:after="0" w:line="240" w:lineRule="auto"/>
        <w:jc w:val="both"/>
        <w:rPr>
          <w:rFonts w:cstheme="minorHAnsi"/>
          <w:color w:val="000000" w:themeColor="text1"/>
          <w:sz w:val="20"/>
          <w:szCs w:val="20"/>
        </w:rPr>
      </w:pPr>
    </w:p>
    <w:p w:rsidR="0017035A" w:rsidRPr="0017035A" w:rsidRDefault="00CF6D6C" w:rsidP="0017035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1" w:history="1">
        <w:r w:rsidR="00181687" w:rsidRPr="009B4DB5">
          <w:rPr>
            <w:rFonts w:eastAsia="Times New Roman" w:cstheme="minorHAnsi"/>
            <w:caps/>
            <w:color w:val="000000" w:themeColor="text1"/>
            <w:sz w:val="20"/>
            <w:szCs w:val="20"/>
            <w:bdr w:val="none" w:sz="0" w:space="0" w:color="auto" w:frame="1"/>
            <w:lang w:eastAsia="es-ES"/>
          </w:rPr>
          <w:t>Adán Doménech</w:t>
        </w:r>
      </w:hyperlink>
      <w:r w:rsidR="00181687" w:rsidRPr="009B4DB5">
        <w:rPr>
          <w:rFonts w:eastAsia="Times New Roman" w:cstheme="minorHAnsi"/>
          <w:color w:val="000000" w:themeColor="text1"/>
          <w:sz w:val="20"/>
          <w:szCs w:val="20"/>
          <w:bdr w:val="none" w:sz="0" w:space="0" w:color="auto" w:frame="1"/>
          <w:lang w:eastAsia="es-ES"/>
        </w:rPr>
        <w:t xml:space="preserve">, F.  “La aplicación práctica de la cláusula de vencimiento </w:t>
      </w:r>
      <w:proofErr w:type="spellStart"/>
      <w:r w:rsidR="00181687" w:rsidRPr="009B4DB5">
        <w:rPr>
          <w:rFonts w:eastAsia="Times New Roman" w:cstheme="minorHAnsi"/>
          <w:color w:val="000000" w:themeColor="text1"/>
          <w:sz w:val="20"/>
          <w:szCs w:val="20"/>
          <w:bdr w:val="none" w:sz="0" w:space="0" w:color="auto" w:frame="1"/>
          <w:lang w:eastAsia="es-ES"/>
        </w:rPr>
        <w:t>anticipadoSTS</w:t>
      </w:r>
      <w:proofErr w:type="spellEnd"/>
      <w:r w:rsidR="00181687" w:rsidRPr="009B4DB5">
        <w:rPr>
          <w:rFonts w:eastAsia="Times New Roman" w:cstheme="minorHAnsi"/>
          <w:color w:val="000000" w:themeColor="text1"/>
          <w:sz w:val="20"/>
          <w:szCs w:val="20"/>
          <w:bdr w:val="none" w:sz="0" w:space="0" w:color="auto" w:frame="1"/>
          <w:lang w:eastAsia="es-ES"/>
        </w:rPr>
        <w:t xml:space="preserve"> de 11 de septiembre de 2019. Final del recorrido”:</w:t>
      </w:r>
      <w:r w:rsidR="00181687" w:rsidRPr="009B4DB5">
        <w:rPr>
          <w:rFonts w:eastAsia="Times New Roman" w:cstheme="minorHAnsi"/>
          <w:color w:val="000000" w:themeColor="text1"/>
          <w:sz w:val="20"/>
          <w:szCs w:val="20"/>
          <w:lang w:eastAsia="es-ES"/>
        </w:rPr>
        <w:t xml:space="preserve"> </w:t>
      </w:r>
      <w:hyperlink r:id="rId12" w:history="1">
        <w:r w:rsidR="00181687" w:rsidRPr="009B4DB5">
          <w:rPr>
            <w:rFonts w:eastAsia="Times New Roman" w:cstheme="minorHAnsi"/>
            <w:i/>
            <w:color w:val="000000" w:themeColor="text1"/>
            <w:sz w:val="20"/>
            <w:szCs w:val="20"/>
            <w:bdr w:val="none" w:sz="0" w:space="0" w:color="auto" w:frame="1"/>
            <w:lang w:eastAsia="es-ES"/>
          </w:rPr>
          <w:t>Revista Crítica de Derecho Inmobiliario</w:t>
        </w:r>
      </w:hyperlink>
      <w:r w:rsidR="00181687" w:rsidRPr="009B4DB5">
        <w:rPr>
          <w:rFonts w:eastAsia="Times New Roman" w:cstheme="minorHAnsi"/>
          <w:color w:val="000000" w:themeColor="text1"/>
          <w:sz w:val="20"/>
          <w:szCs w:val="20"/>
          <w:bdr w:val="none" w:sz="0" w:space="0" w:color="auto" w:frame="1"/>
          <w:lang w:eastAsia="es-ES"/>
        </w:rPr>
        <w:t>, </w:t>
      </w:r>
      <w:hyperlink r:id="rId13" w:history="1">
        <w:r w:rsidR="00181687" w:rsidRPr="009B4DB5">
          <w:rPr>
            <w:rFonts w:eastAsia="Times New Roman" w:cstheme="minorHAnsi"/>
            <w:color w:val="000000" w:themeColor="text1"/>
            <w:sz w:val="20"/>
            <w:szCs w:val="20"/>
            <w:bdr w:val="none" w:sz="0" w:space="0" w:color="auto" w:frame="1"/>
            <w:lang w:eastAsia="es-ES"/>
          </w:rPr>
          <w:t>Año nº 96, nº 777, 2020</w:t>
        </w:r>
      </w:hyperlink>
      <w:r w:rsidR="00181687" w:rsidRPr="009B4DB5">
        <w:rPr>
          <w:rFonts w:eastAsia="Times New Roman" w:cstheme="minorHAnsi"/>
          <w:color w:val="000000" w:themeColor="text1"/>
          <w:sz w:val="20"/>
          <w:szCs w:val="20"/>
          <w:bdr w:val="none" w:sz="0" w:space="0" w:color="auto" w:frame="1"/>
          <w:lang w:eastAsia="es-ES"/>
        </w:rPr>
        <w:t>, págs. 650-673.</w:t>
      </w:r>
    </w:p>
    <w:p w:rsidR="0017035A" w:rsidRPr="0017035A" w:rsidRDefault="0017035A" w:rsidP="0017035A">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7035A" w:rsidRPr="0017035A" w:rsidRDefault="00CF6D6C" w:rsidP="0017035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4" w:history="1">
        <w:r w:rsidR="0017035A" w:rsidRPr="0017035A">
          <w:rPr>
            <w:rFonts w:eastAsia="Times New Roman" w:cstheme="minorHAnsi"/>
            <w:caps/>
            <w:color w:val="000000" w:themeColor="text1"/>
            <w:sz w:val="20"/>
            <w:szCs w:val="20"/>
            <w:bdr w:val="none" w:sz="0" w:space="0" w:color="auto" w:frame="1"/>
            <w:lang w:eastAsia="es-ES"/>
          </w:rPr>
          <w:t>Adán Doménech</w:t>
        </w:r>
      </w:hyperlink>
      <w:r w:rsidR="0017035A" w:rsidRPr="0017035A">
        <w:rPr>
          <w:rFonts w:eastAsia="Times New Roman" w:cstheme="minorHAnsi"/>
          <w:color w:val="000000" w:themeColor="text1"/>
          <w:sz w:val="20"/>
          <w:szCs w:val="20"/>
          <w:bdr w:val="none" w:sz="0" w:space="0" w:color="auto" w:frame="1"/>
          <w:lang w:eastAsia="es-ES"/>
        </w:rPr>
        <w:t>, F.  </w:t>
      </w:r>
      <w:r w:rsidR="0017035A" w:rsidRPr="0017035A">
        <w:rPr>
          <w:rFonts w:eastAsia="Times New Roman" w:cstheme="minorHAnsi"/>
          <w:i/>
          <w:color w:val="000000" w:themeColor="text1"/>
          <w:sz w:val="20"/>
          <w:szCs w:val="20"/>
          <w:bdr w:val="none" w:sz="0" w:space="0" w:color="auto" w:frame="1"/>
          <w:lang w:eastAsia="es-ES"/>
        </w:rPr>
        <w:t>El fin de las cláusulas abusivas hipotecarias en la ley de crédito inmobiliario y en la jurisprudencia del TS y TJUE</w:t>
      </w:r>
      <w:r w:rsidR="0017035A" w:rsidRPr="0017035A">
        <w:rPr>
          <w:rFonts w:eastAsia="Times New Roman" w:cstheme="minorHAnsi"/>
          <w:color w:val="000000" w:themeColor="text1"/>
          <w:sz w:val="20"/>
          <w:szCs w:val="20"/>
          <w:bdr w:val="none" w:sz="0" w:space="0" w:color="auto" w:frame="1"/>
          <w:lang w:eastAsia="es-ES"/>
        </w:rPr>
        <w:t xml:space="preserve">. Barcelona: Bosch, 2020. </w:t>
      </w:r>
    </w:p>
    <w:p w:rsidR="00181687" w:rsidRPr="00181687"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A21DDE" w:rsidRDefault="00181687" w:rsidP="00A21DDE">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181687">
        <w:rPr>
          <w:rFonts w:eastAsia="Times New Roman" w:cstheme="minorHAnsi"/>
          <w:caps/>
          <w:color w:val="000000" w:themeColor="text1"/>
          <w:sz w:val="20"/>
          <w:szCs w:val="20"/>
          <w:lang w:eastAsia="es-ES"/>
        </w:rPr>
        <w:t>Agüero Ortiz</w:t>
      </w:r>
      <w:r w:rsidRPr="00181687">
        <w:rPr>
          <w:rFonts w:eastAsia="Times New Roman" w:cstheme="minorHAnsi"/>
          <w:color w:val="000000" w:themeColor="text1"/>
          <w:sz w:val="20"/>
          <w:szCs w:val="20"/>
          <w:lang w:eastAsia="es-ES"/>
        </w:rPr>
        <w:t xml:space="preserve">, A. “Sentencia </w:t>
      </w:r>
      <w:proofErr w:type="spellStart"/>
      <w:r w:rsidRPr="00181687">
        <w:rPr>
          <w:rFonts w:eastAsia="Times New Roman" w:cstheme="minorHAnsi"/>
          <w:color w:val="000000" w:themeColor="text1"/>
          <w:sz w:val="20"/>
          <w:szCs w:val="20"/>
          <w:lang w:eastAsia="es-ES"/>
        </w:rPr>
        <w:t>WiZink</w:t>
      </w:r>
      <w:proofErr w:type="spellEnd"/>
      <w:r w:rsidRPr="00181687">
        <w:rPr>
          <w:rFonts w:eastAsia="Times New Roman" w:cstheme="minorHAnsi"/>
          <w:color w:val="000000" w:themeColor="text1"/>
          <w:sz w:val="20"/>
          <w:szCs w:val="20"/>
          <w:lang w:eastAsia="es-ES"/>
        </w:rPr>
        <w:t xml:space="preserve">: usura en ausencia de anormalidad, desproporción o situación angustiosa”: </w:t>
      </w:r>
      <w:r w:rsidRPr="00181687">
        <w:rPr>
          <w:rFonts w:eastAsia="Times New Roman" w:cstheme="minorHAnsi"/>
          <w:i/>
          <w:color w:val="000000" w:themeColor="text1"/>
          <w:sz w:val="20"/>
          <w:szCs w:val="20"/>
          <w:lang w:eastAsia="es-ES"/>
        </w:rPr>
        <w:t>Revista Jurídica sobre Consumidores y Usuarios</w:t>
      </w:r>
      <w:r w:rsidRPr="00181687">
        <w:rPr>
          <w:rFonts w:eastAsia="Times New Roman" w:cstheme="minorHAnsi"/>
          <w:color w:val="000000" w:themeColor="text1"/>
          <w:sz w:val="20"/>
          <w:szCs w:val="20"/>
          <w:lang w:eastAsia="es-ES"/>
        </w:rPr>
        <w:t xml:space="preserve"> (Especial. Sentencia del Tribunal Supremo de fecha 4 de marzo de 2020 sobre créditos sobre la usura en los créditos </w:t>
      </w:r>
      <w:proofErr w:type="spellStart"/>
      <w:r w:rsidRPr="00181687">
        <w:rPr>
          <w:rFonts w:eastAsia="Times New Roman" w:cstheme="minorHAnsi"/>
          <w:color w:val="000000" w:themeColor="text1"/>
          <w:sz w:val="20"/>
          <w:szCs w:val="20"/>
          <w:lang w:eastAsia="es-ES"/>
        </w:rPr>
        <w:t>revolving</w:t>
      </w:r>
      <w:proofErr w:type="spellEnd"/>
      <w:r w:rsidRPr="00181687">
        <w:rPr>
          <w:rFonts w:eastAsia="Times New Roman" w:cstheme="minorHAnsi"/>
          <w:color w:val="000000" w:themeColor="text1"/>
          <w:sz w:val="20"/>
          <w:szCs w:val="20"/>
          <w:lang w:eastAsia="es-ES"/>
        </w:rPr>
        <w:t>), Abril 2020, pp. 56-72</w:t>
      </w:r>
      <w:r w:rsidR="00A21DDE">
        <w:rPr>
          <w:rFonts w:eastAsia="Times New Roman" w:cstheme="minorHAnsi"/>
          <w:color w:val="000000" w:themeColor="text1"/>
          <w:sz w:val="20"/>
          <w:szCs w:val="20"/>
          <w:lang w:eastAsia="es-ES"/>
        </w:rPr>
        <w:t>.</w:t>
      </w:r>
    </w:p>
    <w:p w:rsidR="00A21DDE" w:rsidRDefault="00A21DDE" w:rsidP="00A21DDE">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4D794A" w:rsidRDefault="00A21DDE" w:rsidP="004D794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A21DDE">
        <w:rPr>
          <w:rFonts w:eastAsia="Times New Roman" w:cstheme="minorHAnsi"/>
          <w:caps/>
          <w:color w:val="000000" w:themeColor="text1"/>
          <w:sz w:val="20"/>
          <w:szCs w:val="20"/>
          <w:lang w:eastAsia="es-ES"/>
        </w:rPr>
        <w:t>Agüero Ortiz</w:t>
      </w:r>
      <w:r w:rsidRPr="00A21DDE">
        <w:rPr>
          <w:rFonts w:eastAsia="Times New Roman" w:cstheme="minorHAnsi"/>
          <w:color w:val="000000" w:themeColor="text1"/>
          <w:sz w:val="20"/>
          <w:szCs w:val="20"/>
          <w:lang w:eastAsia="es-ES"/>
        </w:rPr>
        <w:t xml:space="preserve">, A. “Derechos de los viajeros ante el Covid-19: Sí, tiene Ud. derecho al reembolso”: </w:t>
      </w:r>
      <w:r w:rsidRPr="00A21DDE">
        <w:rPr>
          <w:rFonts w:eastAsia="Times New Roman" w:cstheme="minorHAnsi"/>
          <w:i/>
          <w:color w:val="000000" w:themeColor="text1"/>
          <w:sz w:val="20"/>
          <w:szCs w:val="20"/>
          <w:lang w:eastAsia="es-ES"/>
        </w:rPr>
        <w:t>Revista Jurídica sobre Consumidores y Usuarios</w:t>
      </w:r>
      <w:r w:rsidRPr="00A21DDE">
        <w:rPr>
          <w:rFonts w:eastAsia="Times New Roman" w:cstheme="minorHAnsi"/>
          <w:color w:val="000000" w:themeColor="text1"/>
          <w:sz w:val="20"/>
          <w:szCs w:val="20"/>
          <w:lang w:eastAsia="es-ES"/>
        </w:rPr>
        <w:t xml:space="preserve">, nº. 8. Efectos jurídicos del Covid-19, Mayo 2020, pp. 19-32. </w:t>
      </w:r>
    </w:p>
    <w:p w:rsidR="004D794A" w:rsidRDefault="004D794A" w:rsidP="004D794A">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952BF5" w:rsidRDefault="004D794A" w:rsidP="00952BF5">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4D794A">
        <w:rPr>
          <w:rFonts w:eastAsia="Times New Roman" w:cstheme="minorHAnsi"/>
          <w:caps/>
          <w:color w:val="000000" w:themeColor="text1"/>
          <w:sz w:val="20"/>
          <w:szCs w:val="20"/>
          <w:lang w:eastAsia="es-ES"/>
        </w:rPr>
        <w:t>Agüero Ortiz</w:t>
      </w:r>
      <w:r w:rsidRPr="004D794A">
        <w:rPr>
          <w:rFonts w:eastAsia="Times New Roman" w:cstheme="minorHAnsi"/>
          <w:color w:val="000000" w:themeColor="text1"/>
          <w:sz w:val="20"/>
          <w:szCs w:val="20"/>
          <w:lang w:eastAsia="es-ES"/>
        </w:rPr>
        <w:t xml:space="preserve">, A. “El TJUE declara que los jueces solo han de examinar de oficio la </w:t>
      </w:r>
      <w:proofErr w:type="spellStart"/>
      <w:r w:rsidRPr="004D794A">
        <w:rPr>
          <w:rFonts w:eastAsia="Times New Roman" w:cstheme="minorHAnsi"/>
          <w:color w:val="000000" w:themeColor="text1"/>
          <w:sz w:val="20"/>
          <w:szCs w:val="20"/>
          <w:lang w:eastAsia="es-ES"/>
        </w:rPr>
        <w:t>abusividad</w:t>
      </w:r>
      <w:proofErr w:type="spellEnd"/>
      <w:r w:rsidRPr="004D794A">
        <w:rPr>
          <w:rFonts w:eastAsia="Times New Roman" w:cstheme="minorHAnsi"/>
          <w:color w:val="000000" w:themeColor="text1"/>
          <w:sz w:val="20"/>
          <w:szCs w:val="20"/>
          <w:lang w:eastAsia="es-ES"/>
        </w:rPr>
        <w:t xml:space="preserve"> de las cláusulas vinculadas al objeto del litigio”</w:t>
      </w:r>
      <w:r>
        <w:rPr>
          <w:rFonts w:eastAsia="Times New Roman" w:cstheme="minorHAnsi"/>
          <w:color w:val="000000" w:themeColor="text1"/>
          <w:sz w:val="20"/>
          <w:szCs w:val="20"/>
          <w:lang w:eastAsia="es-ES"/>
        </w:rPr>
        <w:t xml:space="preserve">: </w:t>
      </w:r>
      <w:r w:rsidRPr="004D794A">
        <w:rPr>
          <w:rFonts w:eastAsia="Times New Roman" w:cstheme="minorHAnsi"/>
          <w:i/>
          <w:color w:val="000000" w:themeColor="text1"/>
          <w:sz w:val="20"/>
          <w:szCs w:val="20"/>
          <w:lang w:eastAsia="es-ES"/>
        </w:rPr>
        <w:t>Publicaciones jurídicas CESCO</w:t>
      </w:r>
      <w:r>
        <w:rPr>
          <w:rFonts w:eastAsia="Times New Roman" w:cstheme="minorHAnsi"/>
          <w:color w:val="000000" w:themeColor="text1"/>
          <w:sz w:val="20"/>
          <w:szCs w:val="20"/>
          <w:lang w:eastAsia="es-ES"/>
        </w:rPr>
        <w:t xml:space="preserve">, abril 2020. </w:t>
      </w:r>
    </w:p>
    <w:p w:rsidR="00952BF5" w:rsidRDefault="00952BF5" w:rsidP="00952BF5">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Default="00952BF5"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952BF5">
        <w:rPr>
          <w:rFonts w:eastAsia="Times New Roman" w:cstheme="minorHAnsi"/>
          <w:caps/>
          <w:color w:val="000000" w:themeColor="text1"/>
          <w:sz w:val="20"/>
          <w:szCs w:val="20"/>
          <w:lang w:eastAsia="es-ES"/>
        </w:rPr>
        <w:t>Agüero Ortiz</w:t>
      </w:r>
      <w:r w:rsidRPr="00952BF5">
        <w:rPr>
          <w:rFonts w:eastAsia="Times New Roman" w:cstheme="minorHAnsi"/>
          <w:color w:val="000000" w:themeColor="text1"/>
          <w:sz w:val="20"/>
          <w:szCs w:val="20"/>
          <w:lang w:eastAsia="es-ES"/>
        </w:rPr>
        <w:t xml:space="preserve">, A. “AP de Toledo: primera en dejar gratuito un préstamo eliminando el IRPH tras la STJUE 3/3/2020 (…y sin cláusula de vencimiento anticipado)”: </w:t>
      </w:r>
      <w:r w:rsidRPr="00952BF5">
        <w:rPr>
          <w:rFonts w:eastAsia="Times New Roman" w:cstheme="minorHAnsi"/>
          <w:i/>
          <w:color w:val="000000" w:themeColor="text1"/>
          <w:sz w:val="20"/>
          <w:szCs w:val="20"/>
          <w:lang w:eastAsia="es-ES"/>
        </w:rPr>
        <w:t>Publicaciones jurídicas CESCO</w:t>
      </w:r>
      <w:r>
        <w:rPr>
          <w:rFonts w:eastAsia="Times New Roman" w:cstheme="minorHAnsi"/>
          <w:color w:val="000000" w:themeColor="text1"/>
          <w:sz w:val="20"/>
          <w:szCs w:val="20"/>
          <w:lang w:eastAsia="es-ES"/>
        </w:rPr>
        <w:t>, junio</w:t>
      </w:r>
      <w:r w:rsidRPr="00952BF5">
        <w:rPr>
          <w:rFonts w:eastAsia="Times New Roman" w:cstheme="minorHAnsi"/>
          <w:color w:val="000000" w:themeColor="text1"/>
          <w:sz w:val="20"/>
          <w:szCs w:val="20"/>
          <w:lang w:eastAsia="es-ES"/>
        </w:rPr>
        <w:t xml:space="preserve"> 2020. </w:t>
      </w:r>
    </w:p>
    <w:p w:rsid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eastAsia="Times New Roman" w:cstheme="minorHAnsi"/>
          <w:caps/>
          <w:color w:val="000000" w:themeColor="text1"/>
          <w:sz w:val="20"/>
          <w:szCs w:val="20"/>
          <w:lang w:eastAsia="es-ES"/>
        </w:rPr>
        <w:t>Agüero Ortiz</w:t>
      </w:r>
      <w:r w:rsidRPr="003C7E66">
        <w:rPr>
          <w:rFonts w:eastAsia="Times New Roman" w:cstheme="minorHAnsi"/>
          <w:color w:val="000000" w:themeColor="text1"/>
          <w:sz w:val="20"/>
          <w:szCs w:val="20"/>
          <w:lang w:eastAsia="es-ES"/>
        </w:rPr>
        <w:t xml:space="preserve">, A. “Discrepancias respecto a la nulidad del IRPH en las AA.PP. Tras la STJUE 3/3/2020: la AP de Madrid también lo considera válido”: </w:t>
      </w:r>
      <w:r w:rsidRPr="003C7E66">
        <w:rPr>
          <w:rFonts w:cstheme="minorHAnsi"/>
          <w:i/>
          <w:sz w:val="20"/>
          <w:szCs w:val="20"/>
        </w:rPr>
        <w:t>Publicaciones jurídicas CESCO</w:t>
      </w:r>
      <w:r w:rsidRPr="003C7E66">
        <w:rPr>
          <w:rFonts w:cstheme="minorHAnsi"/>
          <w:sz w:val="20"/>
          <w:szCs w:val="20"/>
        </w:rPr>
        <w:t>, junio 2020.</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eastAsia="Times New Roman" w:cstheme="minorHAnsi"/>
          <w:caps/>
          <w:color w:val="000000" w:themeColor="text1"/>
          <w:sz w:val="20"/>
          <w:szCs w:val="20"/>
          <w:lang w:eastAsia="es-ES"/>
        </w:rPr>
        <w:t>Agüero Ortiz</w:t>
      </w:r>
      <w:r w:rsidRPr="003C7E66">
        <w:rPr>
          <w:rFonts w:eastAsia="Times New Roman" w:cstheme="minorHAnsi"/>
          <w:color w:val="000000" w:themeColor="text1"/>
          <w:sz w:val="20"/>
          <w:szCs w:val="20"/>
          <w:lang w:eastAsia="es-ES"/>
        </w:rPr>
        <w:t>, A. “</w:t>
      </w:r>
      <w:r w:rsidRPr="003C7E66">
        <w:rPr>
          <w:rFonts w:cstheme="minorHAnsi"/>
          <w:sz w:val="20"/>
          <w:szCs w:val="20"/>
        </w:rPr>
        <w:t>El Tribunal Supremo vuelve a confundir la TAE con el tipo nominal”:</w:t>
      </w:r>
      <w:r w:rsidRPr="003C7E66">
        <w:rPr>
          <w:rFonts w:cstheme="minorHAnsi"/>
          <w:i/>
          <w:sz w:val="20"/>
          <w:szCs w:val="20"/>
        </w:rPr>
        <w:t xml:space="preserve"> Publicaciones jurídicas CESCO</w:t>
      </w:r>
      <w:r w:rsidRPr="003C7E66">
        <w:rPr>
          <w:rFonts w:cstheme="minorHAnsi"/>
          <w:sz w:val="20"/>
          <w:szCs w:val="20"/>
        </w:rPr>
        <w:t>, abril 2020.</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Agüero Ortiz</w:t>
      </w:r>
      <w:r w:rsidRPr="003C7E66">
        <w:rPr>
          <w:rFonts w:cstheme="minorHAnsi"/>
          <w:sz w:val="20"/>
          <w:szCs w:val="20"/>
        </w:rPr>
        <w:t>, A. “Guía actualizada sobre las moratorias en préstamos hipotecarios y préstamos personales frente al COVID-19”:</w:t>
      </w:r>
      <w:r w:rsidRPr="003C7E66">
        <w:rPr>
          <w:rFonts w:cstheme="minorHAnsi"/>
          <w:i/>
          <w:sz w:val="20"/>
          <w:szCs w:val="20"/>
        </w:rPr>
        <w:t xml:space="preserve"> Publicaciones jurídicas CESCO</w:t>
      </w:r>
      <w:r w:rsidRPr="003C7E66">
        <w:rPr>
          <w:rFonts w:cstheme="minorHAnsi"/>
          <w:sz w:val="20"/>
          <w:szCs w:val="20"/>
        </w:rPr>
        <w:t>, abril 2020.</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eastAsia="Times New Roman" w:cstheme="minorHAnsi"/>
          <w:caps/>
          <w:color w:val="000000" w:themeColor="text1"/>
          <w:sz w:val="20"/>
          <w:szCs w:val="20"/>
          <w:lang w:eastAsia="es-ES"/>
        </w:rPr>
        <w:t>Agüero Ortiz</w:t>
      </w:r>
      <w:r w:rsidRPr="003C7E66">
        <w:rPr>
          <w:rFonts w:eastAsia="Times New Roman" w:cstheme="minorHAnsi"/>
          <w:color w:val="000000" w:themeColor="text1"/>
          <w:sz w:val="20"/>
          <w:szCs w:val="20"/>
          <w:lang w:eastAsia="es-ES"/>
        </w:rPr>
        <w:t>, A. “</w:t>
      </w:r>
      <w:r w:rsidRPr="003C7E66">
        <w:rPr>
          <w:rFonts w:cstheme="minorHAnsi"/>
          <w:sz w:val="20"/>
          <w:szCs w:val="20"/>
        </w:rPr>
        <w:t>Resumen de la Sentencia-</w:t>
      </w:r>
      <w:proofErr w:type="spellStart"/>
      <w:r w:rsidRPr="003C7E66">
        <w:rPr>
          <w:rFonts w:cstheme="minorHAnsi"/>
          <w:sz w:val="20"/>
          <w:szCs w:val="20"/>
        </w:rPr>
        <w:t>WiZink</w:t>
      </w:r>
      <w:proofErr w:type="spellEnd"/>
      <w:r w:rsidRPr="003C7E66">
        <w:rPr>
          <w:rFonts w:cstheme="minorHAnsi"/>
          <w:sz w:val="20"/>
          <w:szCs w:val="20"/>
        </w:rPr>
        <w:t xml:space="preserve"> del Tribunal Supremo”:</w:t>
      </w:r>
      <w:r w:rsidRPr="003C7E66">
        <w:rPr>
          <w:rFonts w:cstheme="minorHAnsi"/>
          <w:i/>
          <w:sz w:val="20"/>
          <w:szCs w:val="20"/>
        </w:rPr>
        <w:t xml:space="preserve"> Publicaciones jurídicas CESCO</w:t>
      </w:r>
      <w:r w:rsidRPr="003C7E66">
        <w:rPr>
          <w:rFonts w:cstheme="minorHAnsi"/>
          <w:sz w:val="20"/>
          <w:szCs w:val="20"/>
        </w:rPr>
        <w:t>, abril 2020.</w:t>
      </w:r>
    </w:p>
    <w:p w:rsidR="00181687"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Default="00181687"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181687">
        <w:rPr>
          <w:rFonts w:eastAsia="Times New Roman" w:cstheme="minorHAnsi"/>
          <w:color w:val="000000" w:themeColor="text1"/>
          <w:sz w:val="20"/>
          <w:szCs w:val="20"/>
          <w:lang w:eastAsia="es-ES"/>
        </w:rPr>
        <w:t xml:space="preserve">AHEDO PEÑA, O. “El beneficio de la exoneración del pasivo insatisfecho: cuestiones procesales. primera parte”: </w:t>
      </w:r>
      <w:r w:rsidRPr="00181687">
        <w:rPr>
          <w:rFonts w:eastAsia="Times New Roman" w:cstheme="minorHAnsi"/>
          <w:i/>
          <w:color w:val="000000" w:themeColor="text1"/>
          <w:sz w:val="20"/>
          <w:szCs w:val="20"/>
          <w:lang w:eastAsia="es-ES"/>
        </w:rPr>
        <w:t>Revista Consumo y Empresa</w:t>
      </w:r>
      <w:r w:rsidRPr="00181687">
        <w:rPr>
          <w:rFonts w:eastAsia="Times New Roman" w:cstheme="minorHAnsi"/>
          <w:color w:val="000000" w:themeColor="text1"/>
          <w:sz w:val="20"/>
          <w:szCs w:val="20"/>
          <w:lang w:eastAsia="es-ES"/>
        </w:rPr>
        <w:t>, nº. 12, Mayo 2020, pp. 76-88.</w:t>
      </w:r>
    </w:p>
    <w:p w:rsid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Albiez Dohrmann, K. J</w:t>
      </w:r>
      <w:r w:rsidRPr="003C7E66">
        <w:rPr>
          <w:rFonts w:cstheme="minorHAnsi"/>
          <w:sz w:val="20"/>
          <w:szCs w:val="20"/>
        </w:rPr>
        <w:t>. “Traslación de la jurisprudencia sobre créditos «</w:t>
      </w:r>
      <w:proofErr w:type="spellStart"/>
      <w:r w:rsidRPr="003C7E66">
        <w:rPr>
          <w:rFonts w:cstheme="minorHAnsi"/>
          <w:sz w:val="20"/>
          <w:szCs w:val="20"/>
        </w:rPr>
        <w:t>revolving</w:t>
      </w:r>
      <w:proofErr w:type="spellEnd"/>
      <w:r w:rsidRPr="003C7E66">
        <w:rPr>
          <w:rFonts w:cstheme="minorHAnsi"/>
          <w:sz w:val="20"/>
          <w:szCs w:val="20"/>
        </w:rPr>
        <w:t>» a préstamos con alto riesgo entre empresarios”:</w:t>
      </w:r>
      <w:r w:rsidRPr="003C7E66">
        <w:rPr>
          <w:rFonts w:cstheme="minorHAnsi"/>
          <w:i/>
          <w:sz w:val="20"/>
          <w:szCs w:val="20"/>
        </w:rPr>
        <w:t xml:space="preserve"> Publicaciones jurídicas CESCO</w:t>
      </w:r>
      <w:r w:rsidRPr="003C7E66">
        <w:rPr>
          <w:rFonts w:cstheme="minorHAnsi"/>
          <w:sz w:val="20"/>
          <w:szCs w:val="20"/>
        </w:rPr>
        <w:t>, abril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7035A" w:rsidRPr="0017035A" w:rsidRDefault="00CF6D6C" w:rsidP="0017035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5" w:history="1">
        <w:r w:rsidR="00181687" w:rsidRPr="009B4DB5">
          <w:rPr>
            <w:rFonts w:eastAsia="Times New Roman" w:cstheme="minorHAnsi"/>
            <w:caps/>
            <w:color w:val="000000" w:themeColor="text1"/>
            <w:sz w:val="20"/>
            <w:szCs w:val="20"/>
            <w:bdr w:val="none" w:sz="0" w:space="0" w:color="auto" w:frame="1"/>
            <w:lang w:eastAsia="es-ES"/>
          </w:rPr>
          <w:t>Alegre Villarroya</w:t>
        </w:r>
      </w:hyperlink>
      <w:r w:rsidR="00181687" w:rsidRPr="009B4DB5">
        <w:rPr>
          <w:rFonts w:eastAsia="Times New Roman" w:cstheme="minorHAnsi"/>
          <w:color w:val="000000" w:themeColor="text1"/>
          <w:sz w:val="20"/>
          <w:szCs w:val="20"/>
          <w:bdr w:val="none" w:sz="0" w:space="0" w:color="auto" w:frame="1"/>
          <w:lang w:eastAsia="es-ES"/>
        </w:rPr>
        <w:t>, B. “Sistemas autónomos de toma de decisiones aplicados a la selección de prestatarios en los contratos de préstamo bancario”:</w:t>
      </w:r>
      <w:r w:rsidR="00181687" w:rsidRPr="009B4DB5">
        <w:rPr>
          <w:rFonts w:eastAsia="Times New Roman" w:cstheme="minorHAnsi"/>
          <w:color w:val="000000" w:themeColor="text1"/>
          <w:sz w:val="20"/>
          <w:szCs w:val="20"/>
          <w:lang w:eastAsia="es-ES"/>
        </w:rPr>
        <w:t xml:space="preserve"> </w:t>
      </w:r>
      <w:hyperlink r:id="rId16" w:history="1">
        <w:r w:rsidR="00181687" w:rsidRPr="009B4DB5">
          <w:rPr>
            <w:rFonts w:eastAsia="Times New Roman" w:cstheme="minorHAnsi"/>
            <w:i/>
            <w:color w:val="000000" w:themeColor="text1"/>
            <w:sz w:val="20"/>
            <w:szCs w:val="20"/>
            <w:bdr w:val="none" w:sz="0" w:space="0" w:color="auto" w:frame="1"/>
            <w:lang w:eastAsia="es-ES"/>
          </w:rPr>
          <w:t>La Ley mercantil</w:t>
        </w:r>
      </w:hyperlink>
      <w:r w:rsidR="00181687" w:rsidRPr="009B4DB5">
        <w:rPr>
          <w:rFonts w:eastAsia="Times New Roman" w:cstheme="minorHAnsi"/>
          <w:color w:val="000000" w:themeColor="text1"/>
          <w:sz w:val="20"/>
          <w:szCs w:val="20"/>
          <w:bdr w:val="none" w:sz="0" w:space="0" w:color="auto" w:frame="1"/>
          <w:lang w:eastAsia="es-ES"/>
        </w:rPr>
        <w:t>, </w:t>
      </w:r>
      <w:hyperlink r:id="rId17" w:history="1">
        <w:r w:rsidR="00181687" w:rsidRPr="009B4DB5">
          <w:rPr>
            <w:rFonts w:eastAsia="Times New Roman" w:cstheme="minorHAnsi"/>
            <w:color w:val="000000" w:themeColor="text1"/>
            <w:sz w:val="20"/>
            <w:szCs w:val="20"/>
            <w:bdr w:val="none" w:sz="0" w:space="0" w:color="auto" w:frame="1"/>
            <w:lang w:eastAsia="es-ES"/>
          </w:rPr>
          <w:t>nº. 69 (mayo), 2020</w:t>
        </w:r>
      </w:hyperlink>
      <w:r w:rsidR="00181687" w:rsidRPr="009B4DB5">
        <w:rPr>
          <w:rFonts w:eastAsia="Times New Roman" w:cstheme="minorHAnsi"/>
          <w:color w:val="000000" w:themeColor="text1"/>
          <w:sz w:val="20"/>
          <w:szCs w:val="20"/>
          <w:bdr w:val="none" w:sz="0" w:space="0" w:color="auto" w:frame="1"/>
          <w:lang w:eastAsia="es-ES"/>
        </w:rPr>
        <w:t>.</w:t>
      </w:r>
    </w:p>
    <w:p w:rsidR="0017035A" w:rsidRPr="0017035A" w:rsidRDefault="0017035A" w:rsidP="0017035A">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7035A" w:rsidRPr="0017035A" w:rsidRDefault="0017035A" w:rsidP="0017035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17035A">
        <w:rPr>
          <w:rFonts w:eastAsia="Times New Roman" w:cstheme="minorHAnsi"/>
          <w:caps/>
          <w:color w:val="000000" w:themeColor="text1"/>
          <w:sz w:val="20"/>
          <w:szCs w:val="20"/>
          <w:lang w:eastAsia="es-ES"/>
        </w:rPr>
        <w:t>Alemany Castell</w:t>
      </w:r>
      <w:r w:rsidRPr="0017035A">
        <w:rPr>
          <w:rFonts w:eastAsia="Times New Roman" w:cstheme="minorHAnsi"/>
          <w:color w:val="000000" w:themeColor="text1"/>
          <w:sz w:val="20"/>
          <w:szCs w:val="20"/>
          <w:lang w:eastAsia="es-ES"/>
        </w:rPr>
        <w:t xml:space="preserve">, M. “Comentarios sobre la Sentencia del Tribunal Supremo (Sala de lo Civil), Pleno, número 149/2020, de 4 de marzo de 2020 Ponente: Excmo. Sr. D. Rafael </w:t>
      </w:r>
      <w:proofErr w:type="spellStart"/>
      <w:r w:rsidRPr="0017035A">
        <w:rPr>
          <w:rFonts w:eastAsia="Times New Roman" w:cstheme="minorHAnsi"/>
          <w:color w:val="000000" w:themeColor="text1"/>
          <w:sz w:val="20"/>
          <w:szCs w:val="20"/>
          <w:lang w:eastAsia="es-ES"/>
        </w:rPr>
        <w:t>Sarazá</w:t>
      </w:r>
      <w:proofErr w:type="spellEnd"/>
      <w:r w:rsidRPr="0017035A">
        <w:rPr>
          <w:rFonts w:eastAsia="Times New Roman" w:cstheme="minorHAnsi"/>
          <w:color w:val="000000" w:themeColor="text1"/>
          <w:sz w:val="20"/>
          <w:szCs w:val="20"/>
          <w:lang w:eastAsia="es-ES"/>
        </w:rPr>
        <w:t xml:space="preserve"> Jimena sobre la usura en los créditos </w:t>
      </w:r>
      <w:proofErr w:type="spellStart"/>
      <w:r w:rsidRPr="0017035A">
        <w:rPr>
          <w:rFonts w:eastAsia="Times New Roman" w:cstheme="minorHAnsi"/>
          <w:color w:val="000000" w:themeColor="text1"/>
          <w:sz w:val="20"/>
          <w:szCs w:val="20"/>
          <w:lang w:eastAsia="es-ES"/>
        </w:rPr>
        <w:t>revolving</w:t>
      </w:r>
      <w:proofErr w:type="spellEnd"/>
      <w:r w:rsidRPr="0017035A">
        <w:rPr>
          <w:rFonts w:eastAsia="Times New Roman" w:cstheme="minorHAnsi"/>
          <w:color w:val="000000" w:themeColor="text1"/>
          <w:sz w:val="20"/>
          <w:szCs w:val="20"/>
          <w:lang w:eastAsia="es-ES"/>
        </w:rPr>
        <w:t xml:space="preserve">. ¿Clarificación de criterios o mayor confusión?”: </w:t>
      </w:r>
      <w:r w:rsidRPr="0017035A">
        <w:rPr>
          <w:rFonts w:eastAsia="Times New Roman" w:cstheme="minorHAnsi"/>
          <w:i/>
          <w:color w:val="000000" w:themeColor="text1"/>
          <w:sz w:val="20"/>
          <w:szCs w:val="20"/>
          <w:lang w:eastAsia="es-ES"/>
        </w:rPr>
        <w:t xml:space="preserve">Revista Jurídica sobre </w:t>
      </w:r>
      <w:r w:rsidRPr="0017035A">
        <w:rPr>
          <w:rFonts w:eastAsia="Times New Roman" w:cstheme="minorHAnsi"/>
          <w:i/>
          <w:color w:val="000000" w:themeColor="text1"/>
          <w:sz w:val="20"/>
          <w:szCs w:val="20"/>
          <w:lang w:eastAsia="es-ES"/>
        </w:rPr>
        <w:lastRenderedPageBreak/>
        <w:t>Consumidores y Usuarios</w:t>
      </w:r>
      <w:r w:rsidRPr="0017035A">
        <w:rPr>
          <w:rFonts w:eastAsia="Times New Roman" w:cstheme="minorHAnsi"/>
          <w:color w:val="000000" w:themeColor="text1"/>
          <w:sz w:val="20"/>
          <w:szCs w:val="20"/>
          <w:lang w:eastAsia="es-ES"/>
        </w:rPr>
        <w:t xml:space="preserve"> (Especial. Sentencia del Tribunal Supremo de fecha 4 de marzo de 2020 sobre créditos sobre la usura en los créditos </w:t>
      </w:r>
      <w:proofErr w:type="spellStart"/>
      <w:r w:rsidRPr="0017035A">
        <w:rPr>
          <w:rFonts w:eastAsia="Times New Roman" w:cstheme="minorHAnsi"/>
          <w:color w:val="000000" w:themeColor="text1"/>
          <w:sz w:val="20"/>
          <w:szCs w:val="20"/>
          <w:lang w:eastAsia="es-ES"/>
        </w:rPr>
        <w:t>revolving</w:t>
      </w:r>
      <w:proofErr w:type="spellEnd"/>
      <w:r w:rsidRPr="0017035A">
        <w:rPr>
          <w:rFonts w:eastAsia="Times New Roman" w:cstheme="minorHAnsi"/>
          <w:color w:val="000000" w:themeColor="text1"/>
          <w:sz w:val="20"/>
          <w:szCs w:val="20"/>
          <w:lang w:eastAsia="es-ES"/>
        </w:rPr>
        <w:t>), Abril 2020, pp. 13-27</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8" w:history="1">
        <w:r w:rsidR="00181687" w:rsidRPr="009B4DB5">
          <w:rPr>
            <w:rFonts w:eastAsia="Times New Roman" w:cstheme="minorHAnsi"/>
            <w:caps/>
            <w:color w:val="000000" w:themeColor="text1"/>
            <w:sz w:val="20"/>
            <w:szCs w:val="20"/>
            <w:bdr w:val="none" w:sz="0" w:space="0" w:color="auto" w:frame="1"/>
            <w:lang w:eastAsia="es-ES"/>
          </w:rPr>
          <w:t>Alonso Pérez</w:t>
        </w:r>
      </w:hyperlink>
      <w:r w:rsidR="00181687" w:rsidRPr="009B4DB5">
        <w:rPr>
          <w:rFonts w:eastAsia="Times New Roman" w:cstheme="minorHAnsi"/>
          <w:caps/>
          <w:color w:val="000000" w:themeColor="text1"/>
          <w:sz w:val="20"/>
          <w:szCs w:val="20"/>
          <w:bdr w:val="none" w:sz="0" w:space="0" w:color="auto" w:frame="1"/>
          <w:lang w:eastAsia="es-ES"/>
        </w:rPr>
        <w:t>,</w:t>
      </w:r>
      <w:r w:rsidR="00181687" w:rsidRPr="009B4DB5">
        <w:rPr>
          <w:rFonts w:eastAsia="Times New Roman" w:cstheme="minorHAnsi"/>
          <w:color w:val="000000" w:themeColor="text1"/>
          <w:sz w:val="20"/>
          <w:szCs w:val="20"/>
          <w:bdr w:val="none" w:sz="0" w:space="0" w:color="auto" w:frame="1"/>
          <w:lang w:eastAsia="es-ES"/>
        </w:rPr>
        <w:t xml:space="preserve"> M. T.</w:t>
      </w:r>
      <w:r w:rsidR="00181687" w:rsidRPr="009B4DB5">
        <w:rPr>
          <w:rFonts w:eastAsia="Times New Roman" w:cstheme="minorHAnsi"/>
          <w:caps/>
          <w:color w:val="000000" w:themeColor="text1"/>
          <w:sz w:val="20"/>
          <w:szCs w:val="20"/>
          <w:lang w:eastAsia="es-ES"/>
        </w:rPr>
        <w:t>; </w:t>
      </w:r>
      <w:hyperlink r:id="rId19" w:history="1">
        <w:r w:rsidR="00181687" w:rsidRPr="009B4DB5">
          <w:rPr>
            <w:rFonts w:eastAsia="Times New Roman" w:cstheme="minorHAnsi"/>
            <w:caps/>
            <w:color w:val="000000" w:themeColor="text1"/>
            <w:sz w:val="20"/>
            <w:szCs w:val="20"/>
            <w:bdr w:val="none" w:sz="0" w:space="0" w:color="auto" w:frame="1"/>
            <w:lang w:eastAsia="es-ES"/>
          </w:rPr>
          <w:t>Calduch Gargallo</w:t>
        </w:r>
      </w:hyperlink>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M</w:t>
      </w:r>
      <w:proofErr w:type="gramStart"/>
      <w:r w:rsidR="00181687" w:rsidRPr="009B4DB5">
        <w:rPr>
          <w:rFonts w:eastAsia="Times New Roman" w:cstheme="minorHAnsi"/>
          <w:color w:val="000000" w:themeColor="text1"/>
          <w:sz w:val="20"/>
          <w:szCs w:val="20"/>
          <w:bdr w:val="none" w:sz="0" w:space="0" w:color="auto" w:frame="1"/>
          <w:lang w:eastAsia="es-ES"/>
        </w:rPr>
        <w:t>.“</w:t>
      </w:r>
      <w:proofErr w:type="gramEnd"/>
      <w:r w:rsidR="00181687" w:rsidRPr="009B4DB5">
        <w:rPr>
          <w:rFonts w:eastAsia="Times New Roman" w:cstheme="minorHAnsi"/>
          <w:color w:val="000000" w:themeColor="text1"/>
          <w:sz w:val="20"/>
          <w:szCs w:val="20"/>
          <w:bdr w:val="none" w:sz="0" w:space="0" w:color="auto" w:frame="1"/>
          <w:lang w:eastAsia="es-ES"/>
        </w:rPr>
        <w:t>La</w:t>
      </w:r>
      <w:proofErr w:type="spellEnd"/>
      <w:r w:rsidR="00181687" w:rsidRPr="009B4DB5">
        <w:rPr>
          <w:rFonts w:eastAsia="Times New Roman" w:cstheme="minorHAnsi"/>
          <w:color w:val="000000" w:themeColor="text1"/>
          <w:sz w:val="20"/>
          <w:szCs w:val="20"/>
          <w:bdr w:val="none" w:sz="0" w:space="0" w:color="auto" w:frame="1"/>
          <w:lang w:eastAsia="es-ES"/>
        </w:rPr>
        <w:t xml:space="preserve"> aplicabilidad de la normativa sobre cláusulas abusivas a los contratos de servicios jurídicos”:</w:t>
      </w:r>
      <w:r w:rsidR="00181687" w:rsidRPr="009B4DB5">
        <w:rPr>
          <w:rFonts w:eastAsia="Times New Roman" w:cstheme="minorHAnsi"/>
          <w:color w:val="000000" w:themeColor="text1"/>
          <w:sz w:val="20"/>
          <w:szCs w:val="20"/>
          <w:lang w:eastAsia="es-ES"/>
        </w:rPr>
        <w:t xml:space="preserve"> </w:t>
      </w:r>
      <w:hyperlink r:id="rId20" w:history="1">
        <w:r w:rsidR="00181687" w:rsidRPr="009B4DB5">
          <w:rPr>
            <w:rFonts w:eastAsia="Times New Roman" w:cstheme="minorHAnsi"/>
            <w:i/>
            <w:color w:val="000000" w:themeColor="text1"/>
            <w:sz w:val="20"/>
            <w:szCs w:val="20"/>
            <w:bdr w:val="none" w:sz="0" w:space="0" w:color="auto" w:frame="1"/>
            <w:lang w:eastAsia="es-ES"/>
          </w:rPr>
          <w:t>Revista de derecho privado</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21" w:history="1">
        <w:r w:rsidR="00181687" w:rsidRPr="009B4DB5">
          <w:rPr>
            <w:rFonts w:eastAsia="Times New Roman" w:cstheme="minorHAnsi"/>
            <w:color w:val="000000" w:themeColor="text1"/>
            <w:sz w:val="20"/>
            <w:szCs w:val="20"/>
            <w:bdr w:val="none" w:sz="0" w:space="0" w:color="auto" w:frame="1"/>
            <w:lang w:eastAsia="es-ES"/>
          </w:rPr>
          <w:t>nº 104, Mes 1, 2020</w:t>
        </w:r>
      </w:hyperlink>
      <w:r w:rsidR="00181687" w:rsidRPr="009B4DB5">
        <w:rPr>
          <w:rFonts w:eastAsia="Times New Roman" w:cstheme="minorHAnsi"/>
          <w:color w:val="000000" w:themeColor="text1"/>
          <w:sz w:val="20"/>
          <w:szCs w:val="20"/>
          <w:bdr w:val="none" w:sz="0" w:space="0" w:color="auto" w:frame="1"/>
          <w:lang w:eastAsia="es-ES"/>
        </w:rPr>
        <w:t>, págs. 3-20.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22" w:history="1">
        <w:r w:rsidR="00181687" w:rsidRPr="009B4DB5">
          <w:rPr>
            <w:rFonts w:eastAsia="Times New Roman" w:cstheme="minorHAnsi"/>
            <w:caps/>
            <w:color w:val="000000" w:themeColor="text1"/>
            <w:sz w:val="20"/>
            <w:szCs w:val="20"/>
            <w:bdr w:val="none" w:sz="0" w:space="0" w:color="auto" w:frame="1"/>
            <w:lang w:eastAsia="es-ES"/>
          </w:rPr>
          <w:t>Alvarez Royo-Villanova</w:t>
        </w:r>
      </w:hyperlink>
      <w:r w:rsidR="00181687" w:rsidRPr="009B4DB5">
        <w:rPr>
          <w:rFonts w:eastAsia="Times New Roman" w:cstheme="minorHAnsi"/>
          <w:color w:val="000000" w:themeColor="text1"/>
          <w:sz w:val="20"/>
          <w:szCs w:val="20"/>
          <w:bdr w:val="none" w:sz="0" w:space="0" w:color="auto" w:frame="1"/>
          <w:lang w:eastAsia="es-ES"/>
        </w:rPr>
        <w:t xml:space="preserve">, S. “La epidemia y su efecto sobre los contratos: reglas especiales, fuerza mayor y </w:t>
      </w:r>
      <w:proofErr w:type="spellStart"/>
      <w:r w:rsidR="00181687" w:rsidRPr="009B4DB5">
        <w:rPr>
          <w:rFonts w:eastAsia="Times New Roman" w:cstheme="minorHAnsi"/>
          <w:color w:val="000000" w:themeColor="text1"/>
          <w:sz w:val="20"/>
          <w:szCs w:val="20"/>
          <w:bdr w:val="none" w:sz="0" w:space="0" w:color="auto" w:frame="1"/>
          <w:lang w:eastAsia="es-ES"/>
        </w:rPr>
        <w:t>rebus</w:t>
      </w:r>
      <w:proofErr w:type="spellEnd"/>
      <w:r w:rsidR="00181687" w:rsidRPr="009B4DB5">
        <w:rPr>
          <w:rFonts w:eastAsia="Times New Roman" w:cstheme="minorHAnsi"/>
          <w:color w:val="000000" w:themeColor="text1"/>
          <w:sz w:val="20"/>
          <w:szCs w:val="20"/>
          <w:bdr w:val="none" w:sz="0" w:space="0" w:color="auto" w:frame="1"/>
          <w:lang w:eastAsia="es-ES"/>
        </w:rPr>
        <w:t xml:space="preserve"> sic </w:t>
      </w:r>
      <w:proofErr w:type="spellStart"/>
      <w:r w:rsidR="00181687" w:rsidRPr="009B4DB5">
        <w:rPr>
          <w:rFonts w:eastAsia="Times New Roman" w:cstheme="minorHAnsi"/>
          <w:color w:val="000000" w:themeColor="text1"/>
          <w:sz w:val="20"/>
          <w:szCs w:val="20"/>
          <w:bdr w:val="none" w:sz="0" w:space="0" w:color="auto" w:frame="1"/>
          <w:lang w:eastAsia="es-ES"/>
        </w:rPr>
        <w:t>stantibus</w:t>
      </w:r>
      <w:proofErr w:type="spellEnd"/>
      <w:r w:rsidR="00181687" w:rsidRPr="009B4DB5">
        <w:rPr>
          <w:rFonts w:eastAsia="Times New Roman" w:cstheme="minorHAnsi"/>
          <w:color w:val="000000" w:themeColor="text1"/>
          <w:sz w:val="20"/>
          <w:szCs w:val="20"/>
          <w:bdr w:val="none" w:sz="0" w:space="0" w:color="auto" w:frame="1"/>
          <w:lang w:eastAsia="es-ES"/>
        </w:rPr>
        <w:t>”:</w:t>
      </w:r>
      <w:r w:rsidR="00181687" w:rsidRPr="009B4DB5">
        <w:rPr>
          <w:rFonts w:eastAsia="Times New Roman" w:cstheme="minorHAnsi"/>
          <w:color w:val="000000" w:themeColor="text1"/>
          <w:sz w:val="20"/>
          <w:szCs w:val="20"/>
          <w:lang w:eastAsia="es-ES"/>
        </w:rPr>
        <w:t xml:space="preserve"> </w:t>
      </w:r>
      <w:hyperlink r:id="rId23" w:history="1">
        <w:r w:rsidR="00181687" w:rsidRPr="009B4DB5">
          <w:rPr>
            <w:rFonts w:eastAsia="Times New Roman" w:cstheme="minorHAnsi"/>
            <w:i/>
            <w:color w:val="000000" w:themeColor="text1"/>
            <w:sz w:val="20"/>
            <w:szCs w:val="20"/>
            <w:bdr w:val="none" w:sz="0" w:space="0" w:color="auto" w:frame="1"/>
            <w:lang w:eastAsia="es-ES"/>
          </w:rPr>
          <w:t>El notario del siglo XXI: revista del Colegio Notarial de Madrid</w:t>
        </w:r>
      </w:hyperlink>
      <w:r w:rsidR="00181687" w:rsidRPr="009B4DB5">
        <w:rPr>
          <w:rFonts w:eastAsia="Times New Roman" w:cstheme="minorHAnsi"/>
          <w:color w:val="000000" w:themeColor="text1"/>
          <w:sz w:val="20"/>
          <w:szCs w:val="20"/>
          <w:bdr w:val="none" w:sz="0" w:space="0" w:color="auto" w:frame="1"/>
          <w:lang w:eastAsia="es-ES"/>
        </w:rPr>
        <w:t>, n</w:t>
      </w:r>
      <w:hyperlink r:id="rId24" w:history="1">
        <w:r w:rsidR="00181687" w:rsidRPr="009B4DB5">
          <w:rPr>
            <w:rFonts w:eastAsia="Times New Roman" w:cstheme="minorHAnsi"/>
            <w:color w:val="000000" w:themeColor="text1"/>
            <w:sz w:val="20"/>
            <w:szCs w:val="20"/>
            <w:bdr w:val="none" w:sz="0" w:space="0" w:color="auto" w:frame="1"/>
            <w:lang w:eastAsia="es-ES"/>
          </w:rPr>
          <w:t>º. 90, 2020</w:t>
        </w:r>
      </w:hyperlink>
      <w:r w:rsidR="00181687" w:rsidRPr="009B4DB5">
        <w:rPr>
          <w:rFonts w:eastAsia="Times New Roman" w:cstheme="minorHAnsi"/>
          <w:color w:val="000000" w:themeColor="text1"/>
          <w:sz w:val="20"/>
          <w:szCs w:val="20"/>
          <w:bdr w:val="none" w:sz="0" w:space="0" w:color="auto" w:frame="1"/>
          <w:lang w:eastAsia="es-ES"/>
        </w:rPr>
        <w:t>, págs. 36-41.</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hyperlink r:id="rId25" w:history="1">
        <w:r w:rsidR="00181687" w:rsidRPr="009B4DB5">
          <w:rPr>
            <w:rFonts w:eastAsia="Times New Roman" w:cstheme="minorHAnsi"/>
            <w:caps/>
            <w:color w:val="000000" w:themeColor="text1"/>
            <w:sz w:val="20"/>
            <w:szCs w:val="20"/>
            <w:bdr w:val="none" w:sz="0" w:space="0" w:color="auto" w:frame="1"/>
            <w:lang w:eastAsia="es-ES"/>
          </w:rPr>
          <w:t>Alvarez Royo-Villanova</w:t>
        </w:r>
      </w:hyperlink>
      <w:r w:rsidR="00181687" w:rsidRPr="009B4DB5">
        <w:rPr>
          <w:rFonts w:eastAsia="Times New Roman" w:cstheme="minorHAnsi"/>
          <w:color w:val="000000" w:themeColor="text1"/>
          <w:sz w:val="20"/>
          <w:szCs w:val="20"/>
          <w:bdr w:val="none" w:sz="0" w:space="0" w:color="auto" w:frame="1"/>
          <w:lang w:eastAsia="es-ES"/>
        </w:rPr>
        <w:t xml:space="preserve">, S. “Pandemia, fuerza mayor y cláusula </w:t>
      </w:r>
      <w:proofErr w:type="spellStart"/>
      <w:r w:rsidR="00181687" w:rsidRPr="009B4DB5">
        <w:rPr>
          <w:rFonts w:eastAsia="Times New Roman" w:cstheme="minorHAnsi"/>
          <w:color w:val="000000" w:themeColor="text1"/>
          <w:sz w:val="20"/>
          <w:szCs w:val="20"/>
          <w:bdr w:val="none" w:sz="0" w:space="0" w:color="auto" w:frame="1"/>
          <w:lang w:eastAsia="es-ES"/>
        </w:rPr>
        <w:t>rebus</w:t>
      </w:r>
      <w:proofErr w:type="spellEnd"/>
      <w:r w:rsidR="00181687" w:rsidRPr="009B4DB5">
        <w:rPr>
          <w:rFonts w:eastAsia="Times New Roman" w:cstheme="minorHAnsi"/>
          <w:color w:val="000000" w:themeColor="text1"/>
          <w:sz w:val="20"/>
          <w:szCs w:val="20"/>
          <w:bdr w:val="none" w:sz="0" w:space="0" w:color="auto" w:frame="1"/>
          <w:lang w:eastAsia="es-ES"/>
        </w:rPr>
        <w:t xml:space="preserve"> sic </w:t>
      </w:r>
      <w:proofErr w:type="spellStart"/>
      <w:r w:rsidR="00181687" w:rsidRPr="009B4DB5">
        <w:rPr>
          <w:rFonts w:eastAsia="Times New Roman" w:cstheme="minorHAnsi"/>
          <w:color w:val="000000" w:themeColor="text1"/>
          <w:sz w:val="20"/>
          <w:szCs w:val="20"/>
          <w:bdr w:val="none" w:sz="0" w:space="0" w:color="auto" w:frame="1"/>
          <w:lang w:eastAsia="es-ES"/>
        </w:rPr>
        <w:t>stantibus</w:t>
      </w:r>
      <w:proofErr w:type="spellEnd"/>
      <w:r w:rsidR="00181687" w:rsidRPr="009B4DB5">
        <w:rPr>
          <w:rFonts w:eastAsia="Times New Roman" w:cstheme="minorHAnsi"/>
          <w:color w:val="000000" w:themeColor="text1"/>
          <w:sz w:val="20"/>
          <w:szCs w:val="20"/>
          <w:bdr w:val="none" w:sz="0" w:space="0" w:color="auto" w:frame="1"/>
          <w:lang w:eastAsia="es-ES"/>
        </w:rPr>
        <w:t xml:space="preserve"> a la luz de la Jurisprudencia”:</w:t>
      </w:r>
      <w:r w:rsidR="00181687" w:rsidRPr="009B4DB5">
        <w:rPr>
          <w:rFonts w:eastAsia="Times New Roman" w:cstheme="minorHAnsi"/>
          <w:color w:val="000000" w:themeColor="text1"/>
          <w:sz w:val="20"/>
          <w:szCs w:val="20"/>
          <w:lang w:eastAsia="es-ES"/>
        </w:rPr>
        <w:t xml:space="preserve"> </w:t>
      </w:r>
      <w:hyperlink r:id="rId26" w:history="1">
        <w:r w:rsidR="00181687" w:rsidRPr="009B4DB5">
          <w:rPr>
            <w:rFonts w:eastAsia="Times New Roman" w:cstheme="minorHAnsi"/>
            <w:i/>
            <w:color w:val="000000" w:themeColor="text1"/>
            <w:sz w:val="20"/>
            <w:szCs w:val="20"/>
            <w:bdr w:val="none" w:sz="0" w:space="0" w:color="auto" w:frame="1"/>
            <w:lang w:eastAsia="es-ES"/>
          </w:rPr>
          <w:t>Diario La Ley</w:t>
        </w:r>
      </w:hyperlink>
      <w:r w:rsidR="00181687" w:rsidRPr="009B4DB5">
        <w:rPr>
          <w:rFonts w:eastAsia="Times New Roman" w:cstheme="minorHAnsi"/>
          <w:color w:val="000000" w:themeColor="text1"/>
          <w:sz w:val="20"/>
          <w:szCs w:val="20"/>
          <w:bdr w:val="none" w:sz="0" w:space="0" w:color="auto" w:frame="1"/>
          <w:lang w:eastAsia="es-ES"/>
        </w:rPr>
        <w:t>, n </w:t>
      </w:r>
      <w:hyperlink r:id="rId27" w:history="1">
        <w:r w:rsidR="00181687" w:rsidRPr="009B4DB5">
          <w:rPr>
            <w:rFonts w:eastAsia="Times New Roman" w:cstheme="minorHAnsi"/>
            <w:color w:val="000000" w:themeColor="text1"/>
            <w:sz w:val="20"/>
            <w:szCs w:val="20"/>
            <w:bdr w:val="none" w:sz="0" w:space="0" w:color="auto" w:frame="1"/>
            <w:lang w:eastAsia="es-ES"/>
          </w:rPr>
          <w:t>º 9619, 2020</w:t>
        </w:r>
      </w:hyperlink>
      <w:r w:rsidR="00181687" w:rsidRPr="009B4DB5">
        <w:rPr>
          <w:rFonts w:eastAsia="Times New Roman" w:cstheme="minorHAnsi"/>
          <w:color w:val="000000" w:themeColor="text1"/>
          <w:sz w:val="20"/>
          <w:szCs w:val="20"/>
          <w:bdr w:val="none" w:sz="0" w:space="0" w:color="auto" w:frame="1"/>
          <w:lang w:eastAsia="es-ES"/>
        </w:rPr>
        <w:t>.</w:t>
      </w:r>
    </w:p>
    <w:p w:rsidR="00181687" w:rsidRPr="009B4DB5" w:rsidRDefault="00181687" w:rsidP="00181687">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28" w:history="1">
        <w:r w:rsidR="00181687" w:rsidRPr="009B4DB5">
          <w:rPr>
            <w:rFonts w:eastAsia="Times New Roman" w:cstheme="minorHAnsi"/>
            <w:caps/>
            <w:color w:val="000000" w:themeColor="text1"/>
            <w:sz w:val="20"/>
            <w:szCs w:val="20"/>
            <w:bdr w:val="none" w:sz="0" w:space="0" w:color="auto" w:frame="1"/>
            <w:lang w:eastAsia="es-ES"/>
          </w:rPr>
          <w:t>Alvira Arbeláez</w:t>
        </w:r>
      </w:hyperlink>
      <w:r w:rsidR="00181687" w:rsidRPr="009B4DB5">
        <w:rPr>
          <w:rFonts w:eastAsia="Times New Roman" w:cstheme="minorHAnsi"/>
          <w:color w:val="000000" w:themeColor="text1"/>
          <w:sz w:val="20"/>
          <w:szCs w:val="20"/>
          <w:bdr w:val="none" w:sz="0" w:space="0" w:color="auto" w:frame="1"/>
          <w:lang w:eastAsia="es-ES"/>
        </w:rPr>
        <w:t>, F. J.; </w:t>
      </w:r>
      <w:hyperlink r:id="rId29" w:history="1">
        <w:r w:rsidR="00181687" w:rsidRPr="00B03532">
          <w:rPr>
            <w:rFonts w:eastAsia="Times New Roman" w:cstheme="minorHAnsi"/>
            <w:caps/>
            <w:color w:val="000000" w:themeColor="text1"/>
            <w:sz w:val="20"/>
            <w:szCs w:val="20"/>
            <w:bdr w:val="none" w:sz="0" w:space="0" w:color="auto" w:frame="1"/>
            <w:lang w:eastAsia="es-ES"/>
          </w:rPr>
          <w:t>González Varela</w:t>
        </w:r>
      </w:hyperlink>
      <w:r w:rsidR="00181687" w:rsidRPr="009B4DB5">
        <w:rPr>
          <w:rFonts w:eastAsia="Times New Roman" w:cstheme="minorHAnsi"/>
          <w:color w:val="000000" w:themeColor="text1"/>
          <w:sz w:val="20"/>
          <w:szCs w:val="20"/>
          <w:bdr w:val="none" w:sz="0" w:space="0" w:color="auto" w:frame="1"/>
          <w:lang w:eastAsia="es-ES"/>
        </w:rPr>
        <w:t>, S. “La venta atada como práctica anticompetitiva y vulneración al derecho del consumidor”:</w:t>
      </w:r>
      <w:r w:rsidR="00181687" w:rsidRPr="009B4DB5">
        <w:rPr>
          <w:rFonts w:eastAsia="Times New Roman" w:cstheme="minorHAnsi"/>
          <w:color w:val="000000" w:themeColor="text1"/>
          <w:sz w:val="20"/>
          <w:szCs w:val="20"/>
          <w:lang w:eastAsia="es-ES"/>
        </w:rPr>
        <w:t xml:space="preserve"> </w:t>
      </w:r>
      <w:hyperlink r:id="rId30" w:history="1">
        <w:r w:rsidR="00181687" w:rsidRPr="009B4DB5">
          <w:rPr>
            <w:rFonts w:eastAsia="Times New Roman" w:cstheme="minorHAnsi"/>
            <w:i/>
            <w:color w:val="000000" w:themeColor="text1"/>
            <w:sz w:val="20"/>
            <w:szCs w:val="20"/>
            <w:bdr w:val="none" w:sz="0" w:space="0" w:color="auto" w:frame="1"/>
            <w:lang w:eastAsia="es-ES"/>
          </w:rPr>
          <w:t>Revista de derecho de la competencia CEDEC</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31" w:history="1">
        <w:r w:rsidR="00181687" w:rsidRPr="009B4DB5">
          <w:rPr>
            <w:rFonts w:eastAsia="Times New Roman" w:cstheme="minorHAnsi"/>
            <w:color w:val="000000" w:themeColor="text1"/>
            <w:sz w:val="20"/>
            <w:szCs w:val="20"/>
            <w:bdr w:val="none" w:sz="0" w:space="0" w:color="auto" w:frame="1"/>
            <w:lang w:eastAsia="es-ES"/>
          </w:rPr>
          <w:t>nº. Extra 1, 2019</w:t>
        </w:r>
      </w:hyperlink>
      <w:r w:rsidR="00181687" w:rsidRPr="009B4DB5">
        <w:rPr>
          <w:rFonts w:eastAsia="Times New Roman" w:cstheme="minorHAnsi"/>
          <w:color w:val="000000" w:themeColor="text1"/>
          <w:sz w:val="20"/>
          <w:szCs w:val="20"/>
          <w:bdr w:val="none" w:sz="0" w:space="0" w:color="auto" w:frame="1"/>
          <w:lang w:eastAsia="es-ES"/>
        </w:rPr>
        <w:t> (Ejemplar dedicado a: Avances en Derecho de la Competencia. CEDEC XVIII), págs. 131-160.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32" w:history="1">
        <w:r w:rsidR="00181687" w:rsidRPr="009B4DB5">
          <w:rPr>
            <w:rFonts w:eastAsia="Times New Roman" w:cstheme="minorHAnsi"/>
            <w:caps/>
            <w:color w:val="000000" w:themeColor="text1"/>
            <w:sz w:val="20"/>
            <w:szCs w:val="20"/>
            <w:bdr w:val="none" w:sz="0" w:space="0" w:color="auto" w:frame="1"/>
            <w:lang w:eastAsia="es-ES"/>
          </w:rPr>
          <w:t>Amérigo Alonso</w:t>
        </w:r>
      </w:hyperlink>
      <w:r w:rsidR="00181687" w:rsidRPr="009B4DB5">
        <w:rPr>
          <w:rFonts w:eastAsia="Times New Roman" w:cstheme="minorHAnsi"/>
          <w:color w:val="000000" w:themeColor="text1"/>
          <w:sz w:val="20"/>
          <w:szCs w:val="20"/>
          <w:bdr w:val="none" w:sz="0" w:space="0" w:color="auto" w:frame="1"/>
          <w:lang w:eastAsia="es-ES"/>
        </w:rPr>
        <w:t>, J. “¿Cómo habrá de formalizarse la moratoria de los préstamos a consecuencia del COVID-19?”:</w:t>
      </w:r>
      <w:r w:rsidR="00181687" w:rsidRPr="009B4DB5">
        <w:rPr>
          <w:rFonts w:eastAsia="Times New Roman" w:cstheme="minorHAnsi"/>
          <w:color w:val="000000" w:themeColor="text1"/>
          <w:sz w:val="20"/>
          <w:szCs w:val="20"/>
          <w:lang w:eastAsia="es-ES"/>
        </w:rPr>
        <w:t xml:space="preserve"> </w:t>
      </w:r>
      <w:hyperlink r:id="rId33" w:history="1">
        <w:r w:rsidR="00181687" w:rsidRPr="009B4DB5">
          <w:rPr>
            <w:rFonts w:eastAsia="Times New Roman" w:cstheme="minorHAnsi"/>
            <w:i/>
            <w:color w:val="000000" w:themeColor="text1"/>
            <w:sz w:val="20"/>
            <w:szCs w:val="20"/>
            <w:bdr w:val="none" w:sz="0" w:space="0" w:color="auto" w:frame="1"/>
            <w:lang w:eastAsia="es-ES"/>
          </w:rPr>
          <w:t>Diario La Ley</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34" w:history="1">
        <w:r w:rsidR="00181687" w:rsidRPr="009B4DB5">
          <w:rPr>
            <w:rFonts w:eastAsia="Times New Roman" w:cstheme="minorHAnsi"/>
            <w:color w:val="000000" w:themeColor="text1"/>
            <w:sz w:val="20"/>
            <w:szCs w:val="20"/>
            <w:bdr w:val="none" w:sz="0" w:space="0" w:color="auto" w:frame="1"/>
            <w:lang w:eastAsia="es-ES"/>
          </w:rPr>
          <w:t>nº 9630, 2020</w:t>
        </w:r>
      </w:hyperlink>
      <w:r w:rsidR="00181687" w:rsidRPr="009B4DB5">
        <w:rPr>
          <w:rFonts w:eastAsia="Times New Roman" w:cstheme="minorHAnsi"/>
          <w:color w:val="000000" w:themeColor="text1"/>
          <w:sz w:val="20"/>
          <w:szCs w:val="20"/>
          <w:bdr w:val="none" w:sz="0" w:space="0" w:color="auto" w:frame="1"/>
          <w:lang w:eastAsia="es-ES"/>
        </w:rPr>
        <w:t xml:space="preserve">. </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181687" w:rsidRDefault="00CF6D6C" w:rsidP="00181687">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hyperlink r:id="rId35" w:history="1">
        <w:r w:rsidR="00181687" w:rsidRPr="009B4DB5">
          <w:rPr>
            <w:rFonts w:eastAsia="Times New Roman" w:cstheme="minorHAnsi"/>
            <w:caps/>
            <w:color w:val="000000" w:themeColor="text1"/>
            <w:sz w:val="20"/>
            <w:szCs w:val="20"/>
            <w:bdr w:val="none" w:sz="0" w:space="0" w:color="auto" w:frame="1"/>
            <w:lang w:eastAsia="es-ES"/>
          </w:rPr>
          <w:t>Añón Calvete</w:t>
        </w:r>
      </w:hyperlink>
      <w:r w:rsidR="00181687" w:rsidRPr="009B4DB5">
        <w:rPr>
          <w:rFonts w:eastAsia="Times New Roman" w:cstheme="minorHAnsi"/>
          <w:color w:val="000000" w:themeColor="text1"/>
          <w:sz w:val="20"/>
          <w:szCs w:val="20"/>
          <w:bdr w:val="none" w:sz="0" w:space="0" w:color="auto" w:frame="1"/>
          <w:lang w:eastAsia="es-ES"/>
        </w:rPr>
        <w:t>, J. “Estimación sustancial y condena en costas en las reclamaciones de cláusulas abusivas”:</w:t>
      </w:r>
      <w:r w:rsidR="00181687" w:rsidRPr="009B4DB5">
        <w:rPr>
          <w:rFonts w:eastAsia="Times New Roman" w:cstheme="minorHAnsi"/>
          <w:color w:val="000000" w:themeColor="text1"/>
          <w:sz w:val="20"/>
          <w:szCs w:val="20"/>
          <w:lang w:eastAsia="es-ES"/>
        </w:rPr>
        <w:t xml:space="preserve"> </w:t>
      </w:r>
      <w:hyperlink r:id="rId36" w:history="1">
        <w:r w:rsidR="00181687" w:rsidRPr="009B4DB5">
          <w:rPr>
            <w:rFonts w:eastAsia="Times New Roman" w:cstheme="minorHAnsi"/>
            <w:i/>
            <w:color w:val="000000" w:themeColor="text1"/>
            <w:sz w:val="20"/>
            <w:szCs w:val="20"/>
            <w:bdr w:val="none" w:sz="0" w:space="0" w:color="auto" w:frame="1"/>
            <w:lang w:eastAsia="es-ES"/>
          </w:rPr>
          <w:t>Revista jurídica de la Comunidad Valenciana</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37" w:history="1">
        <w:r w:rsidR="00181687" w:rsidRPr="009B4DB5">
          <w:rPr>
            <w:rFonts w:eastAsia="Times New Roman" w:cstheme="minorHAnsi"/>
            <w:color w:val="000000" w:themeColor="text1"/>
            <w:sz w:val="20"/>
            <w:szCs w:val="20"/>
            <w:bdr w:val="none" w:sz="0" w:space="0" w:color="auto" w:frame="1"/>
            <w:lang w:eastAsia="es-ES"/>
          </w:rPr>
          <w:t>nº. 73, 2020</w:t>
        </w:r>
      </w:hyperlink>
      <w:r w:rsidR="00181687" w:rsidRPr="009B4DB5">
        <w:rPr>
          <w:rFonts w:eastAsia="Times New Roman" w:cstheme="minorHAnsi"/>
          <w:color w:val="000000" w:themeColor="text1"/>
          <w:sz w:val="20"/>
          <w:szCs w:val="20"/>
          <w:bdr w:val="none" w:sz="0" w:space="0" w:color="auto" w:frame="1"/>
          <w:lang w:eastAsia="es-ES"/>
        </w:rPr>
        <w:t>, págs. 25-50.</w:t>
      </w:r>
    </w:p>
    <w:p w:rsidR="00181687" w:rsidRPr="00181687" w:rsidRDefault="00181687" w:rsidP="00181687">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A21DDE" w:rsidRPr="00A21DDE" w:rsidRDefault="00181687" w:rsidP="00A21DDE">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r w:rsidRPr="00181687">
        <w:rPr>
          <w:rFonts w:eastAsia="Times New Roman" w:cstheme="minorHAnsi"/>
          <w:color w:val="000000" w:themeColor="text1"/>
          <w:sz w:val="20"/>
          <w:szCs w:val="20"/>
          <w:bdr w:val="none" w:sz="0" w:space="0" w:color="auto" w:frame="1"/>
          <w:lang w:eastAsia="es-ES"/>
        </w:rPr>
        <w:t xml:space="preserve">ARSUAGA CORTÁZAR, J. “La dificultad de reconocer una respuesta civil ante el préstamo irresponsable”: </w:t>
      </w:r>
      <w:r w:rsidRPr="00181687">
        <w:rPr>
          <w:rFonts w:eastAsia="Times New Roman" w:cstheme="minorHAnsi"/>
          <w:i/>
          <w:color w:val="000000" w:themeColor="text1"/>
          <w:sz w:val="20"/>
          <w:szCs w:val="20"/>
          <w:bdr w:val="none" w:sz="0" w:space="0" w:color="auto" w:frame="1"/>
          <w:lang w:eastAsia="es-ES"/>
        </w:rPr>
        <w:t>Revista Consumo y Empresa</w:t>
      </w:r>
      <w:r w:rsidRPr="00181687">
        <w:rPr>
          <w:rFonts w:eastAsia="Times New Roman" w:cstheme="minorHAnsi"/>
          <w:color w:val="000000" w:themeColor="text1"/>
          <w:sz w:val="20"/>
          <w:szCs w:val="20"/>
          <w:bdr w:val="none" w:sz="0" w:space="0" w:color="auto" w:frame="1"/>
          <w:lang w:eastAsia="es-ES"/>
        </w:rPr>
        <w:t>, nº. 12, Mayo 2020, pp. 89-97.</w:t>
      </w:r>
    </w:p>
    <w:p w:rsidR="00A21DDE" w:rsidRPr="00A21DDE" w:rsidRDefault="00A21DDE" w:rsidP="00A21DDE">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AC66B0" w:rsidRPr="00AC66B0" w:rsidRDefault="00A21DDE" w:rsidP="00AC66B0">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r w:rsidRPr="00A21DDE">
        <w:rPr>
          <w:rFonts w:eastAsia="Times New Roman" w:cstheme="minorHAnsi"/>
          <w:color w:val="000000" w:themeColor="text1"/>
          <w:sz w:val="20"/>
          <w:szCs w:val="20"/>
          <w:bdr w:val="none" w:sz="0" w:space="0" w:color="auto" w:frame="1"/>
          <w:lang w:eastAsia="es-ES"/>
        </w:rPr>
        <w:t xml:space="preserve">BALLUGERA GÓMEZ, C. “Visión rápida de algunas dudas sobre la moratoria hipotecaria por coronavirus”: </w:t>
      </w:r>
      <w:r w:rsidRPr="00A21DDE">
        <w:rPr>
          <w:rFonts w:eastAsia="Times New Roman" w:cstheme="minorHAnsi"/>
          <w:i/>
          <w:color w:val="000000" w:themeColor="text1"/>
          <w:sz w:val="20"/>
          <w:szCs w:val="20"/>
          <w:bdr w:val="none" w:sz="0" w:space="0" w:color="auto" w:frame="1"/>
          <w:lang w:eastAsia="es-ES"/>
        </w:rPr>
        <w:t xml:space="preserve">Revista de Derecho </w:t>
      </w:r>
      <w:proofErr w:type="spellStart"/>
      <w:r w:rsidRPr="00A21DDE">
        <w:rPr>
          <w:rFonts w:eastAsia="Times New Roman" w:cstheme="minorHAnsi"/>
          <w:i/>
          <w:color w:val="000000" w:themeColor="text1"/>
          <w:sz w:val="20"/>
          <w:szCs w:val="20"/>
          <w:bdr w:val="none" w:sz="0" w:space="0" w:color="auto" w:frame="1"/>
          <w:lang w:eastAsia="es-ES"/>
        </w:rPr>
        <w:t>vLex</w:t>
      </w:r>
      <w:proofErr w:type="spellEnd"/>
      <w:r w:rsidRPr="00A21DDE">
        <w:rPr>
          <w:rFonts w:eastAsia="Times New Roman" w:cstheme="minorHAnsi"/>
          <w:color w:val="000000" w:themeColor="text1"/>
          <w:sz w:val="20"/>
          <w:szCs w:val="20"/>
          <w:bdr w:val="none" w:sz="0" w:space="0" w:color="auto" w:frame="1"/>
          <w:lang w:eastAsia="es-ES"/>
        </w:rPr>
        <w:t xml:space="preserve">, nº 191, Abril 2020. </w:t>
      </w:r>
    </w:p>
    <w:p w:rsidR="00AC66B0" w:rsidRPr="00AC66B0" w:rsidRDefault="00AC66B0" w:rsidP="00AC66B0">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AC66B0" w:rsidRPr="00AC66B0" w:rsidRDefault="00AC66B0" w:rsidP="00AC66B0">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r w:rsidRPr="00AC66B0">
        <w:rPr>
          <w:rFonts w:eastAsia="Times New Roman" w:cstheme="minorHAnsi"/>
          <w:color w:val="000000" w:themeColor="text1"/>
          <w:sz w:val="20"/>
          <w:szCs w:val="20"/>
          <w:bdr w:val="none" w:sz="0" w:space="0" w:color="auto" w:frame="1"/>
          <w:lang w:eastAsia="es-ES"/>
        </w:rPr>
        <w:t>BALLUGERA GÓMEZ, C.</w:t>
      </w:r>
      <w:r w:rsidRPr="00AC66B0">
        <w:t xml:space="preserve"> </w:t>
      </w:r>
      <w:r w:rsidRPr="00AC66B0">
        <w:rPr>
          <w:rFonts w:eastAsia="Times New Roman" w:cstheme="minorHAnsi"/>
          <w:color w:val="000000" w:themeColor="text1"/>
          <w:sz w:val="20"/>
          <w:szCs w:val="20"/>
          <w:bdr w:val="none" w:sz="0" w:space="0" w:color="auto" w:frame="1"/>
          <w:lang w:eastAsia="es-ES"/>
        </w:rPr>
        <w:t xml:space="preserve">“Una visión práctica del control de transparencia aplicado a las hipotecas”, </w:t>
      </w:r>
      <w:proofErr w:type="spellStart"/>
      <w:r w:rsidRPr="00AC66B0">
        <w:rPr>
          <w:rFonts w:eastAsia="Times New Roman" w:cstheme="minorHAnsi"/>
          <w:color w:val="000000" w:themeColor="text1"/>
          <w:sz w:val="20"/>
          <w:szCs w:val="20"/>
          <w:bdr w:val="none" w:sz="0" w:space="0" w:color="auto" w:frame="1"/>
          <w:lang w:eastAsia="es-ES"/>
        </w:rPr>
        <w:t>Cáp</w:t>
      </w:r>
      <w:proofErr w:type="spellEnd"/>
      <w:r w:rsidRPr="00AC66B0">
        <w:rPr>
          <w:rFonts w:eastAsia="Times New Roman" w:cstheme="minorHAnsi"/>
          <w:color w:val="000000" w:themeColor="text1"/>
          <w:sz w:val="20"/>
          <w:szCs w:val="20"/>
          <w:bdr w:val="none" w:sz="0" w:space="0" w:color="auto" w:frame="1"/>
          <w:lang w:eastAsia="es-ES"/>
        </w:rPr>
        <w:t xml:space="preserve">-sulas de consumo, </w:t>
      </w:r>
      <w:proofErr w:type="spellStart"/>
      <w:r w:rsidRPr="00AC66B0">
        <w:rPr>
          <w:rFonts w:eastAsia="Times New Roman" w:cstheme="minorHAnsi"/>
          <w:color w:val="000000" w:themeColor="text1"/>
          <w:sz w:val="20"/>
          <w:szCs w:val="20"/>
          <w:bdr w:val="none" w:sz="0" w:space="0" w:color="auto" w:frame="1"/>
          <w:lang w:eastAsia="es-ES"/>
        </w:rPr>
        <w:t>Càpsules</w:t>
      </w:r>
      <w:proofErr w:type="spellEnd"/>
      <w:r w:rsidRPr="00AC66B0">
        <w:rPr>
          <w:rFonts w:eastAsia="Times New Roman" w:cstheme="minorHAnsi"/>
          <w:color w:val="000000" w:themeColor="text1"/>
          <w:sz w:val="20"/>
          <w:szCs w:val="20"/>
          <w:bdr w:val="none" w:sz="0" w:space="0" w:color="auto" w:frame="1"/>
          <w:lang w:eastAsia="es-ES"/>
        </w:rPr>
        <w:t xml:space="preserve"> </w:t>
      </w:r>
      <w:proofErr w:type="spellStart"/>
      <w:r w:rsidRPr="00AC66B0">
        <w:rPr>
          <w:rFonts w:eastAsia="Times New Roman" w:cstheme="minorHAnsi"/>
          <w:color w:val="000000" w:themeColor="text1"/>
          <w:sz w:val="20"/>
          <w:szCs w:val="20"/>
          <w:bdr w:val="none" w:sz="0" w:space="0" w:color="auto" w:frame="1"/>
          <w:lang w:eastAsia="es-ES"/>
        </w:rPr>
        <w:t>formatives</w:t>
      </w:r>
      <w:proofErr w:type="spellEnd"/>
      <w:r w:rsidRPr="00AC66B0">
        <w:rPr>
          <w:rFonts w:eastAsia="Times New Roman" w:cstheme="minorHAnsi"/>
          <w:color w:val="000000" w:themeColor="text1"/>
          <w:sz w:val="20"/>
          <w:szCs w:val="20"/>
          <w:bdr w:val="none" w:sz="0" w:space="0" w:color="auto" w:frame="1"/>
          <w:lang w:eastAsia="es-ES"/>
        </w:rPr>
        <w:t xml:space="preserve"> </w:t>
      </w:r>
      <w:proofErr w:type="spellStart"/>
      <w:r w:rsidRPr="00AC66B0">
        <w:rPr>
          <w:rFonts w:eastAsia="Times New Roman" w:cstheme="minorHAnsi"/>
          <w:color w:val="000000" w:themeColor="text1"/>
          <w:sz w:val="20"/>
          <w:szCs w:val="20"/>
          <w:bdr w:val="none" w:sz="0" w:space="0" w:color="auto" w:frame="1"/>
          <w:lang w:eastAsia="es-ES"/>
        </w:rPr>
        <w:t>gratuites</w:t>
      </w:r>
      <w:proofErr w:type="spellEnd"/>
      <w:r w:rsidRPr="00AC66B0">
        <w:rPr>
          <w:rFonts w:eastAsia="Times New Roman" w:cstheme="minorHAnsi"/>
          <w:color w:val="000000" w:themeColor="text1"/>
          <w:sz w:val="20"/>
          <w:szCs w:val="20"/>
          <w:bdr w:val="none" w:sz="0" w:space="0" w:color="auto" w:frame="1"/>
          <w:lang w:eastAsia="es-ES"/>
        </w:rPr>
        <w:t>, ICAB, (26 marzo 2020).</w:t>
      </w:r>
    </w:p>
    <w:p w:rsidR="00AC66B0" w:rsidRPr="00AC66B0" w:rsidRDefault="00AC66B0" w:rsidP="00AC66B0">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AC66B0" w:rsidRPr="00AC66B0" w:rsidRDefault="00AC66B0" w:rsidP="00AC66B0">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r w:rsidRPr="00AC66B0">
        <w:rPr>
          <w:rFonts w:eastAsia="Times New Roman" w:cstheme="minorHAnsi"/>
          <w:color w:val="000000" w:themeColor="text1"/>
          <w:sz w:val="20"/>
          <w:szCs w:val="20"/>
          <w:bdr w:val="none" w:sz="0" w:space="0" w:color="auto" w:frame="1"/>
          <w:lang w:eastAsia="es-ES"/>
        </w:rPr>
        <w:t>BALLUGERA GÓMEZ, C.</w:t>
      </w:r>
      <w:r w:rsidRPr="00AC66B0">
        <w:t xml:space="preserve"> </w:t>
      </w:r>
      <w:r w:rsidRPr="00AC66B0">
        <w:rPr>
          <w:rFonts w:eastAsia="Times New Roman" w:cstheme="minorHAnsi"/>
          <w:color w:val="000000" w:themeColor="text1"/>
          <w:sz w:val="20"/>
          <w:szCs w:val="20"/>
          <w:bdr w:val="none" w:sz="0" w:space="0" w:color="auto" w:frame="1"/>
          <w:lang w:eastAsia="es-ES"/>
        </w:rPr>
        <w:t>“El significado del depósito previo de las condiciones generales y la indicación de un correo electrónico en la hipoteca”, con un índice de resoluciones parecidas, en www.notariosyregistradores.com (10 abril 2020).</w:t>
      </w:r>
    </w:p>
    <w:p w:rsidR="00AC66B0" w:rsidRPr="00AC66B0" w:rsidRDefault="00AC66B0" w:rsidP="00AC66B0">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AC66B0" w:rsidRPr="00AC66B0" w:rsidRDefault="00AC66B0" w:rsidP="00AC66B0">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r w:rsidRPr="00AC66B0">
        <w:rPr>
          <w:rFonts w:eastAsia="Times New Roman" w:cstheme="minorHAnsi"/>
          <w:color w:val="000000" w:themeColor="text1"/>
          <w:sz w:val="20"/>
          <w:szCs w:val="20"/>
          <w:bdr w:val="none" w:sz="0" w:space="0" w:color="auto" w:frame="1"/>
          <w:lang w:eastAsia="es-ES"/>
        </w:rPr>
        <w:t>BALLUGERA GÓMEZ, C.</w:t>
      </w:r>
      <w:r w:rsidRPr="00AC66B0">
        <w:t xml:space="preserve"> </w:t>
      </w:r>
      <w:r w:rsidRPr="00AC66B0">
        <w:rPr>
          <w:rFonts w:eastAsia="Times New Roman" w:cstheme="minorHAnsi"/>
          <w:color w:val="000000" w:themeColor="text1"/>
          <w:sz w:val="20"/>
          <w:szCs w:val="20"/>
          <w:lang w:eastAsia="es-ES"/>
        </w:rPr>
        <w:t>“La transparencia material se cumple cuando los tratos preliminares y el contenido contractual coinciden”, en www.notariosyregistradores.com (22 junio 2020).</w:t>
      </w:r>
    </w:p>
    <w:p w:rsidR="00AC66B0" w:rsidRPr="00AC66B0" w:rsidRDefault="00AC66B0" w:rsidP="00AC66B0">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AC66B0" w:rsidRPr="00AC66B0" w:rsidRDefault="00AC66B0" w:rsidP="00AC66B0">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r w:rsidRPr="00AC66B0">
        <w:rPr>
          <w:rFonts w:eastAsia="Times New Roman" w:cstheme="minorHAnsi"/>
          <w:color w:val="000000" w:themeColor="text1"/>
          <w:sz w:val="20"/>
          <w:szCs w:val="20"/>
          <w:bdr w:val="none" w:sz="0" w:space="0" w:color="auto" w:frame="1"/>
          <w:lang w:eastAsia="es-ES"/>
        </w:rPr>
        <w:t>BALLUGERA GÓMEZ, C.</w:t>
      </w:r>
      <w:r w:rsidRPr="00AC66B0">
        <w:t xml:space="preserve"> </w:t>
      </w:r>
      <w:r w:rsidRPr="00AC66B0">
        <w:rPr>
          <w:rFonts w:eastAsia="Times New Roman" w:cstheme="minorHAnsi"/>
          <w:color w:val="000000" w:themeColor="text1"/>
          <w:sz w:val="20"/>
          <w:szCs w:val="20"/>
          <w:bdr w:val="none" w:sz="0" w:space="0" w:color="auto" w:frame="1"/>
          <w:lang w:eastAsia="es-ES"/>
        </w:rPr>
        <w:t>“La transparencia en la formalización de la moratoria hipotecaria por coronavirus”, en notariosyregistradores.com, (colgado 30 abril 2020)</w:t>
      </w:r>
      <w:r>
        <w:rPr>
          <w:rFonts w:eastAsia="Times New Roman" w:cstheme="minorHAnsi"/>
          <w:color w:val="000000" w:themeColor="text1"/>
          <w:sz w:val="20"/>
          <w:szCs w:val="20"/>
          <w:bdr w:val="none" w:sz="0" w:space="0" w:color="auto" w:frame="1"/>
          <w:lang w:eastAsia="es-ES"/>
        </w:rPr>
        <w:t>.</w:t>
      </w:r>
    </w:p>
    <w:p w:rsidR="00AC66B0" w:rsidRPr="00AC66B0" w:rsidRDefault="00AC66B0" w:rsidP="00AC66B0">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AC66B0" w:rsidRPr="00AC66B0" w:rsidRDefault="00AC66B0" w:rsidP="00AC66B0">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r w:rsidRPr="00AC66B0">
        <w:rPr>
          <w:rFonts w:eastAsia="Times New Roman" w:cstheme="minorHAnsi"/>
          <w:color w:val="000000" w:themeColor="text1"/>
          <w:sz w:val="20"/>
          <w:szCs w:val="20"/>
          <w:bdr w:val="none" w:sz="0" w:space="0" w:color="auto" w:frame="1"/>
          <w:lang w:eastAsia="es-ES"/>
        </w:rPr>
        <w:t>BALLUGERA GÓMEZ, C.</w:t>
      </w:r>
      <w:r w:rsidRPr="00AC66B0">
        <w:t xml:space="preserve"> </w:t>
      </w:r>
      <w:r w:rsidRPr="00AC66B0">
        <w:rPr>
          <w:rFonts w:eastAsia="Times New Roman" w:cstheme="minorHAnsi"/>
          <w:color w:val="000000" w:themeColor="text1"/>
          <w:sz w:val="20"/>
          <w:szCs w:val="20"/>
          <w:bdr w:val="none" w:sz="0" w:space="0" w:color="auto" w:frame="1"/>
          <w:lang w:eastAsia="es-ES"/>
        </w:rPr>
        <w:t xml:space="preserve">“No comparto la sentencia de la Sección Quinta de la AP de Sevilla sobre el IRPH”, </w:t>
      </w:r>
      <w:proofErr w:type="spellStart"/>
      <w:r w:rsidRPr="00AC66B0">
        <w:rPr>
          <w:rFonts w:eastAsia="Times New Roman" w:cstheme="minorHAnsi"/>
          <w:color w:val="000000" w:themeColor="text1"/>
          <w:sz w:val="20"/>
          <w:szCs w:val="20"/>
          <w:bdr w:val="none" w:sz="0" w:space="0" w:color="auto" w:frame="1"/>
          <w:lang w:eastAsia="es-ES"/>
        </w:rPr>
        <w:t>Confilegal</w:t>
      </w:r>
      <w:proofErr w:type="spellEnd"/>
      <w:r w:rsidRPr="00AC66B0">
        <w:rPr>
          <w:rFonts w:eastAsia="Times New Roman" w:cstheme="minorHAnsi"/>
          <w:color w:val="000000" w:themeColor="text1"/>
          <w:sz w:val="20"/>
          <w:szCs w:val="20"/>
          <w:bdr w:val="none" w:sz="0" w:space="0" w:color="auto" w:frame="1"/>
          <w:lang w:eastAsia="es-ES"/>
        </w:rPr>
        <w:t>, 10 mayo 2020.</w:t>
      </w:r>
    </w:p>
    <w:p w:rsidR="00AC66B0" w:rsidRPr="00AC66B0" w:rsidRDefault="00AC66B0" w:rsidP="00AC66B0">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1763B9" w:rsidRPr="001763B9" w:rsidRDefault="00AC66B0" w:rsidP="001763B9">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r w:rsidRPr="00AC66B0">
        <w:rPr>
          <w:rFonts w:eastAsia="Times New Roman" w:cstheme="minorHAnsi"/>
          <w:color w:val="000000" w:themeColor="text1"/>
          <w:sz w:val="20"/>
          <w:szCs w:val="20"/>
          <w:bdr w:val="none" w:sz="0" w:space="0" w:color="auto" w:frame="1"/>
          <w:lang w:eastAsia="es-ES"/>
        </w:rPr>
        <w:t>BALLUGERA GÓMEZ, C.</w:t>
      </w:r>
      <w:r w:rsidRPr="00AC66B0">
        <w:t xml:space="preserve"> </w:t>
      </w:r>
      <w:r w:rsidRPr="00AC66B0">
        <w:rPr>
          <w:rFonts w:eastAsia="Times New Roman" w:cstheme="minorHAnsi"/>
          <w:color w:val="000000" w:themeColor="text1"/>
          <w:sz w:val="20"/>
          <w:szCs w:val="20"/>
          <w:bdr w:val="none" w:sz="0" w:space="0" w:color="auto" w:frame="1"/>
          <w:lang w:eastAsia="es-ES"/>
        </w:rPr>
        <w:t>“Con un poco de luz con el IRPH no vale. Control de transparencia c</w:t>
      </w:r>
      <w:r>
        <w:rPr>
          <w:rFonts w:eastAsia="Times New Roman" w:cstheme="minorHAnsi"/>
          <w:color w:val="000000" w:themeColor="text1"/>
          <w:sz w:val="20"/>
          <w:szCs w:val="20"/>
          <w:bdr w:val="none" w:sz="0" w:space="0" w:color="auto" w:frame="1"/>
          <w:lang w:eastAsia="es-ES"/>
        </w:rPr>
        <w:t>ontra control del contenido”:</w:t>
      </w:r>
      <w:r w:rsidRPr="00AC66B0">
        <w:rPr>
          <w:rFonts w:eastAsia="Times New Roman" w:cstheme="minorHAnsi"/>
          <w:color w:val="000000" w:themeColor="text1"/>
          <w:sz w:val="20"/>
          <w:szCs w:val="20"/>
          <w:bdr w:val="none" w:sz="0" w:space="0" w:color="auto" w:frame="1"/>
          <w:lang w:eastAsia="es-ES"/>
        </w:rPr>
        <w:t xml:space="preserve"> </w:t>
      </w:r>
      <w:r w:rsidRPr="00AC66B0">
        <w:rPr>
          <w:rFonts w:eastAsia="Times New Roman" w:cstheme="minorHAnsi"/>
          <w:i/>
          <w:color w:val="000000" w:themeColor="text1"/>
          <w:sz w:val="20"/>
          <w:szCs w:val="20"/>
          <w:bdr w:val="none" w:sz="0" w:space="0" w:color="auto" w:frame="1"/>
          <w:lang w:eastAsia="es-ES"/>
        </w:rPr>
        <w:t xml:space="preserve">Revista de Derecho </w:t>
      </w:r>
      <w:proofErr w:type="spellStart"/>
      <w:r w:rsidRPr="00AC66B0">
        <w:rPr>
          <w:rFonts w:eastAsia="Times New Roman" w:cstheme="minorHAnsi"/>
          <w:i/>
          <w:color w:val="000000" w:themeColor="text1"/>
          <w:sz w:val="20"/>
          <w:szCs w:val="20"/>
          <w:bdr w:val="none" w:sz="0" w:space="0" w:color="auto" w:frame="1"/>
          <w:lang w:eastAsia="es-ES"/>
        </w:rPr>
        <w:t>vLex</w:t>
      </w:r>
      <w:proofErr w:type="spellEnd"/>
      <w:r>
        <w:rPr>
          <w:rFonts w:eastAsia="Times New Roman" w:cstheme="minorHAnsi"/>
          <w:color w:val="000000" w:themeColor="text1"/>
          <w:sz w:val="20"/>
          <w:szCs w:val="20"/>
          <w:bdr w:val="none" w:sz="0" w:space="0" w:color="auto" w:frame="1"/>
          <w:lang w:eastAsia="es-ES"/>
        </w:rPr>
        <w:t>, nº. 192, 2020.</w:t>
      </w:r>
    </w:p>
    <w:p w:rsidR="001763B9" w:rsidRPr="001763B9" w:rsidRDefault="001763B9" w:rsidP="001763B9">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AC66B0" w:rsidRPr="001763B9" w:rsidRDefault="00AC66B0" w:rsidP="001763B9">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r w:rsidRPr="001763B9">
        <w:rPr>
          <w:rFonts w:eastAsia="Times New Roman" w:cstheme="minorHAnsi"/>
          <w:color w:val="000000" w:themeColor="text1"/>
          <w:sz w:val="20"/>
          <w:szCs w:val="20"/>
          <w:bdr w:val="none" w:sz="0" w:space="0" w:color="auto" w:frame="1"/>
          <w:lang w:eastAsia="es-ES"/>
        </w:rPr>
        <w:t>BALLUGERA GÓMEZ, C.</w:t>
      </w:r>
      <w:r w:rsidRPr="00AC66B0">
        <w:t xml:space="preserve"> </w:t>
      </w:r>
      <w:r w:rsidRPr="001763B9">
        <w:rPr>
          <w:rFonts w:eastAsia="Times New Roman" w:cstheme="minorHAnsi"/>
          <w:color w:val="000000" w:themeColor="text1"/>
          <w:sz w:val="20"/>
          <w:szCs w:val="20"/>
          <w:lang w:eastAsia="es-ES"/>
        </w:rPr>
        <w:t>“</w:t>
      </w:r>
      <w:r w:rsidR="001763B9" w:rsidRPr="001763B9">
        <w:rPr>
          <w:rFonts w:eastAsia="Times New Roman" w:cstheme="minorHAnsi"/>
          <w:color w:val="000000" w:themeColor="text1"/>
          <w:sz w:val="20"/>
          <w:szCs w:val="20"/>
          <w:lang w:eastAsia="es-ES"/>
        </w:rPr>
        <w:t>Moratoria hipotecaria sectorial por coronavirus</w:t>
      </w:r>
      <w:r w:rsidRPr="001763B9">
        <w:rPr>
          <w:rFonts w:eastAsia="Times New Roman" w:cstheme="minorHAnsi"/>
          <w:color w:val="000000" w:themeColor="text1"/>
          <w:sz w:val="20"/>
          <w:szCs w:val="20"/>
          <w:lang w:eastAsia="es-ES"/>
        </w:rPr>
        <w:t xml:space="preserve">”: </w:t>
      </w:r>
      <w:r w:rsidRPr="001763B9">
        <w:rPr>
          <w:rFonts w:eastAsia="Times New Roman" w:cstheme="minorHAnsi"/>
          <w:i/>
          <w:color w:val="000000" w:themeColor="text1"/>
          <w:sz w:val="20"/>
          <w:szCs w:val="20"/>
          <w:lang w:eastAsia="es-ES"/>
        </w:rPr>
        <w:t xml:space="preserve">Revista de Derecho </w:t>
      </w:r>
      <w:proofErr w:type="spellStart"/>
      <w:r w:rsidRPr="001763B9">
        <w:rPr>
          <w:rFonts w:eastAsia="Times New Roman" w:cstheme="minorHAnsi"/>
          <w:i/>
          <w:color w:val="000000" w:themeColor="text1"/>
          <w:sz w:val="20"/>
          <w:szCs w:val="20"/>
          <w:lang w:eastAsia="es-ES"/>
        </w:rPr>
        <w:t>vLex</w:t>
      </w:r>
      <w:proofErr w:type="spellEnd"/>
      <w:r w:rsidRPr="001763B9">
        <w:rPr>
          <w:rFonts w:eastAsia="Times New Roman" w:cstheme="minorHAnsi"/>
          <w:color w:val="000000" w:themeColor="text1"/>
          <w:sz w:val="20"/>
          <w:szCs w:val="20"/>
          <w:lang w:eastAsia="es-ES"/>
        </w:rPr>
        <w:t xml:space="preserve">, nº. </w:t>
      </w:r>
      <w:r w:rsidR="001763B9">
        <w:rPr>
          <w:rFonts w:eastAsia="Times New Roman" w:cstheme="minorHAnsi"/>
          <w:color w:val="000000" w:themeColor="text1"/>
          <w:sz w:val="20"/>
          <w:szCs w:val="20"/>
          <w:lang w:eastAsia="es-ES"/>
        </w:rPr>
        <w:t>1</w:t>
      </w:r>
      <w:r w:rsidR="00191087">
        <w:rPr>
          <w:rFonts w:eastAsia="Times New Roman" w:cstheme="minorHAnsi"/>
          <w:color w:val="000000" w:themeColor="text1"/>
          <w:sz w:val="20"/>
          <w:szCs w:val="20"/>
          <w:lang w:eastAsia="es-ES"/>
        </w:rPr>
        <w:t>94, julio</w:t>
      </w:r>
      <w:r w:rsidRPr="001763B9">
        <w:rPr>
          <w:rFonts w:eastAsia="Times New Roman" w:cstheme="minorHAnsi"/>
          <w:color w:val="000000" w:themeColor="text1"/>
          <w:sz w:val="20"/>
          <w:szCs w:val="20"/>
          <w:lang w:eastAsia="es-ES"/>
        </w:rPr>
        <w:t xml:space="preserve"> 2020.</w:t>
      </w:r>
    </w:p>
    <w:p w:rsidR="00AC66B0" w:rsidRDefault="00AC66B0" w:rsidP="00AC66B0">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181687" w:rsidRDefault="00AC66B0" w:rsidP="00181687">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r w:rsidRPr="00AC66B0">
        <w:rPr>
          <w:rFonts w:eastAsia="Times New Roman" w:cstheme="minorHAnsi"/>
          <w:color w:val="000000" w:themeColor="text1"/>
          <w:sz w:val="20"/>
          <w:szCs w:val="20"/>
          <w:bdr w:val="none" w:sz="0" w:space="0" w:color="auto" w:frame="1"/>
          <w:lang w:eastAsia="es-ES"/>
        </w:rPr>
        <w:t>BALLUGERA GÓMEZ, C.</w:t>
      </w:r>
      <w:r w:rsidRPr="00AC66B0">
        <w:t xml:space="preserve"> </w:t>
      </w:r>
      <w:r w:rsidRPr="00AC66B0">
        <w:rPr>
          <w:rFonts w:eastAsia="Times New Roman" w:cstheme="minorHAnsi"/>
          <w:color w:val="000000" w:themeColor="text1"/>
          <w:sz w:val="20"/>
          <w:szCs w:val="20"/>
          <w:lang w:eastAsia="es-ES"/>
        </w:rPr>
        <w:t xml:space="preserve">“Transparencia registral. Obligatoriedad de la inscripción en el registro de condiciones generales de la contratación”, en </w:t>
      </w:r>
      <w:r w:rsidRPr="00AC66B0">
        <w:rPr>
          <w:rFonts w:eastAsia="Times New Roman" w:cstheme="minorHAnsi"/>
          <w:i/>
          <w:color w:val="000000" w:themeColor="text1"/>
          <w:sz w:val="20"/>
          <w:szCs w:val="20"/>
          <w:lang w:eastAsia="es-ES"/>
        </w:rPr>
        <w:t>La nueva regulación de los contratos de crédito inmobiliario</w:t>
      </w:r>
      <w:r w:rsidRPr="00AC66B0">
        <w:rPr>
          <w:rFonts w:eastAsia="Times New Roman" w:cstheme="minorHAnsi"/>
          <w:color w:val="000000" w:themeColor="text1"/>
          <w:sz w:val="20"/>
          <w:szCs w:val="20"/>
          <w:lang w:eastAsia="es-ES"/>
        </w:rPr>
        <w:t xml:space="preserve">. </w:t>
      </w:r>
      <w:proofErr w:type="spellStart"/>
      <w:r w:rsidRPr="00AC66B0">
        <w:rPr>
          <w:rFonts w:eastAsia="Times New Roman" w:cstheme="minorHAnsi"/>
          <w:color w:val="000000" w:themeColor="text1"/>
          <w:sz w:val="20"/>
          <w:szCs w:val="20"/>
          <w:lang w:eastAsia="es-ES"/>
        </w:rPr>
        <w:t>Wolters-Kluwer</w:t>
      </w:r>
      <w:proofErr w:type="spellEnd"/>
      <w:r w:rsidRPr="00AC66B0">
        <w:rPr>
          <w:rFonts w:eastAsia="Times New Roman" w:cstheme="minorHAnsi"/>
          <w:color w:val="000000" w:themeColor="text1"/>
          <w:sz w:val="20"/>
          <w:szCs w:val="20"/>
          <w:lang w:eastAsia="es-ES"/>
        </w:rPr>
        <w:t>, 2020, pp. 95-145.</w:t>
      </w:r>
    </w:p>
    <w:p w:rsidR="00191087" w:rsidRPr="00AC66B0" w:rsidRDefault="00191087" w:rsidP="00191087">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181687" w:rsidRDefault="00181687"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bdr w:val="none" w:sz="0" w:space="0" w:color="auto" w:frame="1"/>
          <w:lang w:eastAsia="es-ES"/>
        </w:rPr>
      </w:pPr>
      <w:r w:rsidRPr="009B4DB5">
        <w:rPr>
          <w:rFonts w:eastAsia="Times New Roman" w:cstheme="minorHAnsi"/>
          <w:color w:val="000000" w:themeColor="text1"/>
          <w:sz w:val="20"/>
          <w:szCs w:val="20"/>
          <w:bdr w:val="none" w:sz="0" w:space="0" w:color="auto" w:frame="1"/>
          <w:lang w:eastAsia="es-ES"/>
        </w:rPr>
        <w:lastRenderedPageBreak/>
        <w:t>BASTANTE GRANELL, V. "La (</w:t>
      </w:r>
      <w:proofErr w:type="spellStart"/>
      <w:r w:rsidRPr="009B4DB5">
        <w:rPr>
          <w:rFonts w:eastAsia="Times New Roman" w:cstheme="minorHAnsi"/>
          <w:color w:val="000000" w:themeColor="text1"/>
          <w:sz w:val="20"/>
          <w:szCs w:val="20"/>
          <w:bdr w:val="none" w:sz="0" w:space="0" w:color="auto" w:frame="1"/>
          <w:lang w:eastAsia="es-ES"/>
        </w:rPr>
        <w:t>quasi</w:t>
      </w:r>
      <w:proofErr w:type="spellEnd"/>
      <w:r w:rsidRPr="009B4DB5">
        <w:rPr>
          <w:rFonts w:eastAsia="Times New Roman" w:cstheme="minorHAnsi"/>
          <w:color w:val="000000" w:themeColor="text1"/>
          <w:sz w:val="20"/>
          <w:szCs w:val="20"/>
          <w:bdr w:val="none" w:sz="0" w:space="0" w:color="auto" w:frame="1"/>
          <w:lang w:eastAsia="es-ES"/>
        </w:rPr>
        <w:t xml:space="preserve">) transmutación socio-jurídica de la hipoteca sobre la vivienda habitual": </w:t>
      </w:r>
      <w:r w:rsidRPr="009B4DB5">
        <w:rPr>
          <w:rFonts w:eastAsia="Times New Roman" w:cstheme="minorHAnsi"/>
          <w:i/>
          <w:color w:val="000000" w:themeColor="text1"/>
          <w:sz w:val="20"/>
          <w:szCs w:val="20"/>
          <w:bdr w:val="none" w:sz="0" w:space="0" w:color="auto" w:frame="1"/>
          <w:lang w:eastAsia="es-ES"/>
        </w:rPr>
        <w:t>Anuario de Derecho Civil</w:t>
      </w:r>
      <w:r w:rsidRPr="009B4DB5">
        <w:rPr>
          <w:rFonts w:eastAsia="Times New Roman" w:cstheme="minorHAnsi"/>
          <w:color w:val="000000" w:themeColor="text1"/>
          <w:sz w:val="20"/>
          <w:szCs w:val="20"/>
          <w:bdr w:val="none" w:sz="0" w:space="0" w:color="auto" w:frame="1"/>
          <w:lang w:eastAsia="es-ES"/>
        </w:rPr>
        <w:t>, fasc. 1, 2020, pp. 143-239.</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bdr w:val="none" w:sz="0" w:space="0" w:color="auto" w:frame="1"/>
          <w:lang w:eastAsia="es-ES"/>
        </w:rPr>
      </w:pPr>
    </w:p>
    <w:p w:rsidR="00181687" w:rsidRDefault="00181687"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bdr w:val="none" w:sz="0" w:space="0" w:color="auto" w:frame="1"/>
          <w:lang w:eastAsia="es-ES"/>
        </w:rPr>
      </w:pPr>
      <w:r w:rsidRPr="009B4DB5">
        <w:rPr>
          <w:rFonts w:eastAsia="Times New Roman" w:cstheme="minorHAnsi"/>
          <w:color w:val="000000" w:themeColor="text1"/>
          <w:sz w:val="20"/>
          <w:szCs w:val="20"/>
          <w:bdr w:val="none" w:sz="0" w:space="0" w:color="auto" w:frame="1"/>
          <w:lang w:eastAsia="es-ES"/>
        </w:rPr>
        <w:t xml:space="preserve">BASTANTE GRANELL, V. </w:t>
      </w:r>
      <w:r w:rsidRPr="009B4DB5">
        <w:rPr>
          <w:rFonts w:eastAsia="Times New Roman" w:cstheme="minorHAnsi"/>
          <w:i/>
          <w:color w:val="000000" w:themeColor="text1"/>
          <w:sz w:val="20"/>
          <w:szCs w:val="20"/>
          <w:bdr w:val="none" w:sz="0" w:space="0" w:color="auto" w:frame="1"/>
          <w:lang w:eastAsia="es-ES"/>
        </w:rPr>
        <w:t>Sobreendeudamiento y protección de los consumidores. Análisis comparado de los modelos francés y español</w:t>
      </w:r>
      <w:r w:rsidRPr="009B4DB5">
        <w:rPr>
          <w:rFonts w:eastAsia="Times New Roman" w:cstheme="minorHAnsi"/>
          <w:color w:val="000000" w:themeColor="text1"/>
          <w:sz w:val="20"/>
          <w:szCs w:val="20"/>
          <w:bdr w:val="none" w:sz="0" w:space="0" w:color="auto" w:frame="1"/>
          <w:lang w:eastAsia="es-ES"/>
        </w:rPr>
        <w:t>. Madrid: Reus, 2020, 300 pp.</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bdr w:val="none" w:sz="0" w:space="0" w:color="auto" w:frame="1"/>
          <w:lang w:eastAsia="es-ES"/>
        </w:rPr>
      </w:pPr>
    </w:p>
    <w:p w:rsidR="003C7E66" w:rsidRPr="003C7E66" w:rsidRDefault="00CF6D6C"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38" w:history="1">
        <w:r w:rsidR="00181687" w:rsidRPr="009B4DB5">
          <w:rPr>
            <w:rFonts w:eastAsia="Times New Roman" w:cstheme="minorHAnsi"/>
            <w:caps/>
            <w:color w:val="000000" w:themeColor="text1"/>
            <w:sz w:val="20"/>
            <w:szCs w:val="20"/>
            <w:bdr w:val="none" w:sz="0" w:space="0" w:color="auto" w:frame="1"/>
            <w:lang w:eastAsia="es-ES"/>
          </w:rPr>
          <w:t>Beneyto Pallás</w:t>
        </w:r>
      </w:hyperlink>
      <w:r w:rsidR="00181687" w:rsidRPr="009B4DB5">
        <w:rPr>
          <w:rFonts w:eastAsia="Times New Roman" w:cstheme="minorHAnsi"/>
          <w:caps/>
          <w:color w:val="000000" w:themeColor="text1"/>
          <w:sz w:val="20"/>
          <w:szCs w:val="20"/>
          <w:bdr w:val="none" w:sz="0" w:space="0" w:color="auto" w:frame="1"/>
          <w:lang w:eastAsia="es-ES"/>
        </w:rPr>
        <w:t>, K</w:t>
      </w:r>
      <w:r w:rsidR="00181687" w:rsidRPr="009B4DB5">
        <w:rPr>
          <w:rFonts w:eastAsia="Times New Roman" w:cstheme="minorHAnsi"/>
          <w:color w:val="000000" w:themeColor="text1"/>
          <w:sz w:val="20"/>
          <w:szCs w:val="20"/>
          <w:bdr w:val="none" w:sz="0" w:space="0" w:color="auto" w:frame="1"/>
          <w:lang w:eastAsia="es-ES"/>
        </w:rPr>
        <w:t>. “Tratamiento de las cláusulas IRPH tras la STJUE de 3 de marzo de 2020Asunto C-125/</w:t>
      </w:r>
      <w:proofErr w:type="gramStart"/>
      <w:r w:rsidR="00181687" w:rsidRPr="009B4DB5">
        <w:rPr>
          <w:rFonts w:eastAsia="Times New Roman" w:cstheme="minorHAnsi"/>
          <w:color w:val="000000" w:themeColor="text1"/>
          <w:sz w:val="20"/>
          <w:szCs w:val="20"/>
          <w:bdr w:val="none" w:sz="0" w:space="0" w:color="auto" w:frame="1"/>
          <w:lang w:eastAsia="es-ES"/>
        </w:rPr>
        <w:t>18 :</w:t>
      </w:r>
      <w:proofErr w:type="gramEnd"/>
      <w:r w:rsidR="00181687" w:rsidRPr="009B4DB5">
        <w:rPr>
          <w:rFonts w:eastAsia="Times New Roman" w:cstheme="minorHAnsi"/>
          <w:color w:val="000000" w:themeColor="text1"/>
          <w:sz w:val="20"/>
          <w:szCs w:val="20"/>
          <w:bdr w:val="none" w:sz="0" w:space="0" w:color="auto" w:frame="1"/>
          <w:lang w:eastAsia="es-ES"/>
        </w:rPr>
        <w:t xml:space="preserve"> interpretación y efectos derivados de su nulidad”:</w:t>
      </w:r>
      <w:r w:rsidR="00181687" w:rsidRPr="009B4DB5">
        <w:rPr>
          <w:rFonts w:eastAsia="Times New Roman" w:cstheme="minorHAnsi"/>
          <w:color w:val="000000" w:themeColor="text1"/>
          <w:sz w:val="20"/>
          <w:szCs w:val="20"/>
          <w:lang w:eastAsia="es-ES"/>
        </w:rPr>
        <w:t xml:space="preserve"> </w:t>
      </w:r>
      <w:hyperlink r:id="rId39" w:history="1">
        <w:r w:rsidR="00181687" w:rsidRPr="009B4DB5">
          <w:rPr>
            <w:rFonts w:eastAsia="Times New Roman" w:cstheme="minorHAnsi"/>
            <w:i/>
            <w:color w:val="000000" w:themeColor="text1"/>
            <w:sz w:val="20"/>
            <w:szCs w:val="20"/>
            <w:bdr w:val="none" w:sz="0" w:space="0" w:color="auto" w:frame="1"/>
            <w:lang w:eastAsia="es-ES"/>
          </w:rPr>
          <w:t>Revista jurídica de la Comunidad Valenciana</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40" w:history="1">
        <w:r w:rsidR="00181687" w:rsidRPr="009B4DB5">
          <w:rPr>
            <w:rFonts w:eastAsia="Times New Roman" w:cstheme="minorHAnsi"/>
            <w:color w:val="000000" w:themeColor="text1"/>
            <w:sz w:val="20"/>
            <w:szCs w:val="20"/>
            <w:bdr w:val="none" w:sz="0" w:space="0" w:color="auto" w:frame="1"/>
            <w:lang w:eastAsia="es-ES"/>
          </w:rPr>
          <w:t>nº. 74, 2020</w:t>
        </w:r>
      </w:hyperlink>
      <w:r w:rsidR="00181687" w:rsidRPr="009B4DB5">
        <w:rPr>
          <w:rFonts w:eastAsia="Times New Roman" w:cstheme="minorHAnsi"/>
          <w:color w:val="000000" w:themeColor="text1"/>
          <w:sz w:val="20"/>
          <w:szCs w:val="20"/>
          <w:bdr w:val="none" w:sz="0" w:space="0" w:color="auto" w:frame="1"/>
          <w:lang w:eastAsia="es-ES"/>
        </w:rPr>
        <w:t>, págs. 5-20.</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Bermúdez Ballesteros</w:t>
      </w:r>
      <w:r w:rsidRPr="003C7E66">
        <w:rPr>
          <w:rFonts w:cstheme="minorHAnsi"/>
          <w:sz w:val="20"/>
          <w:szCs w:val="20"/>
        </w:rPr>
        <w:t xml:space="preserve">, M. R. “Abonada una señal por la compra de dos vestidos, de novia y de madrina, si se suspende el enlace matrimonial por motivo del COVID-19: ¿puede la consumidora cancelar la compra y exigir la devolución de la entrega a cuenta que realizó?”: </w:t>
      </w:r>
      <w:r w:rsidRPr="003C7E66">
        <w:rPr>
          <w:rFonts w:cstheme="minorHAnsi"/>
          <w:i/>
          <w:sz w:val="20"/>
          <w:szCs w:val="20"/>
        </w:rPr>
        <w:t>Publicaciones jurídicas CESCO</w:t>
      </w:r>
      <w:r w:rsidRPr="003C7E66">
        <w:rPr>
          <w:rFonts w:cstheme="minorHAnsi"/>
          <w:sz w:val="20"/>
          <w:szCs w:val="20"/>
        </w:rPr>
        <w:t>, mayo 2020.</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Bermúdez Ballesteros</w:t>
      </w:r>
      <w:r w:rsidRPr="003C7E66">
        <w:rPr>
          <w:rFonts w:cstheme="minorHAnsi"/>
          <w:sz w:val="20"/>
          <w:szCs w:val="20"/>
        </w:rPr>
        <w:t xml:space="preserve">, M. R. “Algunas cuestiones relacionadas con la cancelación de las compras de vestidos de comunión por motivo del COVID-19”: </w:t>
      </w:r>
      <w:r w:rsidRPr="003C7E66">
        <w:rPr>
          <w:rFonts w:cstheme="minorHAnsi"/>
          <w:i/>
          <w:sz w:val="20"/>
          <w:szCs w:val="20"/>
        </w:rPr>
        <w:t>Publicaciones jurídicas CESCO</w:t>
      </w:r>
      <w:r w:rsidRPr="003C7E66">
        <w:rPr>
          <w:rFonts w:cstheme="minorHAnsi"/>
          <w:sz w:val="20"/>
          <w:szCs w:val="20"/>
        </w:rPr>
        <w:t>, mayo 2020.</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Bermúdez Ballesteros</w:t>
      </w:r>
      <w:r w:rsidRPr="003C7E66">
        <w:rPr>
          <w:rFonts w:cstheme="minorHAnsi"/>
          <w:sz w:val="20"/>
          <w:szCs w:val="20"/>
        </w:rPr>
        <w:t xml:space="preserve">, M. R. “Cancelación de banquete de celebración de boda el mismo día en que se decretó el estado de alarma”: </w:t>
      </w:r>
      <w:r w:rsidRPr="003C7E66">
        <w:rPr>
          <w:rFonts w:cstheme="minorHAnsi"/>
          <w:i/>
          <w:sz w:val="20"/>
          <w:szCs w:val="20"/>
        </w:rPr>
        <w:t>Publicaciones jurídicas CESCO</w:t>
      </w:r>
      <w:r w:rsidRPr="003C7E66">
        <w:rPr>
          <w:rFonts w:cstheme="minorHAnsi"/>
          <w:sz w:val="20"/>
          <w:szCs w:val="20"/>
        </w:rPr>
        <w:t>, mayo 2020.</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Bermúdez Ballesteros</w:t>
      </w:r>
      <w:r w:rsidRPr="003C7E66">
        <w:rPr>
          <w:rFonts w:cstheme="minorHAnsi"/>
          <w:sz w:val="20"/>
          <w:szCs w:val="20"/>
        </w:rPr>
        <w:t xml:space="preserve">, M. R. “Los contratos de crédito al consumo deben especificar de forma clara y concisa el modo de computar el plazo de desistimiento”: </w:t>
      </w:r>
      <w:r w:rsidRPr="003C7E66">
        <w:rPr>
          <w:rFonts w:cstheme="minorHAnsi"/>
          <w:i/>
          <w:sz w:val="20"/>
          <w:szCs w:val="20"/>
        </w:rPr>
        <w:t>Publicaciones jurídicas CESCO</w:t>
      </w:r>
      <w:r w:rsidRPr="003C7E66">
        <w:rPr>
          <w:rFonts w:cstheme="minorHAnsi"/>
          <w:sz w:val="20"/>
          <w:szCs w:val="20"/>
        </w:rPr>
        <w:t>, mayo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CB0E41" w:rsidRDefault="00CF6D6C"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41" w:history="1">
        <w:r w:rsidR="00181687" w:rsidRPr="009B4DB5">
          <w:rPr>
            <w:rFonts w:eastAsia="Times New Roman" w:cstheme="minorHAnsi"/>
            <w:caps/>
            <w:color w:val="000000" w:themeColor="text1"/>
            <w:sz w:val="20"/>
            <w:szCs w:val="20"/>
            <w:bdr w:val="none" w:sz="0" w:space="0" w:color="auto" w:frame="1"/>
            <w:lang w:eastAsia="es-ES"/>
          </w:rPr>
          <w:t>Berrocal Lanzarot</w:t>
        </w:r>
      </w:hyperlink>
      <w:r w:rsidR="00181687" w:rsidRPr="009B4DB5">
        <w:rPr>
          <w:rFonts w:eastAsia="Times New Roman" w:cstheme="minorHAnsi"/>
          <w:color w:val="000000" w:themeColor="text1"/>
          <w:sz w:val="20"/>
          <w:szCs w:val="20"/>
          <w:bdr w:val="none" w:sz="0" w:space="0" w:color="auto" w:frame="1"/>
          <w:lang w:eastAsia="es-ES"/>
        </w:rPr>
        <w:t xml:space="preserve">, A. I. “Crédito </w:t>
      </w:r>
      <w:proofErr w:type="spellStart"/>
      <w:r w:rsidR="00181687" w:rsidRPr="009B4DB5">
        <w:rPr>
          <w:rFonts w:eastAsia="Times New Roman" w:cstheme="minorHAnsi"/>
          <w:color w:val="000000" w:themeColor="text1"/>
          <w:sz w:val="20"/>
          <w:szCs w:val="20"/>
          <w:bdr w:val="none" w:sz="0" w:space="0" w:color="auto" w:frame="1"/>
          <w:lang w:eastAsia="es-ES"/>
        </w:rPr>
        <w:t>revolving</w:t>
      </w:r>
      <w:proofErr w:type="spellEnd"/>
      <w:r w:rsidR="00181687" w:rsidRPr="009B4DB5">
        <w:rPr>
          <w:rFonts w:eastAsia="Times New Roman" w:cstheme="minorHAnsi"/>
          <w:color w:val="000000" w:themeColor="text1"/>
          <w:sz w:val="20"/>
          <w:szCs w:val="20"/>
          <w:bdr w:val="none" w:sz="0" w:space="0" w:color="auto" w:frame="1"/>
          <w:lang w:eastAsia="es-ES"/>
        </w:rPr>
        <w:t xml:space="preserve"> o rotativo y usura (1ª parte)”:</w:t>
      </w:r>
      <w:r w:rsidR="00181687" w:rsidRPr="009B4DB5">
        <w:rPr>
          <w:rFonts w:eastAsia="Times New Roman" w:cstheme="minorHAnsi"/>
          <w:color w:val="000000" w:themeColor="text1"/>
          <w:sz w:val="20"/>
          <w:szCs w:val="20"/>
          <w:lang w:eastAsia="es-ES"/>
        </w:rPr>
        <w:t xml:space="preserve"> </w:t>
      </w:r>
      <w:hyperlink r:id="rId42" w:history="1">
        <w:r w:rsidR="00181687" w:rsidRPr="009B4DB5">
          <w:rPr>
            <w:rFonts w:eastAsia="Times New Roman" w:cstheme="minorHAnsi"/>
            <w:i/>
            <w:color w:val="000000" w:themeColor="text1"/>
            <w:sz w:val="20"/>
            <w:szCs w:val="20"/>
            <w:bdr w:val="none" w:sz="0" w:space="0" w:color="auto" w:frame="1"/>
            <w:lang w:eastAsia="es-ES"/>
          </w:rPr>
          <w:t>Revista de Derecho, Empresa y Sociedad (REDS)</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43" w:history="1">
        <w:r w:rsidR="00181687" w:rsidRPr="009B4DB5">
          <w:rPr>
            <w:rFonts w:eastAsia="Times New Roman" w:cstheme="minorHAnsi"/>
            <w:color w:val="000000" w:themeColor="text1"/>
            <w:sz w:val="20"/>
            <w:szCs w:val="20"/>
            <w:bdr w:val="none" w:sz="0" w:space="0" w:color="auto" w:frame="1"/>
            <w:lang w:eastAsia="es-ES"/>
          </w:rPr>
          <w:t>nº. 15, 2020</w:t>
        </w:r>
      </w:hyperlink>
      <w:r w:rsidR="00181687" w:rsidRPr="009B4DB5">
        <w:rPr>
          <w:rFonts w:eastAsia="Times New Roman" w:cstheme="minorHAnsi"/>
          <w:color w:val="000000" w:themeColor="text1"/>
          <w:sz w:val="20"/>
          <w:szCs w:val="20"/>
          <w:bdr w:val="none" w:sz="0" w:space="0" w:color="auto" w:frame="1"/>
          <w:lang w:eastAsia="es-ES"/>
        </w:rPr>
        <w:t>, págs. 55-100.</w:t>
      </w:r>
    </w:p>
    <w:p w:rsidR="00CB0E41" w:rsidRPr="003C7E66" w:rsidRDefault="00CB0E41" w:rsidP="00CB0E41">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Buenosvinos González, H</w:t>
      </w:r>
      <w:r w:rsidRPr="003C7E66">
        <w:rPr>
          <w:rFonts w:cstheme="minorHAnsi"/>
          <w:sz w:val="20"/>
          <w:szCs w:val="20"/>
        </w:rPr>
        <w:t xml:space="preserve">. “El sistema </w:t>
      </w:r>
      <w:proofErr w:type="spellStart"/>
      <w:r w:rsidRPr="003C7E66">
        <w:rPr>
          <w:rFonts w:cstheme="minorHAnsi"/>
          <w:sz w:val="20"/>
          <w:szCs w:val="20"/>
        </w:rPr>
        <w:t>revolving</w:t>
      </w:r>
      <w:proofErr w:type="spellEnd"/>
      <w:r w:rsidRPr="003C7E66">
        <w:rPr>
          <w:rFonts w:cstheme="minorHAnsi"/>
          <w:sz w:val="20"/>
          <w:szCs w:val="20"/>
        </w:rPr>
        <w:t>. Una deuda que se eterniza no explicada por el Tribunal Supremo”:</w:t>
      </w:r>
      <w:r w:rsidRPr="003C7E66">
        <w:rPr>
          <w:rFonts w:cstheme="minorHAnsi"/>
          <w:i/>
          <w:sz w:val="20"/>
          <w:szCs w:val="20"/>
        </w:rPr>
        <w:t xml:space="preserve"> Publicaciones jurídicas CESCO</w:t>
      </w:r>
      <w:r w:rsidRPr="003C7E66">
        <w:rPr>
          <w:rFonts w:cstheme="minorHAnsi"/>
          <w:sz w:val="20"/>
          <w:szCs w:val="20"/>
        </w:rPr>
        <w:t>, abril 2020.</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Busto Lago, J. M</w:t>
      </w:r>
      <w:r w:rsidRPr="003C7E66">
        <w:rPr>
          <w:rFonts w:cstheme="minorHAnsi"/>
          <w:sz w:val="20"/>
          <w:szCs w:val="20"/>
        </w:rPr>
        <w:t>. “La STS-</w:t>
      </w:r>
      <w:proofErr w:type="spellStart"/>
      <w:r w:rsidRPr="003C7E66">
        <w:rPr>
          <w:rFonts w:cstheme="minorHAnsi"/>
          <w:sz w:val="20"/>
          <w:szCs w:val="20"/>
        </w:rPr>
        <w:t>WiZink</w:t>
      </w:r>
      <w:proofErr w:type="spellEnd"/>
      <w:r w:rsidRPr="003C7E66">
        <w:rPr>
          <w:rFonts w:cstheme="minorHAnsi"/>
          <w:sz w:val="20"/>
          <w:szCs w:val="20"/>
        </w:rPr>
        <w:t xml:space="preserve">: la </w:t>
      </w:r>
      <w:proofErr w:type="spellStart"/>
      <w:r w:rsidRPr="003C7E66">
        <w:rPr>
          <w:rFonts w:cstheme="minorHAnsi"/>
          <w:sz w:val="20"/>
          <w:szCs w:val="20"/>
        </w:rPr>
        <w:t>mutualización</w:t>
      </w:r>
      <w:proofErr w:type="spellEnd"/>
      <w:r w:rsidRPr="003C7E66">
        <w:rPr>
          <w:rFonts w:cstheme="minorHAnsi"/>
          <w:sz w:val="20"/>
          <w:szCs w:val="20"/>
        </w:rPr>
        <w:t xml:space="preserve"> del riesgo de impago del prestatario”:</w:t>
      </w:r>
      <w:r w:rsidRPr="003C7E66">
        <w:rPr>
          <w:rFonts w:cstheme="minorHAnsi"/>
          <w:i/>
          <w:sz w:val="20"/>
          <w:szCs w:val="20"/>
        </w:rPr>
        <w:t xml:space="preserve"> Publicaciones jurídicas CESCO</w:t>
      </w:r>
      <w:r w:rsidRPr="003C7E66">
        <w:rPr>
          <w:rFonts w:cstheme="minorHAnsi"/>
          <w:sz w:val="20"/>
          <w:szCs w:val="20"/>
        </w:rPr>
        <w:t>, abril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7035A" w:rsidRPr="0017035A" w:rsidRDefault="00CF6D6C" w:rsidP="0017035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44" w:history="1">
        <w:r w:rsidR="00181687" w:rsidRPr="009B4DB5">
          <w:rPr>
            <w:rFonts w:eastAsia="Times New Roman" w:cstheme="minorHAnsi"/>
            <w:caps/>
            <w:color w:val="000000" w:themeColor="text1"/>
            <w:sz w:val="20"/>
            <w:szCs w:val="20"/>
            <w:bdr w:val="none" w:sz="0" w:space="0" w:color="auto" w:frame="1"/>
            <w:lang w:eastAsia="es-ES"/>
          </w:rPr>
          <w:t>Cabanas Trejo</w:t>
        </w:r>
      </w:hyperlink>
      <w:r w:rsidR="00181687" w:rsidRPr="009B4DB5">
        <w:rPr>
          <w:rFonts w:eastAsia="Times New Roman" w:cstheme="minorHAnsi"/>
          <w:caps/>
          <w:color w:val="000000" w:themeColor="text1"/>
          <w:sz w:val="20"/>
          <w:szCs w:val="20"/>
          <w:bdr w:val="none" w:sz="0" w:space="0" w:color="auto" w:frame="1"/>
          <w:lang w:eastAsia="es-ES"/>
        </w:rPr>
        <w:t xml:space="preserve">, R.; </w:t>
      </w:r>
      <w:hyperlink r:id="rId45" w:history="1">
        <w:r w:rsidR="00181687" w:rsidRPr="009B4DB5">
          <w:rPr>
            <w:rFonts w:eastAsia="Times New Roman" w:cstheme="minorHAnsi"/>
            <w:caps/>
            <w:color w:val="000000" w:themeColor="text1"/>
            <w:sz w:val="20"/>
            <w:szCs w:val="20"/>
            <w:bdr w:val="none" w:sz="0" w:space="0" w:color="auto" w:frame="1"/>
            <w:lang w:eastAsia="es-ES"/>
          </w:rPr>
          <w:t>Rivas Ruiz</w:t>
        </w:r>
      </w:hyperlink>
      <w:r w:rsidR="00181687" w:rsidRPr="009B4DB5">
        <w:rPr>
          <w:rFonts w:eastAsia="Times New Roman" w:cstheme="minorHAnsi"/>
          <w:caps/>
          <w:color w:val="000000" w:themeColor="text1"/>
          <w:sz w:val="20"/>
          <w:szCs w:val="20"/>
          <w:bdr w:val="none" w:sz="0" w:space="0" w:color="auto" w:frame="1"/>
          <w:lang w:eastAsia="es-ES"/>
        </w:rPr>
        <w:t>, A</w:t>
      </w:r>
      <w:r w:rsidR="00181687" w:rsidRPr="009B4DB5">
        <w:rPr>
          <w:rFonts w:eastAsia="Times New Roman" w:cstheme="minorHAnsi"/>
          <w:color w:val="000000" w:themeColor="text1"/>
          <w:sz w:val="20"/>
          <w:szCs w:val="20"/>
          <w:bdr w:val="none" w:sz="0" w:space="0" w:color="auto" w:frame="1"/>
          <w:lang w:eastAsia="es-ES"/>
        </w:rPr>
        <w:t>. “Legislar en tiempos del coronavirus: la moratoria hipotecaria o cómo lo urgente no deja tiempo para lo importante”:</w:t>
      </w:r>
      <w:r w:rsidR="00181687" w:rsidRPr="009B4DB5">
        <w:rPr>
          <w:rFonts w:eastAsia="Times New Roman" w:cstheme="minorHAnsi"/>
          <w:color w:val="000000" w:themeColor="text1"/>
          <w:sz w:val="20"/>
          <w:szCs w:val="20"/>
          <w:lang w:eastAsia="es-ES"/>
        </w:rPr>
        <w:t xml:space="preserve"> </w:t>
      </w:r>
      <w:hyperlink r:id="rId46" w:history="1">
        <w:r w:rsidR="00181687" w:rsidRPr="009B4DB5">
          <w:rPr>
            <w:rFonts w:eastAsia="Times New Roman" w:cstheme="minorHAnsi"/>
            <w:i/>
            <w:color w:val="000000" w:themeColor="text1"/>
            <w:sz w:val="20"/>
            <w:szCs w:val="20"/>
            <w:bdr w:val="none" w:sz="0" w:space="0" w:color="auto" w:frame="1"/>
            <w:lang w:eastAsia="es-ES"/>
          </w:rPr>
          <w:t>El notario del siglo XXI: revista del Colegio Notarial de Madrid</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47" w:history="1">
        <w:r w:rsidR="00181687" w:rsidRPr="009B4DB5">
          <w:rPr>
            <w:rFonts w:eastAsia="Times New Roman" w:cstheme="minorHAnsi"/>
            <w:color w:val="000000" w:themeColor="text1"/>
            <w:sz w:val="20"/>
            <w:szCs w:val="20"/>
            <w:bdr w:val="none" w:sz="0" w:space="0" w:color="auto" w:frame="1"/>
            <w:lang w:eastAsia="es-ES"/>
          </w:rPr>
          <w:t>nº. 90, 2020</w:t>
        </w:r>
      </w:hyperlink>
      <w:r w:rsidR="00181687" w:rsidRPr="009B4DB5">
        <w:rPr>
          <w:rFonts w:eastAsia="Times New Roman" w:cstheme="minorHAnsi"/>
          <w:color w:val="000000" w:themeColor="text1"/>
          <w:sz w:val="20"/>
          <w:szCs w:val="20"/>
          <w:bdr w:val="none" w:sz="0" w:space="0" w:color="auto" w:frame="1"/>
          <w:lang w:eastAsia="es-ES"/>
        </w:rPr>
        <w:t>, págs. 14-21.</w:t>
      </w:r>
    </w:p>
    <w:p w:rsidR="0017035A" w:rsidRPr="0017035A" w:rsidRDefault="0017035A" w:rsidP="0017035A">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Default="0017035A"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17035A">
        <w:rPr>
          <w:rFonts w:eastAsia="Times New Roman" w:cstheme="minorHAnsi"/>
          <w:caps/>
          <w:color w:val="000000" w:themeColor="text1"/>
          <w:sz w:val="20"/>
          <w:szCs w:val="20"/>
          <w:lang w:eastAsia="es-ES"/>
        </w:rPr>
        <w:t>Callejo Carrión</w:t>
      </w:r>
      <w:r w:rsidRPr="0017035A">
        <w:rPr>
          <w:rFonts w:eastAsia="Times New Roman" w:cstheme="minorHAnsi"/>
          <w:color w:val="000000" w:themeColor="text1"/>
          <w:sz w:val="20"/>
          <w:szCs w:val="20"/>
          <w:lang w:eastAsia="es-ES"/>
        </w:rPr>
        <w:t xml:space="preserve">, S. El </w:t>
      </w:r>
      <w:proofErr w:type="spellStart"/>
      <w:r w:rsidRPr="0017035A">
        <w:rPr>
          <w:rFonts w:eastAsia="Times New Roman" w:cstheme="minorHAnsi"/>
          <w:color w:val="000000" w:themeColor="text1"/>
          <w:sz w:val="20"/>
          <w:szCs w:val="20"/>
          <w:lang w:eastAsia="es-ES"/>
        </w:rPr>
        <w:t>revolving</w:t>
      </w:r>
      <w:proofErr w:type="spellEnd"/>
      <w:r w:rsidRPr="0017035A">
        <w:rPr>
          <w:rFonts w:eastAsia="Times New Roman" w:cstheme="minorHAnsi"/>
          <w:color w:val="000000" w:themeColor="text1"/>
          <w:sz w:val="20"/>
          <w:szCs w:val="20"/>
          <w:lang w:eastAsia="es-ES"/>
        </w:rPr>
        <w:t xml:space="preserve"> y la nueva sentencia del tribunal supremo (o acaso no tan novedosa): Cuidado con las tarjetas de crédito que las carga el diablo”: </w:t>
      </w:r>
      <w:r w:rsidRPr="0017035A">
        <w:rPr>
          <w:rFonts w:eastAsia="Times New Roman" w:cstheme="minorHAnsi"/>
          <w:i/>
          <w:color w:val="000000" w:themeColor="text1"/>
          <w:sz w:val="20"/>
          <w:szCs w:val="20"/>
          <w:lang w:eastAsia="es-ES"/>
        </w:rPr>
        <w:t xml:space="preserve">Revista de Derecho </w:t>
      </w:r>
      <w:proofErr w:type="spellStart"/>
      <w:r w:rsidRPr="0017035A">
        <w:rPr>
          <w:rFonts w:eastAsia="Times New Roman" w:cstheme="minorHAnsi"/>
          <w:i/>
          <w:color w:val="000000" w:themeColor="text1"/>
          <w:sz w:val="20"/>
          <w:szCs w:val="20"/>
          <w:lang w:eastAsia="es-ES"/>
        </w:rPr>
        <w:t>vLex</w:t>
      </w:r>
      <w:proofErr w:type="spellEnd"/>
      <w:r w:rsidR="003C7E66">
        <w:rPr>
          <w:rFonts w:eastAsia="Times New Roman" w:cstheme="minorHAnsi"/>
          <w:color w:val="000000" w:themeColor="text1"/>
          <w:sz w:val="20"/>
          <w:szCs w:val="20"/>
          <w:lang w:eastAsia="es-ES"/>
        </w:rPr>
        <w:t>, nº. 191, Abril 2020.</w:t>
      </w:r>
    </w:p>
    <w:p w:rsid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Canle Fernández, J.</w:t>
      </w:r>
      <w:r w:rsidRPr="003C7E66">
        <w:rPr>
          <w:rFonts w:cstheme="minorHAnsi"/>
          <w:sz w:val="20"/>
          <w:szCs w:val="20"/>
        </w:rPr>
        <w:t xml:space="preserve"> I. “Comentario a la STS nº 149/2020, de 4 de marzo. Sobre el “interés”, el “interés normal del dinero”, a la luz de la tipología contractual y de las estadísticas del Banco de España”:</w:t>
      </w:r>
      <w:r w:rsidRPr="003C7E66">
        <w:rPr>
          <w:rFonts w:cstheme="minorHAnsi"/>
          <w:i/>
          <w:sz w:val="20"/>
          <w:szCs w:val="20"/>
        </w:rPr>
        <w:t xml:space="preserve"> Publicaciones jurídicas CESCO</w:t>
      </w:r>
      <w:r w:rsidRPr="003C7E66">
        <w:rPr>
          <w:rFonts w:cstheme="minorHAnsi"/>
          <w:sz w:val="20"/>
          <w:szCs w:val="20"/>
        </w:rPr>
        <w:t>, abril 2020.</w:t>
      </w:r>
    </w:p>
    <w:p w:rsid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Carrasco Perera</w:t>
      </w:r>
      <w:r w:rsidRPr="003C7E66">
        <w:rPr>
          <w:rFonts w:cstheme="minorHAnsi"/>
          <w:sz w:val="20"/>
          <w:szCs w:val="20"/>
        </w:rPr>
        <w:t xml:space="preserve">, A. “¿Quién soporta el riesgo económico del gimnasio cerrado en estado de alarma? ¿La empresa o el usuario?”: </w:t>
      </w:r>
      <w:r w:rsidRPr="003C7E66">
        <w:rPr>
          <w:rFonts w:cstheme="minorHAnsi"/>
          <w:i/>
          <w:sz w:val="20"/>
          <w:szCs w:val="20"/>
        </w:rPr>
        <w:t>Publicaciones jurídicas CESCO</w:t>
      </w:r>
      <w:r w:rsidRPr="003C7E66">
        <w:rPr>
          <w:rFonts w:cstheme="minorHAnsi"/>
          <w:sz w:val="20"/>
          <w:szCs w:val="20"/>
        </w:rPr>
        <w:t xml:space="preserve">, abril 2020. </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Carrasco Perera</w:t>
      </w:r>
      <w:r w:rsidRPr="003C7E66">
        <w:rPr>
          <w:rFonts w:cstheme="minorHAnsi"/>
          <w:sz w:val="20"/>
          <w:szCs w:val="20"/>
        </w:rPr>
        <w:t xml:space="preserve">, A. “Permítame que le cuenta la verdad sobre COVID-19 y fuerza mayor”: </w:t>
      </w:r>
      <w:r w:rsidRPr="003C7E66">
        <w:rPr>
          <w:rFonts w:cstheme="minorHAnsi"/>
          <w:i/>
          <w:sz w:val="20"/>
          <w:szCs w:val="20"/>
        </w:rPr>
        <w:t>Publicaciones jurídicas CESCO</w:t>
      </w:r>
      <w:r w:rsidRPr="003C7E66">
        <w:rPr>
          <w:rFonts w:cstheme="minorHAnsi"/>
          <w:sz w:val="20"/>
          <w:szCs w:val="20"/>
        </w:rPr>
        <w:t xml:space="preserve">, abril 2020. </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Carrasco Perera</w:t>
      </w:r>
      <w:r w:rsidRPr="003C7E66">
        <w:rPr>
          <w:rFonts w:cstheme="minorHAnsi"/>
          <w:sz w:val="20"/>
          <w:szCs w:val="20"/>
        </w:rPr>
        <w:t xml:space="preserve">, A. “Un modelo contractual para COVID-19: las moratorias como bonos a la vista”: </w:t>
      </w:r>
      <w:r w:rsidRPr="003C7E66">
        <w:rPr>
          <w:rFonts w:cstheme="minorHAnsi"/>
          <w:i/>
          <w:sz w:val="20"/>
          <w:szCs w:val="20"/>
        </w:rPr>
        <w:t>Publicaciones jurídicas CESCO</w:t>
      </w:r>
      <w:r>
        <w:rPr>
          <w:rFonts w:cstheme="minorHAnsi"/>
          <w:sz w:val="20"/>
          <w:szCs w:val="20"/>
        </w:rPr>
        <w:t>, mayo 2020.</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Carrasco Perera</w:t>
      </w:r>
      <w:r w:rsidRPr="003C7E66">
        <w:rPr>
          <w:rFonts w:cstheme="minorHAnsi"/>
          <w:sz w:val="20"/>
          <w:szCs w:val="20"/>
        </w:rPr>
        <w:t>, A. “Al fin la madre de todas las batallas del COVID 19: “</w:t>
      </w:r>
      <w:proofErr w:type="spellStart"/>
      <w:r w:rsidRPr="003C7E66">
        <w:rPr>
          <w:rFonts w:cstheme="minorHAnsi"/>
          <w:sz w:val="20"/>
          <w:szCs w:val="20"/>
        </w:rPr>
        <w:t>rebus</w:t>
      </w:r>
      <w:proofErr w:type="spellEnd"/>
      <w:r w:rsidRPr="003C7E66">
        <w:rPr>
          <w:rFonts w:cstheme="minorHAnsi"/>
          <w:sz w:val="20"/>
          <w:szCs w:val="20"/>
        </w:rPr>
        <w:t xml:space="preserve"> sic </w:t>
      </w:r>
      <w:proofErr w:type="spellStart"/>
      <w:r w:rsidRPr="003C7E66">
        <w:rPr>
          <w:rFonts w:cstheme="minorHAnsi"/>
          <w:sz w:val="20"/>
          <w:szCs w:val="20"/>
        </w:rPr>
        <w:t>stantibus</w:t>
      </w:r>
      <w:proofErr w:type="spellEnd"/>
      <w:r w:rsidRPr="003C7E66">
        <w:rPr>
          <w:rFonts w:cstheme="minorHAnsi"/>
          <w:sz w:val="20"/>
          <w:szCs w:val="20"/>
        </w:rPr>
        <w:t xml:space="preserve">”. Con ocasión de una reciente propuesta institucional”: </w:t>
      </w:r>
      <w:r w:rsidRPr="003C7E66">
        <w:rPr>
          <w:rFonts w:cstheme="minorHAnsi"/>
          <w:i/>
          <w:sz w:val="20"/>
          <w:szCs w:val="20"/>
        </w:rPr>
        <w:t>Publicaciones jurídicas CESCO</w:t>
      </w:r>
      <w:r w:rsidRPr="003C7E66">
        <w:rPr>
          <w:rFonts w:cstheme="minorHAnsi"/>
          <w:sz w:val="20"/>
          <w:szCs w:val="20"/>
        </w:rPr>
        <w:t xml:space="preserve">, mayo 2020. </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CB0E41"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lastRenderedPageBreak/>
        <w:t>Carrasco Perera</w:t>
      </w:r>
      <w:r w:rsidRPr="003C7E66">
        <w:rPr>
          <w:rFonts w:cstheme="minorHAnsi"/>
          <w:sz w:val="20"/>
          <w:szCs w:val="20"/>
        </w:rPr>
        <w:t xml:space="preserve">, A. “¿Podemos excluir por contrato la cláusula </w:t>
      </w:r>
      <w:proofErr w:type="spellStart"/>
      <w:r w:rsidRPr="003C7E66">
        <w:rPr>
          <w:rFonts w:cstheme="minorHAnsi"/>
          <w:sz w:val="20"/>
          <w:szCs w:val="20"/>
        </w:rPr>
        <w:t>rebus</w:t>
      </w:r>
      <w:proofErr w:type="spellEnd"/>
      <w:r w:rsidRPr="003C7E66">
        <w:rPr>
          <w:rFonts w:cstheme="minorHAnsi"/>
          <w:sz w:val="20"/>
          <w:szCs w:val="20"/>
        </w:rPr>
        <w:t xml:space="preserve"> sic </w:t>
      </w:r>
      <w:proofErr w:type="spellStart"/>
      <w:r w:rsidRPr="003C7E66">
        <w:rPr>
          <w:rFonts w:cstheme="minorHAnsi"/>
          <w:sz w:val="20"/>
          <w:szCs w:val="20"/>
        </w:rPr>
        <w:t>stantibus</w:t>
      </w:r>
      <w:proofErr w:type="spellEnd"/>
      <w:r w:rsidRPr="003C7E66">
        <w:rPr>
          <w:rFonts w:cstheme="minorHAnsi"/>
          <w:sz w:val="20"/>
          <w:szCs w:val="20"/>
        </w:rPr>
        <w:t xml:space="preserve">? Un modelo lógico-normativo del cierre del sistema”: </w:t>
      </w:r>
      <w:r w:rsidRPr="003C7E66">
        <w:rPr>
          <w:rFonts w:cstheme="minorHAnsi"/>
          <w:i/>
          <w:sz w:val="20"/>
          <w:szCs w:val="20"/>
        </w:rPr>
        <w:t>Publicaciones jurídicas CESCO</w:t>
      </w:r>
      <w:r w:rsidRPr="003C7E66">
        <w:rPr>
          <w:rFonts w:cstheme="minorHAnsi"/>
          <w:sz w:val="20"/>
          <w:szCs w:val="20"/>
        </w:rPr>
        <w:t xml:space="preserve">, junio 2020. </w:t>
      </w:r>
    </w:p>
    <w:p w:rsidR="00CB0E41" w:rsidRPr="00A248D1" w:rsidRDefault="00CB0E41" w:rsidP="00CB0E41">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bookmarkStart w:id="0" w:name="_GoBack"/>
      <w:bookmarkEnd w:id="0"/>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Carrasco Perera</w:t>
      </w:r>
      <w:r w:rsidRPr="003C7E66">
        <w:rPr>
          <w:rFonts w:cstheme="minorHAnsi"/>
          <w:sz w:val="20"/>
          <w:szCs w:val="20"/>
        </w:rPr>
        <w:t xml:space="preserve">, A. “Este bucle es intrincado. El art. 36.1 Real Decreto-Ley 11/2020 (COVID) pasa por tercera vez por la peluquería del BOE”: </w:t>
      </w:r>
      <w:r w:rsidRPr="003C7E66">
        <w:rPr>
          <w:rFonts w:cstheme="minorHAnsi"/>
          <w:i/>
          <w:sz w:val="20"/>
          <w:szCs w:val="20"/>
        </w:rPr>
        <w:t>Publicaciones jurídicas CESCO</w:t>
      </w:r>
      <w:r w:rsidRPr="003C7E66">
        <w:rPr>
          <w:rFonts w:cstheme="minorHAnsi"/>
          <w:sz w:val="20"/>
          <w:szCs w:val="20"/>
        </w:rPr>
        <w:t xml:space="preserve">, junio 2020. </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Carrasco Perera</w:t>
      </w:r>
      <w:r w:rsidRPr="003C7E66">
        <w:rPr>
          <w:rFonts w:cstheme="minorHAnsi"/>
          <w:sz w:val="20"/>
          <w:szCs w:val="20"/>
        </w:rPr>
        <w:t>, A. “Este bucle es intrincado. El art. 36.1 Real Decreto-Ley 11/2020 (COVID) pasa por tercera vez por la peluquería del BOE”:</w:t>
      </w:r>
      <w:r w:rsidRPr="003C7E66">
        <w:rPr>
          <w:rFonts w:cstheme="minorHAnsi"/>
          <w:i/>
          <w:sz w:val="20"/>
          <w:szCs w:val="20"/>
        </w:rPr>
        <w:t xml:space="preserve"> Publicaciones jurídicas CESCO</w:t>
      </w:r>
      <w:r w:rsidRPr="003C7E66">
        <w:rPr>
          <w:rFonts w:cstheme="minorHAnsi"/>
          <w:sz w:val="20"/>
          <w:szCs w:val="20"/>
        </w:rPr>
        <w:t>, junio 2020.</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3C7E66" w:rsidRPr="003C7E66" w:rsidRDefault="003C7E66" w:rsidP="003C7E66">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Carrasco Perera</w:t>
      </w:r>
      <w:r w:rsidRPr="003C7E66">
        <w:rPr>
          <w:rFonts w:cstheme="minorHAnsi"/>
          <w:sz w:val="20"/>
          <w:szCs w:val="20"/>
        </w:rPr>
        <w:t xml:space="preserve">, A. “La Audiencia de Cantabria establece reglas en materia de usura en contratos de tarjeta </w:t>
      </w:r>
      <w:proofErr w:type="spellStart"/>
      <w:r w:rsidRPr="003C7E66">
        <w:rPr>
          <w:rFonts w:cstheme="minorHAnsi"/>
          <w:sz w:val="20"/>
          <w:szCs w:val="20"/>
        </w:rPr>
        <w:t>revolving</w:t>
      </w:r>
      <w:proofErr w:type="spellEnd"/>
      <w:r w:rsidRPr="003C7E66">
        <w:rPr>
          <w:rFonts w:cstheme="minorHAnsi"/>
          <w:sz w:val="20"/>
          <w:szCs w:val="20"/>
        </w:rPr>
        <w:t>”:</w:t>
      </w:r>
      <w:r w:rsidRPr="003C7E66">
        <w:rPr>
          <w:rFonts w:cstheme="minorHAnsi"/>
          <w:i/>
          <w:sz w:val="20"/>
          <w:szCs w:val="20"/>
        </w:rPr>
        <w:t xml:space="preserve"> Publicaciones jurídicas CESCO</w:t>
      </w:r>
      <w:r w:rsidRPr="003C7E66">
        <w:rPr>
          <w:rFonts w:cstheme="minorHAnsi"/>
          <w:sz w:val="20"/>
          <w:szCs w:val="20"/>
        </w:rPr>
        <w:t>, abril 2020.</w:t>
      </w:r>
    </w:p>
    <w:p w:rsidR="003C7E66" w:rsidRPr="003C7E66" w:rsidRDefault="003C7E66" w:rsidP="003C7E66">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3C7E66"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3C7E66">
        <w:rPr>
          <w:rFonts w:cstheme="minorHAnsi"/>
          <w:caps/>
          <w:sz w:val="20"/>
          <w:szCs w:val="20"/>
        </w:rPr>
        <w:t>Carrasco Perera</w:t>
      </w:r>
      <w:r w:rsidRPr="003C7E66">
        <w:rPr>
          <w:rFonts w:cstheme="minorHAnsi"/>
          <w:sz w:val="20"/>
          <w:szCs w:val="20"/>
        </w:rPr>
        <w:t xml:space="preserve">, A. “Usura de </w:t>
      </w:r>
      <w:proofErr w:type="spellStart"/>
      <w:r w:rsidRPr="003C7E66">
        <w:rPr>
          <w:rFonts w:cstheme="minorHAnsi"/>
          <w:sz w:val="20"/>
          <w:szCs w:val="20"/>
        </w:rPr>
        <w:t>minimis</w:t>
      </w:r>
      <w:proofErr w:type="spellEnd"/>
      <w:r w:rsidRPr="003C7E66">
        <w:rPr>
          <w:rFonts w:cstheme="minorHAnsi"/>
          <w:sz w:val="20"/>
          <w:szCs w:val="20"/>
        </w:rPr>
        <w:t xml:space="preserve"> y usura de </w:t>
      </w:r>
      <w:proofErr w:type="spellStart"/>
      <w:r w:rsidRPr="003C7E66">
        <w:rPr>
          <w:rFonts w:cstheme="minorHAnsi"/>
          <w:sz w:val="20"/>
          <w:szCs w:val="20"/>
        </w:rPr>
        <w:t>maximis</w:t>
      </w:r>
      <w:proofErr w:type="spellEnd"/>
      <w:r w:rsidRPr="003C7E66">
        <w:rPr>
          <w:rFonts w:cstheme="minorHAnsi"/>
          <w:sz w:val="20"/>
          <w:szCs w:val="20"/>
        </w:rPr>
        <w:t>”:</w:t>
      </w:r>
      <w:r w:rsidRPr="003C7E66">
        <w:rPr>
          <w:rFonts w:cstheme="minorHAnsi"/>
          <w:i/>
          <w:sz w:val="20"/>
          <w:szCs w:val="20"/>
        </w:rPr>
        <w:t xml:space="preserve"> Publicaciones jurídicas CESCO</w:t>
      </w:r>
      <w:r w:rsidRPr="003C7E66">
        <w:rPr>
          <w:rFonts w:cstheme="minorHAnsi"/>
          <w:sz w:val="20"/>
          <w:szCs w:val="20"/>
        </w:rPr>
        <w:t>, abril 20</w:t>
      </w:r>
      <w:r>
        <w:rPr>
          <w:rFonts w:cstheme="minorHAnsi"/>
          <w:sz w:val="20"/>
          <w:szCs w:val="20"/>
        </w:rPr>
        <w:t>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Castells Somoza</w:t>
      </w:r>
      <w:r w:rsidRPr="00B03532">
        <w:rPr>
          <w:rFonts w:cstheme="minorHAnsi"/>
          <w:sz w:val="20"/>
          <w:szCs w:val="20"/>
        </w:rPr>
        <w:t xml:space="preserve">, C. “Acciones frente a la publicidad engañosa: legitimación, prescripción y carga de la prueba”: </w:t>
      </w:r>
      <w:r w:rsidRPr="00B03532">
        <w:rPr>
          <w:rFonts w:cstheme="minorHAnsi"/>
          <w:i/>
          <w:sz w:val="20"/>
          <w:szCs w:val="20"/>
        </w:rPr>
        <w:t>Publicaciones jurídicas CESCO</w:t>
      </w:r>
      <w:r w:rsidRPr="00B03532">
        <w:rPr>
          <w:rFonts w:cstheme="minorHAnsi"/>
          <w:sz w:val="20"/>
          <w:szCs w:val="20"/>
        </w:rPr>
        <w:t>, mayo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Castells Somoza</w:t>
      </w:r>
      <w:r w:rsidRPr="00B03532">
        <w:rPr>
          <w:rFonts w:cstheme="minorHAnsi"/>
          <w:sz w:val="20"/>
          <w:szCs w:val="20"/>
        </w:rPr>
        <w:t xml:space="preserve">, C. “Planos de vivienda contratados por consumidores: ¿qué amparo reciben en la Directiva 2011/83?”: </w:t>
      </w:r>
      <w:r w:rsidRPr="00B03532">
        <w:rPr>
          <w:rFonts w:cstheme="minorHAnsi"/>
          <w:i/>
          <w:sz w:val="20"/>
          <w:szCs w:val="20"/>
        </w:rPr>
        <w:t>Publicaciones jurídicas CESCO</w:t>
      </w:r>
      <w:r w:rsidRPr="00B03532">
        <w:rPr>
          <w:rFonts w:cstheme="minorHAnsi"/>
          <w:sz w:val="20"/>
          <w:szCs w:val="20"/>
        </w:rPr>
        <w:t>, junio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CF6D6C"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48" w:history="1">
        <w:r w:rsidR="00181687" w:rsidRPr="009B4DB5">
          <w:rPr>
            <w:rFonts w:eastAsia="Times New Roman" w:cstheme="minorHAnsi"/>
            <w:caps/>
            <w:color w:val="000000" w:themeColor="text1"/>
            <w:sz w:val="20"/>
            <w:szCs w:val="20"/>
            <w:bdr w:val="none" w:sz="0" w:space="0" w:color="auto" w:frame="1"/>
            <w:lang w:eastAsia="es-ES"/>
          </w:rPr>
          <w:t>Cepero Aránguez</w:t>
        </w:r>
      </w:hyperlink>
      <w:r w:rsidR="00181687" w:rsidRPr="009B4DB5">
        <w:rPr>
          <w:rFonts w:eastAsia="Times New Roman" w:cstheme="minorHAnsi"/>
          <w:caps/>
          <w:color w:val="000000" w:themeColor="text1"/>
          <w:sz w:val="20"/>
          <w:szCs w:val="20"/>
          <w:bdr w:val="none" w:sz="0" w:space="0" w:color="auto" w:frame="1"/>
          <w:lang w:eastAsia="es-ES"/>
        </w:rPr>
        <w:t>, M</w:t>
      </w:r>
      <w:r w:rsidR="00181687" w:rsidRPr="009B4DB5">
        <w:rPr>
          <w:rFonts w:eastAsia="Times New Roman" w:cstheme="minorHAnsi"/>
          <w:color w:val="000000" w:themeColor="text1"/>
          <w:sz w:val="20"/>
          <w:szCs w:val="20"/>
          <w:bdr w:val="none" w:sz="0" w:space="0" w:color="auto" w:frame="1"/>
          <w:lang w:eastAsia="es-ES"/>
        </w:rPr>
        <w:t>. A; </w:t>
      </w:r>
      <w:hyperlink r:id="rId49" w:history="1">
        <w:r w:rsidR="00181687" w:rsidRPr="009B4DB5">
          <w:rPr>
            <w:rFonts w:eastAsia="Times New Roman" w:cstheme="minorHAnsi"/>
            <w:color w:val="000000" w:themeColor="text1"/>
            <w:sz w:val="20"/>
            <w:szCs w:val="20"/>
            <w:bdr w:val="none" w:sz="0" w:space="0" w:color="auto" w:frame="1"/>
            <w:lang w:eastAsia="es-ES"/>
          </w:rPr>
          <w:t>Estrada Novo</w:t>
        </w:r>
      </w:hyperlink>
      <w:r w:rsidR="00181687" w:rsidRPr="009B4DB5">
        <w:rPr>
          <w:rFonts w:eastAsia="Times New Roman" w:cstheme="minorHAnsi"/>
          <w:color w:val="000000" w:themeColor="text1"/>
          <w:sz w:val="20"/>
          <w:szCs w:val="20"/>
          <w:bdr w:val="none" w:sz="0" w:space="0" w:color="auto" w:frame="1"/>
          <w:lang w:eastAsia="es-ES"/>
        </w:rPr>
        <w:t xml:space="preserve">, M. “El juicio de </w:t>
      </w:r>
      <w:proofErr w:type="spellStart"/>
      <w:r w:rsidR="00181687" w:rsidRPr="009B4DB5">
        <w:rPr>
          <w:rFonts w:eastAsia="Times New Roman" w:cstheme="minorHAnsi"/>
          <w:color w:val="000000" w:themeColor="text1"/>
          <w:sz w:val="20"/>
          <w:szCs w:val="20"/>
          <w:bdr w:val="none" w:sz="0" w:space="0" w:color="auto" w:frame="1"/>
          <w:lang w:eastAsia="es-ES"/>
        </w:rPr>
        <w:t>abusividad</w:t>
      </w:r>
      <w:proofErr w:type="spellEnd"/>
      <w:r w:rsidR="00181687" w:rsidRPr="009B4DB5">
        <w:rPr>
          <w:rFonts w:eastAsia="Times New Roman" w:cstheme="minorHAnsi"/>
          <w:color w:val="000000" w:themeColor="text1"/>
          <w:sz w:val="20"/>
          <w:szCs w:val="20"/>
          <w:bdr w:val="none" w:sz="0" w:space="0" w:color="auto" w:frame="1"/>
          <w:lang w:eastAsia="es-ES"/>
        </w:rPr>
        <w:t xml:space="preserve"> de las cláusulas de fianza incorporadas en un contrato de préstamo hipotecario a la luz de la Sentencia núm. 56/2020, de 27 de enero, de la Sala Primera del Tribunal Supremo”:</w:t>
      </w:r>
      <w:r w:rsidR="00181687" w:rsidRPr="009B4DB5">
        <w:rPr>
          <w:rFonts w:eastAsia="Times New Roman" w:cstheme="minorHAnsi"/>
          <w:color w:val="000000" w:themeColor="text1"/>
          <w:sz w:val="20"/>
          <w:szCs w:val="20"/>
          <w:lang w:eastAsia="es-ES"/>
        </w:rPr>
        <w:t xml:space="preserve"> </w:t>
      </w:r>
      <w:hyperlink r:id="rId50" w:history="1">
        <w:r w:rsidR="00181687" w:rsidRPr="009B4DB5">
          <w:rPr>
            <w:rFonts w:eastAsia="Times New Roman" w:cstheme="minorHAnsi"/>
            <w:i/>
            <w:color w:val="000000" w:themeColor="text1"/>
            <w:sz w:val="20"/>
            <w:szCs w:val="20"/>
            <w:bdr w:val="none" w:sz="0" w:space="0" w:color="auto" w:frame="1"/>
            <w:lang w:eastAsia="es-ES"/>
          </w:rPr>
          <w:t>Diario La Ley</w:t>
        </w:r>
      </w:hyperlink>
      <w:r w:rsidR="00181687" w:rsidRPr="009B4DB5">
        <w:rPr>
          <w:rFonts w:eastAsia="Times New Roman" w:cstheme="minorHAnsi"/>
          <w:color w:val="000000" w:themeColor="text1"/>
          <w:sz w:val="20"/>
          <w:szCs w:val="20"/>
          <w:bdr w:val="none" w:sz="0" w:space="0" w:color="auto" w:frame="1"/>
          <w:lang w:eastAsia="es-ES"/>
        </w:rPr>
        <w:t>, </w:t>
      </w:r>
      <w:hyperlink r:id="rId51" w:history="1">
        <w:r w:rsidR="00181687" w:rsidRPr="009B4DB5">
          <w:rPr>
            <w:rFonts w:eastAsia="Times New Roman" w:cstheme="minorHAnsi"/>
            <w:color w:val="000000" w:themeColor="text1"/>
            <w:sz w:val="20"/>
            <w:szCs w:val="20"/>
            <w:bdr w:val="none" w:sz="0" w:space="0" w:color="auto" w:frame="1"/>
            <w:lang w:eastAsia="es-ES"/>
          </w:rPr>
          <w:t>nº 9637, 2020</w:t>
        </w:r>
      </w:hyperlink>
      <w:r w:rsidR="00181687" w:rsidRPr="009B4DB5">
        <w:rPr>
          <w:rFonts w:eastAsia="Times New Roman" w:cstheme="minorHAnsi"/>
          <w:color w:val="000000" w:themeColor="text1"/>
          <w:sz w:val="20"/>
          <w:szCs w:val="20"/>
          <w:bdr w:val="none" w:sz="0" w:space="0" w:color="auto" w:frame="1"/>
          <w:lang w:eastAsia="es-ES"/>
        </w:rPr>
        <w:t>.</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Cuartero Rubio</w:t>
      </w:r>
      <w:r w:rsidRPr="00B03532">
        <w:rPr>
          <w:rFonts w:cstheme="minorHAnsi"/>
          <w:sz w:val="20"/>
          <w:szCs w:val="20"/>
        </w:rPr>
        <w:t xml:space="preserve">, V. “El ¿consumidor? internacional en los mercados de instrumentos financieros (a propósito de la STJUE de 2 de abril de 2020, </w:t>
      </w:r>
      <w:proofErr w:type="spellStart"/>
      <w:r w:rsidRPr="00B03532">
        <w:rPr>
          <w:rFonts w:cstheme="minorHAnsi"/>
          <w:sz w:val="20"/>
          <w:szCs w:val="20"/>
        </w:rPr>
        <w:t>Reliantco</w:t>
      </w:r>
      <w:proofErr w:type="spellEnd"/>
      <w:r w:rsidRPr="00B03532">
        <w:rPr>
          <w:rFonts w:cstheme="minorHAnsi"/>
          <w:sz w:val="20"/>
          <w:szCs w:val="20"/>
        </w:rPr>
        <w:t xml:space="preserve"> </w:t>
      </w:r>
      <w:proofErr w:type="spellStart"/>
      <w:r w:rsidRPr="00B03532">
        <w:rPr>
          <w:rFonts w:cstheme="minorHAnsi"/>
          <w:sz w:val="20"/>
          <w:szCs w:val="20"/>
        </w:rPr>
        <w:t>Investment</w:t>
      </w:r>
      <w:proofErr w:type="spellEnd"/>
      <w:r w:rsidRPr="00B03532">
        <w:rPr>
          <w:rFonts w:cstheme="minorHAnsi"/>
          <w:sz w:val="20"/>
          <w:szCs w:val="20"/>
        </w:rPr>
        <w:t xml:space="preserve"> y </w:t>
      </w:r>
      <w:proofErr w:type="spellStart"/>
      <w:r w:rsidRPr="00B03532">
        <w:rPr>
          <w:rFonts w:cstheme="minorHAnsi"/>
          <w:sz w:val="20"/>
          <w:szCs w:val="20"/>
        </w:rPr>
        <w:t>Reliantco</w:t>
      </w:r>
      <w:proofErr w:type="spellEnd"/>
      <w:r w:rsidRPr="00B03532">
        <w:rPr>
          <w:rFonts w:cstheme="minorHAnsi"/>
          <w:sz w:val="20"/>
          <w:szCs w:val="20"/>
        </w:rPr>
        <w:t xml:space="preserve"> </w:t>
      </w:r>
      <w:proofErr w:type="spellStart"/>
      <w:r w:rsidRPr="00B03532">
        <w:rPr>
          <w:rFonts w:cstheme="minorHAnsi"/>
          <w:sz w:val="20"/>
          <w:szCs w:val="20"/>
        </w:rPr>
        <w:t>Investment</w:t>
      </w:r>
      <w:proofErr w:type="spellEnd"/>
      <w:r w:rsidRPr="00B03532">
        <w:rPr>
          <w:rFonts w:cstheme="minorHAnsi"/>
          <w:sz w:val="20"/>
          <w:szCs w:val="20"/>
        </w:rPr>
        <w:t xml:space="preserve"> </w:t>
      </w:r>
      <w:proofErr w:type="spellStart"/>
      <w:r w:rsidRPr="00B03532">
        <w:rPr>
          <w:rFonts w:cstheme="minorHAnsi"/>
          <w:sz w:val="20"/>
          <w:szCs w:val="20"/>
        </w:rPr>
        <w:t>Limassol</w:t>
      </w:r>
      <w:proofErr w:type="spellEnd"/>
      <w:r w:rsidRPr="00B03532">
        <w:rPr>
          <w:rFonts w:cstheme="minorHAnsi"/>
          <w:sz w:val="20"/>
          <w:szCs w:val="20"/>
        </w:rPr>
        <w:t xml:space="preserve"> </w:t>
      </w:r>
      <w:proofErr w:type="spellStart"/>
      <w:r w:rsidRPr="00B03532">
        <w:rPr>
          <w:rFonts w:cstheme="minorHAnsi"/>
          <w:sz w:val="20"/>
          <w:szCs w:val="20"/>
        </w:rPr>
        <w:t>Sucursala</w:t>
      </w:r>
      <w:proofErr w:type="spellEnd"/>
      <w:r w:rsidRPr="00B03532">
        <w:rPr>
          <w:rFonts w:cstheme="minorHAnsi"/>
          <w:sz w:val="20"/>
          <w:szCs w:val="20"/>
        </w:rPr>
        <w:t xml:space="preserve"> </w:t>
      </w:r>
      <w:proofErr w:type="spellStart"/>
      <w:r w:rsidRPr="00B03532">
        <w:rPr>
          <w:rFonts w:cstheme="minorHAnsi"/>
          <w:sz w:val="20"/>
          <w:szCs w:val="20"/>
        </w:rPr>
        <w:t>Bucureşti</w:t>
      </w:r>
      <w:proofErr w:type="spellEnd"/>
      <w:r w:rsidRPr="00B03532">
        <w:rPr>
          <w:rFonts w:cstheme="minorHAnsi"/>
          <w:sz w:val="20"/>
          <w:szCs w:val="20"/>
        </w:rPr>
        <w:t xml:space="preserve">, C-500/18)”: </w:t>
      </w:r>
      <w:r w:rsidRPr="00B03532">
        <w:rPr>
          <w:rFonts w:cstheme="minorHAnsi"/>
          <w:i/>
          <w:sz w:val="20"/>
          <w:szCs w:val="20"/>
        </w:rPr>
        <w:t>Publicaciones jurídicas CESCO</w:t>
      </w:r>
      <w:r w:rsidRPr="00B03532">
        <w:rPr>
          <w:rFonts w:cstheme="minorHAnsi"/>
          <w:sz w:val="20"/>
          <w:szCs w:val="20"/>
        </w:rPr>
        <w:t>, mayo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CF6D6C"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52" w:history="1">
        <w:r w:rsidR="00181687" w:rsidRPr="009B4DB5">
          <w:rPr>
            <w:rFonts w:eastAsia="Times New Roman" w:cstheme="minorHAnsi"/>
            <w:caps/>
            <w:color w:val="000000" w:themeColor="text1"/>
            <w:sz w:val="20"/>
            <w:szCs w:val="20"/>
            <w:bdr w:val="none" w:sz="0" w:space="0" w:color="auto" w:frame="1"/>
            <w:lang w:eastAsia="es-ES"/>
          </w:rPr>
          <w:t>Cuena Casas</w:t>
        </w:r>
      </w:hyperlink>
      <w:r w:rsidR="00181687" w:rsidRPr="009B4DB5">
        <w:rPr>
          <w:rFonts w:eastAsia="Times New Roman" w:cstheme="minorHAnsi"/>
          <w:color w:val="000000" w:themeColor="text1"/>
          <w:sz w:val="20"/>
          <w:szCs w:val="20"/>
          <w:bdr w:val="none" w:sz="0" w:space="0" w:color="auto" w:frame="1"/>
          <w:lang w:eastAsia="es-ES"/>
        </w:rPr>
        <w:t>, M. “Pandemia por coronavirus y contratos de arrendamiento. Propuesta de solución”:</w:t>
      </w:r>
      <w:r w:rsidR="00181687" w:rsidRPr="009B4DB5">
        <w:rPr>
          <w:rFonts w:eastAsia="Times New Roman" w:cstheme="minorHAnsi"/>
          <w:color w:val="000000" w:themeColor="text1"/>
          <w:sz w:val="20"/>
          <w:szCs w:val="20"/>
          <w:lang w:eastAsia="es-ES"/>
        </w:rPr>
        <w:t xml:space="preserve"> </w:t>
      </w:r>
      <w:hyperlink r:id="rId53" w:history="1">
        <w:r w:rsidR="00181687" w:rsidRPr="009B4DB5">
          <w:rPr>
            <w:rFonts w:eastAsia="Times New Roman" w:cstheme="minorHAnsi"/>
            <w:i/>
            <w:color w:val="000000" w:themeColor="text1"/>
            <w:sz w:val="20"/>
            <w:szCs w:val="20"/>
            <w:bdr w:val="none" w:sz="0" w:space="0" w:color="auto" w:frame="1"/>
            <w:lang w:eastAsia="es-ES"/>
          </w:rPr>
          <w:t>El notario del siglo XXI: revista del Colegio Notarial de Madrid</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54" w:history="1">
        <w:r w:rsidR="00181687" w:rsidRPr="009B4DB5">
          <w:rPr>
            <w:rFonts w:eastAsia="Times New Roman" w:cstheme="minorHAnsi"/>
            <w:color w:val="000000" w:themeColor="text1"/>
            <w:sz w:val="20"/>
            <w:szCs w:val="20"/>
            <w:bdr w:val="none" w:sz="0" w:space="0" w:color="auto" w:frame="1"/>
            <w:lang w:eastAsia="es-ES"/>
          </w:rPr>
          <w:t>nº. 90, 2020</w:t>
        </w:r>
      </w:hyperlink>
      <w:r w:rsidR="00181687" w:rsidRPr="009B4DB5">
        <w:rPr>
          <w:rFonts w:eastAsia="Times New Roman" w:cstheme="minorHAnsi"/>
          <w:color w:val="000000" w:themeColor="text1"/>
          <w:sz w:val="20"/>
          <w:szCs w:val="20"/>
          <w:bdr w:val="none" w:sz="0" w:space="0" w:color="auto" w:frame="1"/>
          <w:lang w:eastAsia="es-ES"/>
        </w:rPr>
        <w:t>, págs. 22-29.</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de Castro</w:t>
      </w:r>
      <w:r w:rsidRPr="00B03532">
        <w:rPr>
          <w:rFonts w:cstheme="minorHAnsi"/>
          <w:sz w:val="20"/>
          <w:szCs w:val="20"/>
        </w:rPr>
        <w:t xml:space="preserve">, L. “Los intereses de la Ley 57/68. Diversas consideraciones jurisprudenciales”: </w:t>
      </w:r>
      <w:r w:rsidRPr="00B03532">
        <w:rPr>
          <w:rFonts w:cstheme="minorHAnsi"/>
          <w:i/>
          <w:sz w:val="20"/>
          <w:szCs w:val="20"/>
        </w:rPr>
        <w:t>Publicaciones jurídicas CESCO</w:t>
      </w:r>
      <w:r w:rsidRPr="00B03532">
        <w:rPr>
          <w:rFonts w:cstheme="minorHAnsi"/>
          <w:sz w:val="20"/>
          <w:szCs w:val="20"/>
        </w:rPr>
        <w:t>, abril 2020.</w:t>
      </w:r>
    </w:p>
    <w:p w:rsidR="00952BF5" w:rsidRPr="00952BF5" w:rsidRDefault="00952BF5" w:rsidP="00952BF5">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Default="004D794A"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952BF5">
        <w:rPr>
          <w:rFonts w:eastAsia="Times New Roman" w:cstheme="minorHAnsi"/>
          <w:caps/>
          <w:color w:val="000000" w:themeColor="text1"/>
          <w:sz w:val="20"/>
          <w:szCs w:val="20"/>
          <w:lang w:eastAsia="es-ES"/>
        </w:rPr>
        <w:t>del Saz Domínguez</w:t>
      </w:r>
      <w:r w:rsidRPr="00952BF5">
        <w:rPr>
          <w:rFonts w:eastAsia="Times New Roman" w:cstheme="minorHAnsi"/>
          <w:color w:val="000000" w:themeColor="text1"/>
          <w:sz w:val="20"/>
          <w:szCs w:val="20"/>
          <w:lang w:eastAsia="es-ES"/>
        </w:rPr>
        <w:t xml:space="preserve">, L. “La determinación de los honorarios profesionales del abogado”: </w:t>
      </w:r>
      <w:r w:rsidR="00952BF5" w:rsidRPr="00952BF5">
        <w:rPr>
          <w:rFonts w:eastAsia="Times New Roman" w:cstheme="minorHAnsi"/>
          <w:i/>
          <w:color w:val="000000" w:themeColor="text1"/>
          <w:sz w:val="20"/>
          <w:szCs w:val="20"/>
          <w:lang w:eastAsia="es-ES"/>
        </w:rPr>
        <w:t>Publicaciones jurídicas CESCO</w:t>
      </w:r>
      <w:r w:rsidR="00952BF5" w:rsidRPr="00952BF5">
        <w:rPr>
          <w:rFonts w:eastAsia="Times New Roman" w:cstheme="minorHAnsi"/>
          <w:color w:val="000000" w:themeColor="text1"/>
          <w:sz w:val="20"/>
          <w:szCs w:val="20"/>
          <w:lang w:eastAsia="es-ES"/>
        </w:rPr>
        <w:t>, junio 2020.</w:t>
      </w:r>
    </w:p>
    <w:p w:rsid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Díaz-González García-Romeral</w:t>
      </w:r>
      <w:r w:rsidRPr="00B03532">
        <w:rPr>
          <w:rFonts w:cstheme="minorHAnsi"/>
          <w:sz w:val="20"/>
          <w:szCs w:val="20"/>
        </w:rPr>
        <w:t xml:space="preserve">, C. J. “Dudosa resurrección de la Ley </w:t>
      </w:r>
      <w:proofErr w:type="spellStart"/>
      <w:r w:rsidRPr="00B03532">
        <w:rPr>
          <w:rFonts w:cstheme="minorHAnsi"/>
          <w:sz w:val="20"/>
          <w:szCs w:val="20"/>
        </w:rPr>
        <w:t>Azcárate</w:t>
      </w:r>
      <w:proofErr w:type="spellEnd"/>
      <w:r w:rsidRPr="00B03532">
        <w:rPr>
          <w:rFonts w:cstheme="minorHAnsi"/>
          <w:sz w:val="20"/>
          <w:szCs w:val="20"/>
        </w:rPr>
        <w:t xml:space="preserve"> en </w:t>
      </w:r>
      <w:proofErr w:type="spellStart"/>
      <w:r w:rsidRPr="00B03532">
        <w:rPr>
          <w:rFonts w:cstheme="minorHAnsi"/>
          <w:sz w:val="20"/>
          <w:szCs w:val="20"/>
        </w:rPr>
        <w:t>Wizink</w:t>
      </w:r>
      <w:proofErr w:type="spellEnd"/>
      <w:r w:rsidRPr="00B03532">
        <w:rPr>
          <w:rFonts w:cstheme="minorHAnsi"/>
          <w:sz w:val="20"/>
          <w:szCs w:val="20"/>
        </w:rPr>
        <w:t>”:</w:t>
      </w:r>
      <w:r w:rsidRPr="00B03532">
        <w:rPr>
          <w:rFonts w:cstheme="minorHAnsi"/>
          <w:i/>
          <w:sz w:val="20"/>
          <w:szCs w:val="20"/>
        </w:rPr>
        <w:t xml:space="preserve"> Publicaciones jurídicas CESCO</w:t>
      </w:r>
      <w:r w:rsidRPr="00B03532">
        <w:rPr>
          <w:rFonts w:cstheme="minorHAnsi"/>
          <w:sz w:val="20"/>
          <w:szCs w:val="20"/>
        </w:rPr>
        <w:t>, abril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55" w:history="1">
        <w:r w:rsidR="00181687" w:rsidRPr="009B4DB5">
          <w:rPr>
            <w:rFonts w:eastAsia="Times New Roman" w:cstheme="minorHAnsi"/>
            <w:caps/>
            <w:color w:val="000000" w:themeColor="text1"/>
            <w:sz w:val="20"/>
            <w:szCs w:val="20"/>
            <w:bdr w:val="none" w:sz="0" w:space="0" w:color="auto" w:frame="1"/>
            <w:lang w:eastAsia="es-ES"/>
          </w:rPr>
          <w:t>do Rêgo Monteiro Filho, C. E</w:t>
        </w:r>
      </w:hyperlink>
      <w:r w:rsidR="00181687" w:rsidRPr="009B4DB5">
        <w:rPr>
          <w:rFonts w:eastAsia="Times New Roman" w:cstheme="minorHAnsi"/>
          <w:color w:val="000000" w:themeColor="text1"/>
          <w:sz w:val="20"/>
          <w:szCs w:val="20"/>
          <w:bdr w:val="none" w:sz="0" w:space="0" w:color="auto" w:frame="1"/>
          <w:lang w:eastAsia="es-ES"/>
        </w:rPr>
        <w:t xml:space="preserve">. “Contratos </w:t>
      </w:r>
      <w:proofErr w:type="spellStart"/>
      <w:r w:rsidR="00181687" w:rsidRPr="009B4DB5">
        <w:rPr>
          <w:rFonts w:eastAsia="Times New Roman" w:cstheme="minorHAnsi"/>
          <w:color w:val="000000" w:themeColor="text1"/>
          <w:sz w:val="20"/>
          <w:szCs w:val="20"/>
          <w:bdr w:val="none" w:sz="0" w:space="0" w:color="auto" w:frame="1"/>
          <w:lang w:eastAsia="es-ES"/>
        </w:rPr>
        <w:t>em</w:t>
      </w:r>
      <w:proofErr w:type="spellEnd"/>
      <w:r w:rsidR="00181687" w:rsidRPr="009B4DB5">
        <w:rPr>
          <w:rFonts w:eastAsia="Times New Roman" w:cstheme="minorHAnsi"/>
          <w:color w:val="000000" w:themeColor="text1"/>
          <w:sz w:val="20"/>
          <w:szCs w:val="20"/>
          <w:bdr w:val="none" w:sz="0" w:space="0" w:color="auto" w:frame="1"/>
          <w:lang w:eastAsia="es-ES"/>
        </w:rPr>
        <w:t xml:space="preserve"> tempos de pandemia: </w:t>
      </w:r>
      <w:proofErr w:type="spellStart"/>
      <w:r w:rsidR="00181687" w:rsidRPr="009B4DB5">
        <w:rPr>
          <w:rFonts w:eastAsia="Times New Roman" w:cstheme="minorHAnsi"/>
          <w:color w:val="000000" w:themeColor="text1"/>
          <w:sz w:val="20"/>
          <w:szCs w:val="20"/>
          <w:bdr w:val="none" w:sz="0" w:space="0" w:color="auto" w:frame="1"/>
          <w:lang w:eastAsia="es-ES"/>
        </w:rPr>
        <w:t>descumprimento</w:t>
      </w:r>
      <w:proofErr w:type="spellEnd"/>
      <w:r w:rsidR="00181687" w:rsidRPr="009B4DB5">
        <w:rPr>
          <w:rFonts w:eastAsia="Times New Roman" w:cstheme="minorHAnsi"/>
          <w:color w:val="000000" w:themeColor="text1"/>
          <w:sz w:val="20"/>
          <w:szCs w:val="20"/>
          <w:bdr w:val="none" w:sz="0" w:space="0" w:color="auto" w:frame="1"/>
          <w:lang w:eastAsia="es-ES"/>
        </w:rPr>
        <w:t xml:space="preserve"> e </w:t>
      </w:r>
      <w:proofErr w:type="spellStart"/>
      <w:r w:rsidR="00181687" w:rsidRPr="009B4DB5">
        <w:rPr>
          <w:rFonts w:eastAsia="Times New Roman" w:cstheme="minorHAnsi"/>
          <w:color w:val="000000" w:themeColor="text1"/>
          <w:sz w:val="20"/>
          <w:szCs w:val="20"/>
          <w:bdr w:val="none" w:sz="0" w:space="0" w:color="auto" w:frame="1"/>
          <w:lang w:eastAsia="es-ES"/>
        </w:rPr>
        <w:t>força</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maior</w:t>
      </w:r>
      <w:proofErr w:type="spellEnd"/>
      <w:r w:rsidR="00181687" w:rsidRPr="009B4DB5">
        <w:rPr>
          <w:rFonts w:eastAsia="Times New Roman" w:cstheme="minorHAnsi"/>
          <w:color w:val="000000" w:themeColor="text1"/>
          <w:sz w:val="20"/>
          <w:szCs w:val="20"/>
          <w:bdr w:val="none" w:sz="0" w:space="0" w:color="auto" w:frame="1"/>
          <w:lang w:eastAsia="es-ES"/>
        </w:rPr>
        <w:t>”:</w:t>
      </w:r>
      <w:r w:rsidR="00181687" w:rsidRPr="009B4DB5">
        <w:rPr>
          <w:rFonts w:eastAsia="Times New Roman" w:cstheme="minorHAnsi"/>
          <w:color w:val="000000" w:themeColor="text1"/>
          <w:sz w:val="20"/>
          <w:szCs w:val="20"/>
          <w:lang w:eastAsia="es-ES"/>
        </w:rPr>
        <w:t xml:space="preserve"> </w:t>
      </w:r>
      <w:hyperlink r:id="rId56" w:history="1">
        <w:r w:rsidR="00181687" w:rsidRPr="009B4DB5">
          <w:rPr>
            <w:rFonts w:eastAsia="Times New Roman" w:cstheme="minorHAnsi"/>
            <w:i/>
            <w:color w:val="000000" w:themeColor="text1"/>
            <w:sz w:val="20"/>
            <w:szCs w:val="20"/>
            <w:bdr w:val="none" w:sz="0" w:space="0" w:color="auto" w:frame="1"/>
            <w:lang w:eastAsia="es-ES"/>
          </w:rPr>
          <w:t>Actualidad jurídica iberoamericana</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57" w:history="1">
        <w:r w:rsidR="00181687" w:rsidRPr="009B4DB5">
          <w:rPr>
            <w:rFonts w:eastAsia="Times New Roman" w:cstheme="minorHAnsi"/>
            <w:color w:val="000000" w:themeColor="text1"/>
            <w:sz w:val="20"/>
            <w:szCs w:val="20"/>
            <w:bdr w:val="none" w:sz="0" w:space="0" w:color="auto" w:frame="1"/>
            <w:lang w:eastAsia="es-ES"/>
          </w:rPr>
          <w:t>nº. Extra 12, 2, 2020</w:t>
        </w:r>
      </w:hyperlink>
      <w:r w:rsidR="00181687" w:rsidRPr="009B4DB5">
        <w:rPr>
          <w:rFonts w:eastAsia="Times New Roman" w:cstheme="minorHAnsi"/>
          <w:color w:val="000000" w:themeColor="text1"/>
          <w:sz w:val="20"/>
          <w:szCs w:val="20"/>
          <w:bdr w:val="none" w:sz="0" w:space="0" w:color="auto" w:frame="1"/>
          <w:lang w:eastAsia="es-ES"/>
        </w:rPr>
        <w:t>, págs. 292-299.</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4D794A" w:rsidRPr="004D794A" w:rsidRDefault="00CF6D6C" w:rsidP="004D794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58" w:history="1">
        <w:r w:rsidR="00181687" w:rsidRPr="009B4DB5">
          <w:rPr>
            <w:rFonts w:eastAsia="Times New Roman" w:cstheme="minorHAnsi"/>
            <w:caps/>
            <w:color w:val="000000" w:themeColor="text1"/>
            <w:sz w:val="20"/>
            <w:szCs w:val="20"/>
            <w:bdr w:val="none" w:sz="0" w:space="0" w:color="auto" w:frame="1"/>
            <w:lang w:eastAsia="es-ES"/>
          </w:rPr>
          <w:t>Domínguez Guillén</w:t>
        </w:r>
        <w:r w:rsidR="00181687" w:rsidRPr="009B4DB5">
          <w:rPr>
            <w:rFonts w:eastAsia="Times New Roman" w:cstheme="minorHAnsi"/>
            <w:color w:val="000000" w:themeColor="text1"/>
            <w:sz w:val="20"/>
            <w:szCs w:val="20"/>
            <w:bdr w:val="none" w:sz="0" w:space="0" w:color="auto" w:frame="1"/>
            <w:lang w:eastAsia="es-ES"/>
          </w:rPr>
          <w:t>, M. C</w:t>
        </w:r>
      </w:hyperlink>
      <w:r w:rsidR="00181687" w:rsidRPr="009B4DB5">
        <w:rPr>
          <w:rFonts w:eastAsia="Times New Roman" w:cstheme="minorHAnsi"/>
          <w:color w:val="000000" w:themeColor="text1"/>
          <w:sz w:val="20"/>
          <w:szCs w:val="20"/>
          <w:bdr w:val="none" w:sz="0" w:space="0" w:color="auto" w:frame="1"/>
          <w:lang w:eastAsia="es-ES"/>
        </w:rPr>
        <w:t>. “Pandemia: al rescate de la buena fe en el cumplimiento de las obligaciones”:</w:t>
      </w:r>
      <w:r w:rsidR="00181687" w:rsidRPr="009B4DB5">
        <w:rPr>
          <w:rFonts w:eastAsia="Times New Roman" w:cstheme="minorHAnsi"/>
          <w:color w:val="000000" w:themeColor="text1"/>
          <w:sz w:val="20"/>
          <w:szCs w:val="20"/>
          <w:lang w:eastAsia="es-ES"/>
        </w:rPr>
        <w:t xml:space="preserve"> </w:t>
      </w:r>
      <w:hyperlink r:id="rId59" w:history="1">
        <w:r w:rsidR="00181687" w:rsidRPr="009B4DB5">
          <w:rPr>
            <w:rFonts w:eastAsia="Times New Roman" w:cstheme="minorHAnsi"/>
            <w:i/>
            <w:color w:val="000000" w:themeColor="text1"/>
            <w:sz w:val="20"/>
            <w:szCs w:val="20"/>
            <w:bdr w:val="none" w:sz="0" w:space="0" w:color="auto" w:frame="1"/>
            <w:lang w:eastAsia="es-ES"/>
          </w:rPr>
          <w:t>Actualidad jurídica iberoamericana</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60" w:history="1">
        <w:r w:rsidR="00181687" w:rsidRPr="009B4DB5">
          <w:rPr>
            <w:rFonts w:eastAsia="Times New Roman" w:cstheme="minorHAnsi"/>
            <w:color w:val="000000" w:themeColor="text1"/>
            <w:sz w:val="20"/>
            <w:szCs w:val="20"/>
            <w:bdr w:val="none" w:sz="0" w:space="0" w:color="auto" w:frame="1"/>
            <w:lang w:eastAsia="es-ES"/>
          </w:rPr>
          <w:t>nº. Extra 12, 2, 2020</w:t>
        </w:r>
      </w:hyperlink>
      <w:r w:rsidR="00181687" w:rsidRPr="009B4DB5">
        <w:rPr>
          <w:rFonts w:eastAsia="Times New Roman" w:cstheme="minorHAnsi"/>
          <w:color w:val="000000" w:themeColor="text1"/>
          <w:sz w:val="20"/>
          <w:szCs w:val="20"/>
          <w:bdr w:val="none" w:sz="0" w:space="0" w:color="auto" w:frame="1"/>
          <w:lang w:eastAsia="es-ES"/>
        </w:rPr>
        <w:t>, págs. 378-385.</w:t>
      </w:r>
    </w:p>
    <w:p w:rsidR="004D794A" w:rsidRPr="004D794A" w:rsidRDefault="004D794A" w:rsidP="004D794A">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952BF5" w:rsidRDefault="004D794A" w:rsidP="00952BF5">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4D794A">
        <w:rPr>
          <w:rFonts w:eastAsia="Times New Roman" w:cstheme="minorHAnsi"/>
          <w:caps/>
          <w:color w:val="000000" w:themeColor="text1"/>
          <w:sz w:val="20"/>
          <w:szCs w:val="20"/>
          <w:lang w:eastAsia="es-ES"/>
        </w:rPr>
        <w:t>Domínguez Martínez</w:t>
      </w:r>
      <w:r w:rsidRPr="004D794A">
        <w:rPr>
          <w:rFonts w:eastAsia="Times New Roman" w:cstheme="minorHAnsi"/>
          <w:color w:val="000000" w:themeColor="text1"/>
          <w:sz w:val="20"/>
          <w:szCs w:val="20"/>
          <w:lang w:eastAsia="es-ES"/>
        </w:rPr>
        <w:t xml:space="preserve">, P. “Invalidez de la cláusula limitativa inserta en condiciones generales no firmadas en un seguro de accidente. Aplicación de los intereses de demora del artículo 20 LCS desde la fecha del accidente”: </w:t>
      </w:r>
      <w:r w:rsidRPr="004D794A">
        <w:rPr>
          <w:rFonts w:eastAsia="Times New Roman" w:cstheme="minorHAnsi"/>
          <w:i/>
          <w:color w:val="000000" w:themeColor="text1"/>
          <w:sz w:val="20"/>
          <w:szCs w:val="20"/>
          <w:lang w:eastAsia="es-ES"/>
        </w:rPr>
        <w:t>Publicaciones jurídicas CESCO</w:t>
      </w:r>
      <w:r w:rsidRPr="004D794A">
        <w:rPr>
          <w:rFonts w:eastAsia="Times New Roman" w:cstheme="minorHAnsi"/>
          <w:color w:val="000000" w:themeColor="text1"/>
          <w:sz w:val="20"/>
          <w:szCs w:val="20"/>
          <w:lang w:eastAsia="es-ES"/>
        </w:rPr>
        <w:t>, abril 2020.</w:t>
      </w:r>
    </w:p>
    <w:p w:rsid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Default="00952BF5"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952BF5">
        <w:rPr>
          <w:rFonts w:eastAsia="Times New Roman" w:cstheme="minorHAnsi"/>
          <w:caps/>
          <w:color w:val="000000" w:themeColor="text1"/>
          <w:sz w:val="20"/>
          <w:szCs w:val="20"/>
          <w:lang w:eastAsia="es-ES"/>
        </w:rPr>
        <w:t>Domínguez Martínez</w:t>
      </w:r>
      <w:r w:rsidRPr="00952BF5">
        <w:rPr>
          <w:rFonts w:eastAsia="Times New Roman" w:cstheme="minorHAnsi"/>
          <w:color w:val="000000" w:themeColor="text1"/>
          <w:sz w:val="20"/>
          <w:szCs w:val="20"/>
          <w:lang w:eastAsia="es-ES"/>
        </w:rPr>
        <w:t xml:space="preserve">, P. “La protección de los usuarios en los servicios funerarios no efectivamente prestados y en los casos de elevación del precio tras la declaración del estado de alarma motivada por el COVID-19”: </w:t>
      </w:r>
      <w:r w:rsidRPr="00952BF5">
        <w:rPr>
          <w:rFonts w:eastAsia="Times New Roman" w:cstheme="minorHAnsi"/>
          <w:i/>
          <w:color w:val="000000" w:themeColor="text1"/>
          <w:sz w:val="20"/>
          <w:szCs w:val="20"/>
          <w:lang w:eastAsia="es-ES"/>
        </w:rPr>
        <w:t>Publicaciones jurídicas CESCO</w:t>
      </w:r>
      <w:r w:rsidRPr="00952BF5">
        <w:rPr>
          <w:rFonts w:eastAsia="Times New Roman" w:cstheme="minorHAnsi"/>
          <w:color w:val="000000" w:themeColor="text1"/>
          <w:sz w:val="20"/>
          <w:szCs w:val="20"/>
          <w:lang w:eastAsia="es-ES"/>
        </w:rPr>
        <w:t>, abril 2020.</w:t>
      </w:r>
    </w:p>
    <w:p w:rsid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Domínguez Martínez</w:t>
      </w:r>
      <w:r w:rsidRPr="00B03532">
        <w:rPr>
          <w:rFonts w:cstheme="minorHAnsi"/>
          <w:sz w:val="20"/>
          <w:szCs w:val="20"/>
        </w:rPr>
        <w:t xml:space="preserve">, P. “Contrato de tarjeta de crédito </w:t>
      </w:r>
      <w:proofErr w:type="spellStart"/>
      <w:r w:rsidRPr="00B03532">
        <w:rPr>
          <w:rFonts w:cstheme="minorHAnsi"/>
          <w:sz w:val="20"/>
          <w:szCs w:val="20"/>
        </w:rPr>
        <w:t>revolving</w:t>
      </w:r>
      <w:proofErr w:type="spellEnd"/>
      <w:r w:rsidRPr="00B03532">
        <w:rPr>
          <w:rFonts w:cstheme="minorHAnsi"/>
          <w:sz w:val="20"/>
          <w:szCs w:val="20"/>
        </w:rPr>
        <w:t xml:space="preserve"> usurario: la evaluación objetiva del carácter desproporcionado del interés y los intereses de demora”:</w:t>
      </w:r>
      <w:r w:rsidRPr="00B03532">
        <w:rPr>
          <w:rFonts w:cstheme="minorHAnsi"/>
          <w:i/>
          <w:sz w:val="20"/>
          <w:szCs w:val="20"/>
        </w:rPr>
        <w:t xml:space="preserve"> Publicaciones jurídicas CESCO</w:t>
      </w:r>
      <w:r>
        <w:rPr>
          <w:rFonts w:cstheme="minorHAnsi"/>
          <w:sz w:val="20"/>
          <w:szCs w:val="20"/>
        </w:rPr>
        <w:t>, abril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61" w:history="1">
        <w:r w:rsidR="00181687" w:rsidRPr="009B4DB5">
          <w:rPr>
            <w:rFonts w:eastAsia="Times New Roman" w:cstheme="minorHAnsi"/>
            <w:caps/>
            <w:color w:val="000000" w:themeColor="text1"/>
            <w:sz w:val="20"/>
            <w:szCs w:val="20"/>
            <w:bdr w:val="none" w:sz="0" w:space="0" w:color="auto" w:frame="1"/>
            <w:lang w:eastAsia="es-ES"/>
          </w:rPr>
          <w:t>Ehrhardt</w:t>
        </w:r>
      </w:hyperlink>
      <w:r w:rsidR="00181687" w:rsidRPr="009B4DB5">
        <w:rPr>
          <w:rFonts w:eastAsia="Times New Roman" w:cstheme="minorHAnsi"/>
          <w:caps/>
          <w:color w:val="000000" w:themeColor="text1"/>
          <w:sz w:val="20"/>
          <w:szCs w:val="20"/>
          <w:bdr w:val="none" w:sz="0" w:space="0" w:color="auto" w:frame="1"/>
          <w:lang w:eastAsia="es-ES"/>
        </w:rPr>
        <w:t>, M</w:t>
      </w:r>
      <w:r w:rsidR="00181687" w:rsidRPr="009B4DB5">
        <w:rPr>
          <w:rFonts w:eastAsia="Times New Roman" w:cstheme="minorHAnsi"/>
          <w:color w:val="000000" w:themeColor="text1"/>
          <w:sz w:val="20"/>
          <w:szCs w:val="20"/>
          <w:bdr w:val="none" w:sz="0" w:space="0" w:color="auto" w:frame="1"/>
          <w:lang w:eastAsia="es-ES"/>
        </w:rPr>
        <w:t xml:space="preserve">. “Breves </w:t>
      </w:r>
      <w:proofErr w:type="spellStart"/>
      <w:r w:rsidR="00181687" w:rsidRPr="009B4DB5">
        <w:rPr>
          <w:rFonts w:eastAsia="Times New Roman" w:cstheme="minorHAnsi"/>
          <w:color w:val="000000" w:themeColor="text1"/>
          <w:sz w:val="20"/>
          <w:szCs w:val="20"/>
          <w:bdr w:val="none" w:sz="0" w:space="0" w:color="auto" w:frame="1"/>
          <w:lang w:eastAsia="es-ES"/>
        </w:rPr>
        <w:t>consideraçoes</w:t>
      </w:r>
      <w:proofErr w:type="spellEnd"/>
      <w:r w:rsidR="00181687" w:rsidRPr="009B4DB5">
        <w:rPr>
          <w:rFonts w:eastAsia="Times New Roman" w:cstheme="minorHAnsi"/>
          <w:color w:val="000000" w:themeColor="text1"/>
          <w:sz w:val="20"/>
          <w:szCs w:val="20"/>
          <w:bdr w:val="none" w:sz="0" w:space="0" w:color="auto" w:frame="1"/>
          <w:lang w:eastAsia="es-ES"/>
        </w:rPr>
        <w:t xml:space="preserve"> sobre os impactos da pandemia do Coronavirus </w:t>
      </w:r>
      <w:proofErr w:type="spellStart"/>
      <w:r w:rsidR="00181687" w:rsidRPr="009B4DB5">
        <w:rPr>
          <w:rFonts w:eastAsia="Times New Roman" w:cstheme="minorHAnsi"/>
          <w:color w:val="000000" w:themeColor="text1"/>
          <w:sz w:val="20"/>
          <w:szCs w:val="20"/>
          <w:bdr w:val="none" w:sz="0" w:space="0" w:color="auto" w:frame="1"/>
          <w:lang w:eastAsia="es-ES"/>
        </w:rPr>
        <w:t>nas</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relações</w:t>
      </w:r>
      <w:proofErr w:type="spellEnd"/>
      <w:r w:rsidR="00181687" w:rsidRPr="009B4DB5">
        <w:rPr>
          <w:rFonts w:eastAsia="Times New Roman" w:cstheme="minorHAnsi"/>
          <w:color w:val="000000" w:themeColor="text1"/>
          <w:sz w:val="20"/>
          <w:szCs w:val="20"/>
          <w:bdr w:val="none" w:sz="0" w:space="0" w:color="auto" w:frame="1"/>
          <w:lang w:eastAsia="es-ES"/>
        </w:rPr>
        <w:t xml:space="preserve"> privadas”:</w:t>
      </w:r>
      <w:r w:rsidR="00181687" w:rsidRPr="009B4DB5">
        <w:rPr>
          <w:rFonts w:eastAsia="Times New Roman" w:cstheme="minorHAnsi"/>
          <w:color w:val="000000" w:themeColor="text1"/>
          <w:sz w:val="20"/>
          <w:szCs w:val="20"/>
          <w:lang w:eastAsia="es-ES"/>
        </w:rPr>
        <w:t xml:space="preserve"> </w:t>
      </w:r>
      <w:hyperlink r:id="rId62" w:history="1">
        <w:r w:rsidR="00181687" w:rsidRPr="009B4DB5">
          <w:rPr>
            <w:rFonts w:eastAsia="Times New Roman" w:cstheme="minorHAnsi"/>
            <w:i/>
            <w:color w:val="000000" w:themeColor="text1"/>
            <w:sz w:val="20"/>
            <w:szCs w:val="20"/>
            <w:bdr w:val="none" w:sz="0" w:space="0" w:color="auto" w:frame="1"/>
            <w:lang w:eastAsia="es-ES"/>
          </w:rPr>
          <w:t>Actualidad jurídica iberoamericana</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63" w:history="1">
        <w:r w:rsidR="00181687" w:rsidRPr="009B4DB5">
          <w:rPr>
            <w:rFonts w:eastAsia="Times New Roman" w:cstheme="minorHAnsi"/>
            <w:color w:val="000000" w:themeColor="text1"/>
            <w:sz w:val="20"/>
            <w:szCs w:val="20"/>
            <w:bdr w:val="none" w:sz="0" w:space="0" w:color="auto" w:frame="1"/>
            <w:lang w:eastAsia="es-ES"/>
          </w:rPr>
          <w:t>nº. Extra 12, 2, 2020</w:t>
        </w:r>
      </w:hyperlink>
      <w:r w:rsidR="00181687" w:rsidRPr="009B4DB5">
        <w:rPr>
          <w:rFonts w:eastAsia="Times New Roman" w:cstheme="minorHAnsi"/>
          <w:color w:val="000000" w:themeColor="text1"/>
          <w:sz w:val="20"/>
          <w:szCs w:val="20"/>
          <w:bdr w:val="none" w:sz="0" w:space="0" w:color="auto" w:frame="1"/>
          <w:lang w:eastAsia="es-ES"/>
        </w:rPr>
        <w:t>, págs. 258-265.</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hyperlink r:id="rId64" w:history="1">
        <w:r w:rsidR="00181687" w:rsidRPr="009B4DB5">
          <w:rPr>
            <w:rFonts w:eastAsia="Times New Roman" w:cstheme="minorHAnsi"/>
            <w:caps/>
            <w:color w:val="000000" w:themeColor="text1"/>
            <w:sz w:val="20"/>
            <w:szCs w:val="20"/>
            <w:bdr w:val="none" w:sz="0" w:space="0" w:color="auto" w:frame="1"/>
            <w:lang w:eastAsia="es-ES"/>
          </w:rPr>
          <w:t>Esteve Pardo</w:t>
        </w:r>
      </w:hyperlink>
      <w:r w:rsidR="00181687" w:rsidRPr="009B4DB5">
        <w:rPr>
          <w:rFonts w:eastAsia="Times New Roman" w:cstheme="minorHAnsi"/>
          <w:color w:val="000000" w:themeColor="text1"/>
          <w:sz w:val="20"/>
          <w:szCs w:val="20"/>
          <w:bdr w:val="none" w:sz="0" w:space="0" w:color="auto" w:frame="1"/>
          <w:lang w:eastAsia="es-ES"/>
        </w:rPr>
        <w:t xml:space="preserve">, M. A. “Culpa e incumplimiento </w:t>
      </w:r>
      <w:proofErr w:type="spellStart"/>
      <w:r w:rsidR="00181687" w:rsidRPr="009B4DB5">
        <w:rPr>
          <w:rFonts w:eastAsia="Times New Roman" w:cstheme="minorHAnsi"/>
          <w:color w:val="000000" w:themeColor="text1"/>
          <w:sz w:val="20"/>
          <w:szCs w:val="20"/>
          <w:bdr w:val="none" w:sz="0" w:space="0" w:color="auto" w:frame="1"/>
          <w:lang w:eastAsia="es-ES"/>
        </w:rPr>
        <w:t>contractualdel</w:t>
      </w:r>
      <w:proofErr w:type="spellEnd"/>
      <w:r w:rsidR="00181687" w:rsidRPr="009B4DB5">
        <w:rPr>
          <w:rFonts w:eastAsia="Times New Roman" w:cstheme="minorHAnsi"/>
          <w:color w:val="000000" w:themeColor="text1"/>
          <w:sz w:val="20"/>
          <w:szCs w:val="20"/>
          <w:bdr w:val="none" w:sz="0" w:space="0" w:color="auto" w:frame="1"/>
          <w:lang w:eastAsia="es-ES"/>
        </w:rPr>
        <w:t xml:space="preserve"> Código Civil al moderno derecho de contratos: especial referencia a los contratos de prestación de servicios”:</w:t>
      </w:r>
      <w:r w:rsidR="00181687" w:rsidRPr="009B4DB5">
        <w:rPr>
          <w:rFonts w:eastAsia="Times New Roman" w:cstheme="minorHAnsi"/>
          <w:color w:val="000000" w:themeColor="text1"/>
          <w:sz w:val="20"/>
          <w:szCs w:val="20"/>
          <w:lang w:eastAsia="es-ES"/>
        </w:rPr>
        <w:t xml:space="preserve"> </w:t>
      </w:r>
      <w:hyperlink r:id="rId65" w:history="1">
        <w:r w:rsidR="00181687" w:rsidRPr="009B4DB5">
          <w:rPr>
            <w:rFonts w:eastAsia="Times New Roman" w:cstheme="minorHAnsi"/>
            <w:i/>
            <w:color w:val="000000" w:themeColor="text1"/>
            <w:sz w:val="20"/>
            <w:szCs w:val="20"/>
            <w:bdr w:val="none" w:sz="0" w:space="0" w:color="auto" w:frame="1"/>
            <w:lang w:eastAsia="es-ES"/>
          </w:rPr>
          <w:t>Revista Crítica de Derecho Inmobiliario</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66" w:history="1">
        <w:r w:rsidR="00181687" w:rsidRPr="009B4DB5">
          <w:rPr>
            <w:rFonts w:eastAsia="Times New Roman" w:cstheme="minorHAnsi"/>
            <w:color w:val="000000" w:themeColor="text1"/>
            <w:sz w:val="20"/>
            <w:szCs w:val="20"/>
            <w:bdr w:val="none" w:sz="0" w:space="0" w:color="auto" w:frame="1"/>
            <w:lang w:eastAsia="es-ES"/>
          </w:rPr>
          <w:t>Año nº 96, nº 777, 2020</w:t>
        </w:r>
      </w:hyperlink>
      <w:r w:rsidR="00181687" w:rsidRPr="009B4DB5">
        <w:rPr>
          <w:rFonts w:eastAsia="Times New Roman" w:cstheme="minorHAnsi"/>
          <w:color w:val="000000" w:themeColor="text1"/>
          <w:sz w:val="20"/>
          <w:szCs w:val="20"/>
          <w:bdr w:val="none" w:sz="0" w:space="0" w:color="auto" w:frame="1"/>
          <w:lang w:eastAsia="es-ES"/>
        </w:rPr>
        <w:t>, págs. 91-126.</w:t>
      </w:r>
    </w:p>
    <w:p w:rsidR="00181687" w:rsidRPr="009B4DB5" w:rsidRDefault="00181687" w:rsidP="00181687">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B03532" w:rsidRPr="00B03532" w:rsidRDefault="00CF6D6C"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67" w:history="1">
        <w:r w:rsidR="00181687" w:rsidRPr="009B4DB5">
          <w:rPr>
            <w:rFonts w:eastAsia="Times New Roman" w:cstheme="minorHAnsi"/>
            <w:caps/>
            <w:color w:val="000000" w:themeColor="text1"/>
            <w:sz w:val="20"/>
            <w:szCs w:val="20"/>
            <w:bdr w:val="none" w:sz="0" w:space="0" w:color="auto" w:frame="1"/>
            <w:lang w:eastAsia="es-ES"/>
          </w:rPr>
          <w:t>Federico</w:t>
        </w:r>
      </w:hyperlink>
      <w:r w:rsidR="00181687" w:rsidRPr="009B4DB5">
        <w:rPr>
          <w:rFonts w:eastAsia="Times New Roman" w:cstheme="minorHAnsi"/>
          <w:color w:val="000000" w:themeColor="text1"/>
          <w:sz w:val="20"/>
          <w:szCs w:val="20"/>
          <w:bdr w:val="none" w:sz="0" w:space="0" w:color="auto" w:frame="1"/>
          <w:lang w:eastAsia="es-ES"/>
        </w:rPr>
        <w:t>, A. “</w:t>
      </w:r>
      <w:proofErr w:type="spellStart"/>
      <w:r w:rsidR="00181687" w:rsidRPr="009B4DB5">
        <w:rPr>
          <w:rFonts w:eastAsia="Times New Roman" w:cstheme="minorHAnsi"/>
          <w:color w:val="000000" w:themeColor="text1"/>
          <w:sz w:val="20"/>
          <w:szCs w:val="20"/>
          <w:bdr w:val="none" w:sz="0" w:space="0" w:color="auto" w:frame="1"/>
          <w:lang w:eastAsia="es-ES"/>
        </w:rPr>
        <w:t>Misure</w:t>
      </w:r>
      <w:proofErr w:type="spellEnd"/>
      <w:r w:rsidR="00181687" w:rsidRPr="009B4DB5">
        <w:rPr>
          <w:rFonts w:eastAsia="Times New Roman" w:cstheme="minorHAnsi"/>
          <w:color w:val="000000" w:themeColor="text1"/>
          <w:sz w:val="20"/>
          <w:szCs w:val="20"/>
          <w:bdr w:val="none" w:sz="0" w:space="0" w:color="auto" w:frame="1"/>
          <w:lang w:eastAsia="es-ES"/>
        </w:rPr>
        <w:t xml:space="preserve"> di </w:t>
      </w:r>
      <w:proofErr w:type="spellStart"/>
      <w:r w:rsidR="00181687" w:rsidRPr="009B4DB5">
        <w:rPr>
          <w:rFonts w:eastAsia="Times New Roman" w:cstheme="minorHAnsi"/>
          <w:color w:val="000000" w:themeColor="text1"/>
          <w:sz w:val="20"/>
          <w:szCs w:val="20"/>
          <w:bdr w:val="none" w:sz="0" w:space="0" w:color="auto" w:frame="1"/>
          <w:lang w:eastAsia="es-ES"/>
        </w:rPr>
        <w:t>contenimento</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della</w:t>
      </w:r>
      <w:proofErr w:type="spellEnd"/>
      <w:r w:rsidR="00181687" w:rsidRPr="009B4DB5">
        <w:rPr>
          <w:rFonts w:eastAsia="Times New Roman" w:cstheme="minorHAnsi"/>
          <w:color w:val="000000" w:themeColor="text1"/>
          <w:sz w:val="20"/>
          <w:szCs w:val="20"/>
          <w:bdr w:val="none" w:sz="0" w:space="0" w:color="auto" w:frame="1"/>
          <w:lang w:eastAsia="es-ES"/>
        </w:rPr>
        <w:t xml:space="preserve"> pandemia e </w:t>
      </w:r>
      <w:proofErr w:type="spellStart"/>
      <w:r w:rsidR="00181687" w:rsidRPr="009B4DB5">
        <w:rPr>
          <w:rFonts w:eastAsia="Times New Roman" w:cstheme="minorHAnsi"/>
          <w:color w:val="000000" w:themeColor="text1"/>
          <w:sz w:val="20"/>
          <w:szCs w:val="20"/>
          <w:bdr w:val="none" w:sz="0" w:space="0" w:color="auto" w:frame="1"/>
          <w:lang w:eastAsia="es-ES"/>
        </w:rPr>
        <w:t>rapporti</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contrattuali</w:t>
      </w:r>
      <w:proofErr w:type="spellEnd"/>
      <w:r w:rsidR="00181687" w:rsidRPr="009B4DB5">
        <w:rPr>
          <w:rFonts w:eastAsia="Times New Roman" w:cstheme="minorHAnsi"/>
          <w:color w:val="000000" w:themeColor="text1"/>
          <w:sz w:val="20"/>
          <w:szCs w:val="20"/>
          <w:bdr w:val="none" w:sz="0" w:space="0" w:color="auto" w:frame="1"/>
          <w:lang w:eastAsia="es-ES"/>
        </w:rPr>
        <w:t>”:</w:t>
      </w:r>
      <w:r w:rsidR="00181687" w:rsidRPr="009B4DB5">
        <w:rPr>
          <w:rFonts w:eastAsia="Times New Roman" w:cstheme="minorHAnsi"/>
          <w:color w:val="000000" w:themeColor="text1"/>
          <w:sz w:val="20"/>
          <w:szCs w:val="20"/>
          <w:lang w:eastAsia="es-ES"/>
        </w:rPr>
        <w:t xml:space="preserve"> </w:t>
      </w:r>
      <w:hyperlink r:id="rId68" w:history="1">
        <w:r w:rsidR="00181687" w:rsidRPr="009B4DB5">
          <w:rPr>
            <w:rFonts w:eastAsia="Times New Roman" w:cstheme="minorHAnsi"/>
            <w:i/>
            <w:color w:val="000000" w:themeColor="text1"/>
            <w:sz w:val="20"/>
            <w:szCs w:val="20"/>
            <w:bdr w:val="none" w:sz="0" w:space="0" w:color="auto" w:frame="1"/>
            <w:lang w:eastAsia="es-ES"/>
          </w:rPr>
          <w:t>Actualidad jurídica iberoamericana</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69" w:history="1">
        <w:r w:rsidR="00181687" w:rsidRPr="009B4DB5">
          <w:rPr>
            <w:rFonts w:eastAsia="Times New Roman" w:cstheme="minorHAnsi"/>
            <w:color w:val="000000" w:themeColor="text1"/>
            <w:sz w:val="20"/>
            <w:szCs w:val="20"/>
            <w:bdr w:val="none" w:sz="0" w:space="0" w:color="auto" w:frame="1"/>
            <w:lang w:eastAsia="es-ES"/>
          </w:rPr>
          <w:t>nº. Extra 12, 2, 2020</w:t>
        </w:r>
      </w:hyperlink>
      <w:r w:rsidR="00181687" w:rsidRPr="009B4DB5">
        <w:rPr>
          <w:rFonts w:eastAsia="Times New Roman" w:cstheme="minorHAnsi"/>
          <w:color w:val="000000" w:themeColor="text1"/>
          <w:sz w:val="20"/>
          <w:szCs w:val="20"/>
          <w:bdr w:val="none" w:sz="0" w:space="0" w:color="auto" w:frame="1"/>
          <w:lang w:eastAsia="es-ES"/>
        </w:rPr>
        <w:t>, págs. 236-249.</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Fernández Baena,</w:t>
      </w:r>
      <w:r w:rsidRPr="00B03532">
        <w:rPr>
          <w:rFonts w:cstheme="minorHAnsi"/>
          <w:sz w:val="20"/>
          <w:szCs w:val="20"/>
        </w:rPr>
        <w:t xml:space="preserve"> M. “Aspectos procesales de las reclamaciones de </w:t>
      </w:r>
      <w:proofErr w:type="spellStart"/>
      <w:r w:rsidRPr="00B03532">
        <w:rPr>
          <w:rFonts w:cstheme="minorHAnsi"/>
          <w:sz w:val="20"/>
          <w:szCs w:val="20"/>
        </w:rPr>
        <w:t>abusividad</w:t>
      </w:r>
      <w:proofErr w:type="spellEnd"/>
      <w:r w:rsidRPr="00B03532">
        <w:rPr>
          <w:rFonts w:cstheme="minorHAnsi"/>
          <w:sz w:val="20"/>
          <w:szCs w:val="20"/>
        </w:rPr>
        <w:t xml:space="preserve"> del IRPH en juicios ordinarios y ejecutivos: una perspectiva práctica”: </w:t>
      </w:r>
      <w:r w:rsidRPr="00B03532">
        <w:rPr>
          <w:rFonts w:cstheme="minorHAnsi"/>
          <w:i/>
          <w:sz w:val="20"/>
          <w:szCs w:val="20"/>
        </w:rPr>
        <w:t>Publicaciones jurídicas CESCO</w:t>
      </w:r>
      <w:r w:rsidRPr="00B03532">
        <w:rPr>
          <w:rFonts w:cstheme="minorHAnsi"/>
          <w:sz w:val="20"/>
          <w:szCs w:val="20"/>
        </w:rPr>
        <w:t>, junio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Fernández Baena</w:t>
      </w:r>
      <w:r w:rsidRPr="00B03532">
        <w:rPr>
          <w:rFonts w:cstheme="minorHAnsi"/>
          <w:sz w:val="20"/>
          <w:szCs w:val="20"/>
        </w:rPr>
        <w:t xml:space="preserve">, M. “Un freno justificado al crédito </w:t>
      </w:r>
      <w:proofErr w:type="spellStart"/>
      <w:r w:rsidRPr="00B03532">
        <w:rPr>
          <w:rFonts w:cstheme="minorHAnsi"/>
          <w:sz w:val="20"/>
          <w:szCs w:val="20"/>
        </w:rPr>
        <w:t>revolving</w:t>
      </w:r>
      <w:proofErr w:type="spellEnd"/>
      <w:r w:rsidRPr="00B03532">
        <w:rPr>
          <w:rFonts w:cstheme="minorHAnsi"/>
          <w:sz w:val="20"/>
          <w:szCs w:val="20"/>
        </w:rPr>
        <w:t>”:</w:t>
      </w:r>
      <w:r w:rsidRPr="00B03532">
        <w:rPr>
          <w:rFonts w:cstheme="minorHAnsi"/>
          <w:i/>
          <w:sz w:val="20"/>
          <w:szCs w:val="20"/>
        </w:rPr>
        <w:t xml:space="preserve"> Publicaciones jurídicas CESCO</w:t>
      </w:r>
      <w:r w:rsidRPr="00B03532">
        <w:rPr>
          <w:rFonts w:cstheme="minorHAnsi"/>
          <w:sz w:val="20"/>
          <w:szCs w:val="20"/>
        </w:rPr>
        <w:t>, abril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Fernández-Bravo Francés</w:t>
      </w:r>
      <w:r w:rsidRPr="00B03532">
        <w:rPr>
          <w:rFonts w:cstheme="minorHAnsi"/>
          <w:sz w:val="20"/>
          <w:szCs w:val="20"/>
        </w:rPr>
        <w:t xml:space="preserve">, L. “La regulación de las moratorias hipotecarias en la pandemia por #COVID19. El notario en el RD Ley 19/2020”: </w:t>
      </w:r>
      <w:r w:rsidRPr="00B03532">
        <w:rPr>
          <w:rFonts w:cstheme="minorHAnsi"/>
          <w:i/>
          <w:sz w:val="20"/>
          <w:szCs w:val="20"/>
        </w:rPr>
        <w:t>Publicaciones jurídicas CESCO</w:t>
      </w:r>
      <w:r w:rsidRPr="00B03532">
        <w:rPr>
          <w:rFonts w:cstheme="minorHAnsi"/>
          <w:sz w:val="20"/>
          <w:szCs w:val="20"/>
        </w:rPr>
        <w:t>, junio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70" w:history="1">
        <w:r w:rsidR="00181687" w:rsidRPr="009B4DB5">
          <w:rPr>
            <w:rFonts w:eastAsia="Times New Roman" w:cstheme="minorHAnsi"/>
            <w:caps/>
            <w:color w:val="000000" w:themeColor="text1"/>
            <w:sz w:val="20"/>
            <w:szCs w:val="20"/>
            <w:bdr w:val="none" w:sz="0" w:space="0" w:color="auto" w:frame="1"/>
            <w:lang w:eastAsia="es-ES"/>
          </w:rPr>
          <w:t>Fernández de la Vega</w:t>
        </w:r>
      </w:hyperlink>
      <w:r w:rsidR="00181687" w:rsidRPr="009B4DB5">
        <w:rPr>
          <w:rFonts w:eastAsia="Times New Roman" w:cstheme="minorHAnsi"/>
          <w:color w:val="000000" w:themeColor="text1"/>
          <w:sz w:val="20"/>
          <w:szCs w:val="20"/>
          <w:bdr w:val="none" w:sz="0" w:space="0" w:color="auto" w:frame="1"/>
          <w:lang w:eastAsia="es-ES"/>
        </w:rPr>
        <w:t>, P. “La aplicación al avalista persona física de una sociedad mercantil de la normativa protectora de consumidores y usuarios”:</w:t>
      </w:r>
      <w:r w:rsidR="00181687" w:rsidRPr="009B4DB5">
        <w:rPr>
          <w:rFonts w:eastAsia="Times New Roman" w:cstheme="minorHAnsi"/>
          <w:color w:val="000000" w:themeColor="text1"/>
          <w:sz w:val="20"/>
          <w:szCs w:val="20"/>
          <w:lang w:eastAsia="es-ES"/>
        </w:rPr>
        <w:t xml:space="preserve"> </w:t>
      </w:r>
      <w:hyperlink r:id="rId71" w:history="1">
        <w:r w:rsidR="00181687" w:rsidRPr="009B4DB5">
          <w:rPr>
            <w:rFonts w:eastAsia="Times New Roman" w:cstheme="minorHAnsi"/>
            <w:i/>
            <w:color w:val="000000" w:themeColor="text1"/>
            <w:sz w:val="20"/>
            <w:szCs w:val="20"/>
            <w:bdr w:val="none" w:sz="0" w:space="0" w:color="auto" w:frame="1"/>
            <w:lang w:eastAsia="es-ES"/>
          </w:rPr>
          <w:t>La Ley mercantil</w:t>
        </w:r>
      </w:hyperlink>
      <w:r w:rsidR="00181687" w:rsidRPr="009B4DB5">
        <w:rPr>
          <w:rFonts w:eastAsia="Times New Roman" w:cstheme="minorHAnsi"/>
          <w:color w:val="000000" w:themeColor="text1"/>
          <w:sz w:val="20"/>
          <w:szCs w:val="20"/>
          <w:bdr w:val="none" w:sz="0" w:space="0" w:color="auto" w:frame="1"/>
          <w:lang w:eastAsia="es-ES"/>
        </w:rPr>
        <w:t>, </w:t>
      </w:r>
      <w:hyperlink r:id="rId72" w:history="1">
        <w:r w:rsidR="00181687" w:rsidRPr="009B4DB5">
          <w:rPr>
            <w:rFonts w:eastAsia="Times New Roman" w:cstheme="minorHAnsi"/>
            <w:color w:val="000000" w:themeColor="text1"/>
            <w:sz w:val="20"/>
            <w:szCs w:val="20"/>
            <w:bdr w:val="none" w:sz="0" w:space="0" w:color="auto" w:frame="1"/>
            <w:lang w:eastAsia="es-ES"/>
          </w:rPr>
          <w:t>nº. 68 (abril), 2020</w:t>
        </w:r>
      </w:hyperlink>
      <w:r w:rsidR="00181687" w:rsidRPr="009B4DB5">
        <w:rPr>
          <w:rFonts w:eastAsia="Times New Roman" w:cstheme="minorHAnsi"/>
          <w:color w:val="000000" w:themeColor="text1"/>
          <w:sz w:val="20"/>
          <w:szCs w:val="20"/>
          <w:bdr w:val="none" w:sz="0" w:space="0" w:color="auto" w:frame="1"/>
          <w:lang w:eastAsia="es-ES"/>
        </w:rPr>
        <w:t>.</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73" w:history="1">
        <w:r w:rsidR="00181687" w:rsidRPr="009B4DB5">
          <w:rPr>
            <w:rFonts w:eastAsia="Times New Roman" w:cstheme="minorHAnsi"/>
            <w:caps/>
            <w:color w:val="000000" w:themeColor="text1"/>
            <w:sz w:val="20"/>
            <w:szCs w:val="20"/>
            <w:bdr w:val="none" w:sz="0" w:space="0" w:color="auto" w:frame="1"/>
            <w:lang w:eastAsia="es-ES"/>
          </w:rPr>
          <w:t>Ferrante</w:t>
        </w:r>
      </w:hyperlink>
      <w:r w:rsidR="00181687" w:rsidRPr="009B4DB5">
        <w:rPr>
          <w:rFonts w:eastAsia="Times New Roman" w:cstheme="minorHAnsi"/>
          <w:caps/>
          <w:color w:val="000000" w:themeColor="text1"/>
          <w:sz w:val="20"/>
          <w:szCs w:val="20"/>
          <w:bdr w:val="none" w:sz="0" w:space="0" w:color="auto" w:frame="1"/>
          <w:lang w:eastAsia="es-ES"/>
        </w:rPr>
        <w:t>, E</w:t>
      </w:r>
      <w:r w:rsidR="00181687" w:rsidRPr="009B4DB5">
        <w:rPr>
          <w:rFonts w:eastAsia="Times New Roman" w:cstheme="minorHAnsi"/>
          <w:color w:val="000000" w:themeColor="text1"/>
          <w:sz w:val="20"/>
          <w:szCs w:val="20"/>
          <w:bdr w:val="none" w:sz="0" w:space="0" w:color="auto" w:frame="1"/>
          <w:lang w:eastAsia="es-ES"/>
        </w:rPr>
        <w:t xml:space="preserve">. “Pandemia e </w:t>
      </w:r>
      <w:proofErr w:type="spellStart"/>
      <w:r w:rsidR="00181687" w:rsidRPr="009B4DB5">
        <w:rPr>
          <w:rFonts w:eastAsia="Times New Roman" w:cstheme="minorHAnsi"/>
          <w:color w:val="000000" w:themeColor="text1"/>
          <w:sz w:val="20"/>
          <w:szCs w:val="20"/>
          <w:bdr w:val="none" w:sz="0" w:space="0" w:color="auto" w:frame="1"/>
          <w:lang w:eastAsia="es-ES"/>
        </w:rPr>
        <w:t>contratto</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Alcune</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proposte</w:t>
      </w:r>
      <w:proofErr w:type="spellEnd"/>
      <w:r w:rsidR="00181687" w:rsidRPr="009B4DB5">
        <w:rPr>
          <w:rFonts w:eastAsia="Times New Roman" w:cstheme="minorHAnsi"/>
          <w:color w:val="000000" w:themeColor="text1"/>
          <w:sz w:val="20"/>
          <w:szCs w:val="20"/>
          <w:bdr w:val="none" w:sz="0" w:space="0" w:color="auto" w:frame="1"/>
          <w:lang w:eastAsia="es-ES"/>
        </w:rPr>
        <w:t xml:space="preserve"> per </w:t>
      </w:r>
      <w:proofErr w:type="spellStart"/>
      <w:r w:rsidR="00181687" w:rsidRPr="009B4DB5">
        <w:rPr>
          <w:rFonts w:eastAsia="Times New Roman" w:cstheme="minorHAnsi"/>
          <w:color w:val="000000" w:themeColor="text1"/>
          <w:sz w:val="20"/>
          <w:szCs w:val="20"/>
          <w:bdr w:val="none" w:sz="0" w:space="0" w:color="auto" w:frame="1"/>
          <w:lang w:eastAsia="es-ES"/>
        </w:rPr>
        <w:t>il</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contenimento</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dell’incertezza</w:t>
      </w:r>
      <w:proofErr w:type="spellEnd"/>
      <w:r w:rsidR="00181687" w:rsidRPr="009B4DB5">
        <w:rPr>
          <w:rFonts w:eastAsia="Times New Roman" w:cstheme="minorHAnsi"/>
          <w:color w:val="000000" w:themeColor="text1"/>
          <w:sz w:val="20"/>
          <w:szCs w:val="20"/>
          <w:bdr w:val="none" w:sz="0" w:space="0" w:color="auto" w:frame="1"/>
          <w:lang w:eastAsia="es-ES"/>
        </w:rPr>
        <w:t>”:</w:t>
      </w:r>
      <w:r w:rsidR="00181687" w:rsidRPr="009B4DB5">
        <w:rPr>
          <w:rFonts w:eastAsia="Times New Roman" w:cstheme="minorHAnsi"/>
          <w:color w:val="000000" w:themeColor="text1"/>
          <w:sz w:val="20"/>
          <w:szCs w:val="20"/>
          <w:lang w:eastAsia="es-ES"/>
        </w:rPr>
        <w:t xml:space="preserve"> </w:t>
      </w:r>
      <w:hyperlink r:id="rId74" w:history="1">
        <w:r w:rsidR="00181687" w:rsidRPr="009B4DB5">
          <w:rPr>
            <w:rFonts w:eastAsia="Times New Roman" w:cstheme="minorHAnsi"/>
            <w:i/>
            <w:color w:val="000000" w:themeColor="text1"/>
            <w:sz w:val="20"/>
            <w:szCs w:val="20"/>
            <w:bdr w:val="none" w:sz="0" w:space="0" w:color="auto" w:frame="1"/>
            <w:lang w:eastAsia="es-ES"/>
          </w:rPr>
          <w:t>Actualidad jurídica iberoamericana</w:t>
        </w:r>
      </w:hyperlink>
      <w:r w:rsidR="00181687" w:rsidRPr="009B4DB5">
        <w:rPr>
          <w:rFonts w:eastAsia="Times New Roman" w:cstheme="minorHAnsi"/>
          <w:color w:val="000000" w:themeColor="text1"/>
          <w:sz w:val="20"/>
          <w:szCs w:val="20"/>
          <w:bdr w:val="none" w:sz="0" w:space="0" w:color="auto" w:frame="1"/>
          <w:lang w:eastAsia="es-ES"/>
        </w:rPr>
        <w:t>, </w:t>
      </w:r>
      <w:hyperlink r:id="rId75" w:history="1">
        <w:r w:rsidR="00181687" w:rsidRPr="009B4DB5">
          <w:rPr>
            <w:rFonts w:eastAsia="Times New Roman" w:cstheme="minorHAnsi"/>
            <w:color w:val="000000" w:themeColor="text1"/>
            <w:sz w:val="20"/>
            <w:szCs w:val="20"/>
            <w:bdr w:val="none" w:sz="0" w:space="0" w:color="auto" w:frame="1"/>
            <w:lang w:eastAsia="es-ES"/>
          </w:rPr>
          <w:t>nº. Extra 12, 2, 2020</w:t>
        </w:r>
      </w:hyperlink>
      <w:r w:rsidR="00181687" w:rsidRPr="009B4DB5">
        <w:rPr>
          <w:rFonts w:eastAsia="Times New Roman" w:cstheme="minorHAnsi"/>
          <w:color w:val="000000" w:themeColor="text1"/>
          <w:sz w:val="20"/>
          <w:szCs w:val="20"/>
          <w:bdr w:val="none" w:sz="0" w:space="0" w:color="auto" w:frame="1"/>
          <w:lang w:eastAsia="es-ES"/>
        </w:rPr>
        <w:t>, págs. 300-313.</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CF6D6C" w:rsidP="00B03532">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hyperlink r:id="rId76" w:history="1">
        <w:r w:rsidR="00181687" w:rsidRPr="009B4DB5">
          <w:rPr>
            <w:rFonts w:eastAsia="Times New Roman" w:cstheme="minorHAnsi"/>
            <w:caps/>
            <w:color w:val="000000" w:themeColor="text1"/>
            <w:sz w:val="20"/>
            <w:szCs w:val="20"/>
            <w:bdr w:val="none" w:sz="0" w:space="0" w:color="auto" w:frame="1"/>
            <w:lang w:eastAsia="es-ES"/>
          </w:rPr>
          <w:t>Font de Mora Rullán</w:t>
        </w:r>
      </w:hyperlink>
      <w:r w:rsidR="00181687" w:rsidRPr="009B4DB5">
        <w:rPr>
          <w:rFonts w:eastAsia="Times New Roman" w:cstheme="minorHAnsi"/>
          <w:color w:val="000000" w:themeColor="text1"/>
          <w:sz w:val="20"/>
          <w:szCs w:val="20"/>
          <w:bdr w:val="none" w:sz="0" w:space="0" w:color="auto" w:frame="1"/>
          <w:lang w:eastAsia="es-ES"/>
        </w:rPr>
        <w:t xml:space="preserve">, J. “Una nueva vuelta de tuerca a la problemática de los lanzamientos hipotecarios suspendidos por </w:t>
      </w:r>
      <w:proofErr w:type="spellStart"/>
      <w:r w:rsidR="00181687" w:rsidRPr="009B4DB5">
        <w:rPr>
          <w:rFonts w:eastAsia="Times New Roman" w:cstheme="minorHAnsi"/>
          <w:color w:val="000000" w:themeColor="text1"/>
          <w:sz w:val="20"/>
          <w:szCs w:val="20"/>
          <w:bdr w:val="none" w:sz="0" w:space="0" w:color="auto" w:frame="1"/>
          <w:lang w:eastAsia="es-ES"/>
        </w:rPr>
        <w:t>vulnerabilidadCrítica</w:t>
      </w:r>
      <w:proofErr w:type="spellEnd"/>
      <w:r w:rsidR="00181687" w:rsidRPr="009B4DB5">
        <w:rPr>
          <w:rFonts w:eastAsia="Times New Roman" w:cstheme="minorHAnsi"/>
          <w:color w:val="000000" w:themeColor="text1"/>
          <w:sz w:val="20"/>
          <w:szCs w:val="20"/>
          <w:bdr w:val="none" w:sz="0" w:space="0" w:color="auto" w:frame="1"/>
          <w:lang w:eastAsia="es-ES"/>
        </w:rPr>
        <w:t xml:space="preserve"> al real decreto-ley 6/20 de 10 de marzo por las cuestionables medidas adoptadas bajo el pretexto de la crisis del covid-19”:</w:t>
      </w:r>
      <w:r w:rsidR="00181687" w:rsidRPr="009B4DB5">
        <w:rPr>
          <w:rFonts w:eastAsia="Times New Roman" w:cstheme="minorHAnsi"/>
          <w:color w:val="000000" w:themeColor="text1"/>
          <w:sz w:val="20"/>
          <w:szCs w:val="20"/>
          <w:lang w:eastAsia="es-ES"/>
        </w:rPr>
        <w:t xml:space="preserve"> </w:t>
      </w:r>
      <w:hyperlink r:id="rId77" w:history="1">
        <w:r w:rsidR="00181687" w:rsidRPr="009B4DB5">
          <w:rPr>
            <w:rFonts w:eastAsia="Times New Roman" w:cstheme="minorHAnsi"/>
            <w:i/>
            <w:color w:val="000000" w:themeColor="text1"/>
            <w:sz w:val="20"/>
            <w:szCs w:val="20"/>
            <w:bdr w:val="none" w:sz="0" w:space="0" w:color="auto" w:frame="1"/>
            <w:lang w:eastAsia="es-ES"/>
          </w:rPr>
          <w:t>Diario La Ley</w:t>
        </w:r>
      </w:hyperlink>
      <w:r w:rsidR="00181687" w:rsidRPr="009B4DB5">
        <w:rPr>
          <w:rFonts w:eastAsia="Times New Roman" w:cstheme="minorHAnsi"/>
          <w:color w:val="000000" w:themeColor="text1"/>
          <w:sz w:val="20"/>
          <w:szCs w:val="20"/>
          <w:bdr w:val="none" w:sz="0" w:space="0" w:color="auto" w:frame="1"/>
          <w:lang w:eastAsia="es-ES"/>
        </w:rPr>
        <w:t>, </w:t>
      </w:r>
      <w:hyperlink r:id="rId78" w:history="1">
        <w:r w:rsidR="00181687" w:rsidRPr="009B4DB5">
          <w:rPr>
            <w:rFonts w:eastAsia="Times New Roman" w:cstheme="minorHAnsi"/>
            <w:color w:val="000000" w:themeColor="text1"/>
            <w:sz w:val="20"/>
            <w:szCs w:val="20"/>
            <w:bdr w:val="none" w:sz="0" w:space="0" w:color="auto" w:frame="1"/>
            <w:lang w:eastAsia="es-ES"/>
          </w:rPr>
          <w:t>nº 9618, 2020</w:t>
        </w:r>
      </w:hyperlink>
      <w:r w:rsidR="00181687" w:rsidRPr="009B4DB5">
        <w:rPr>
          <w:rFonts w:eastAsia="Times New Roman" w:cstheme="minorHAnsi"/>
          <w:color w:val="000000" w:themeColor="text1"/>
          <w:sz w:val="20"/>
          <w:szCs w:val="20"/>
          <w:bdr w:val="none" w:sz="0" w:space="0" w:color="auto" w:frame="1"/>
          <w:lang w:eastAsia="es-ES"/>
        </w:rPr>
        <w:t>.</w:t>
      </w:r>
    </w:p>
    <w:p w:rsidR="00B03532" w:rsidRPr="00B03532" w:rsidRDefault="00B03532" w:rsidP="00B03532">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r w:rsidRPr="00B03532">
        <w:rPr>
          <w:rFonts w:cstheme="minorHAnsi"/>
          <w:caps/>
          <w:sz w:val="20"/>
          <w:szCs w:val="20"/>
        </w:rPr>
        <w:t>García Vicente</w:t>
      </w:r>
      <w:r w:rsidRPr="00B03532">
        <w:rPr>
          <w:rFonts w:cstheme="minorHAnsi"/>
          <w:sz w:val="20"/>
          <w:szCs w:val="20"/>
        </w:rPr>
        <w:t>, J. R. “Proporcionado a las circunstancias del caso”:</w:t>
      </w:r>
      <w:r w:rsidRPr="00B03532">
        <w:rPr>
          <w:rFonts w:cstheme="minorHAnsi"/>
          <w:i/>
          <w:sz w:val="20"/>
          <w:szCs w:val="20"/>
        </w:rPr>
        <w:t xml:space="preserve"> Publicaciones jurídicas CESCO</w:t>
      </w:r>
      <w:r w:rsidRPr="00B03532">
        <w:rPr>
          <w:rFonts w:cstheme="minorHAnsi"/>
          <w:sz w:val="20"/>
          <w:szCs w:val="20"/>
        </w:rPr>
        <w:t>, abril 2020.</w:t>
      </w:r>
    </w:p>
    <w:p w:rsidR="00181687" w:rsidRPr="00B03532" w:rsidRDefault="00181687" w:rsidP="00B03532">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79" w:history="1">
        <w:r w:rsidR="00181687" w:rsidRPr="009B4DB5">
          <w:rPr>
            <w:rFonts w:eastAsia="Times New Roman" w:cstheme="minorHAnsi"/>
            <w:caps/>
            <w:color w:val="000000" w:themeColor="text1"/>
            <w:sz w:val="20"/>
            <w:szCs w:val="20"/>
            <w:bdr w:val="none" w:sz="0" w:space="0" w:color="auto" w:frame="1"/>
            <w:lang w:eastAsia="es-ES"/>
          </w:rPr>
          <w:t>Giorgini</w:t>
        </w:r>
      </w:hyperlink>
      <w:r w:rsidR="00181687" w:rsidRPr="009B4DB5">
        <w:rPr>
          <w:rFonts w:eastAsia="Times New Roman" w:cstheme="minorHAnsi"/>
          <w:caps/>
          <w:color w:val="000000" w:themeColor="text1"/>
          <w:sz w:val="20"/>
          <w:szCs w:val="20"/>
          <w:bdr w:val="none" w:sz="0" w:space="0" w:color="auto" w:frame="1"/>
          <w:lang w:eastAsia="es-ES"/>
        </w:rPr>
        <w:t>, E</w:t>
      </w:r>
      <w:r w:rsidR="00181687" w:rsidRPr="009B4DB5">
        <w:rPr>
          <w:rFonts w:eastAsia="Times New Roman" w:cstheme="minorHAnsi"/>
          <w:color w:val="000000" w:themeColor="text1"/>
          <w:sz w:val="20"/>
          <w:szCs w:val="20"/>
          <w:bdr w:val="none" w:sz="0" w:space="0" w:color="auto" w:frame="1"/>
          <w:lang w:eastAsia="es-ES"/>
        </w:rPr>
        <w:t xml:space="preserve">. “Pandemia, equilibrio </w:t>
      </w:r>
      <w:proofErr w:type="spellStart"/>
      <w:r w:rsidR="00181687" w:rsidRPr="009B4DB5">
        <w:rPr>
          <w:rFonts w:eastAsia="Times New Roman" w:cstheme="minorHAnsi"/>
          <w:color w:val="000000" w:themeColor="text1"/>
          <w:sz w:val="20"/>
          <w:szCs w:val="20"/>
          <w:bdr w:val="none" w:sz="0" w:space="0" w:color="auto" w:frame="1"/>
          <w:lang w:eastAsia="es-ES"/>
        </w:rPr>
        <w:t>delle</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posizioni</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contrattuali</w:t>
      </w:r>
      <w:proofErr w:type="spellEnd"/>
      <w:r w:rsidR="00181687" w:rsidRPr="009B4DB5">
        <w:rPr>
          <w:rFonts w:eastAsia="Times New Roman" w:cstheme="minorHAnsi"/>
          <w:color w:val="000000" w:themeColor="text1"/>
          <w:sz w:val="20"/>
          <w:szCs w:val="20"/>
          <w:bdr w:val="none" w:sz="0" w:space="0" w:color="auto" w:frame="1"/>
          <w:lang w:eastAsia="es-ES"/>
        </w:rPr>
        <w:t xml:space="preserve"> e </w:t>
      </w:r>
      <w:proofErr w:type="spellStart"/>
      <w:r w:rsidR="00181687" w:rsidRPr="009B4DB5">
        <w:rPr>
          <w:rFonts w:eastAsia="Times New Roman" w:cstheme="minorHAnsi"/>
          <w:color w:val="000000" w:themeColor="text1"/>
          <w:sz w:val="20"/>
          <w:szCs w:val="20"/>
          <w:bdr w:val="none" w:sz="0" w:space="0" w:color="auto" w:frame="1"/>
          <w:lang w:eastAsia="es-ES"/>
        </w:rPr>
        <w:t>giusto</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rimedio</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Brevi</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annotazioni</w:t>
      </w:r>
      <w:proofErr w:type="spellEnd"/>
      <w:r w:rsidR="00181687" w:rsidRPr="009B4DB5">
        <w:rPr>
          <w:rFonts w:eastAsia="Times New Roman" w:cstheme="minorHAnsi"/>
          <w:color w:val="000000" w:themeColor="text1"/>
          <w:sz w:val="20"/>
          <w:szCs w:val="20"/>
          <w:bdr w:val="none" w:sz="0" w:space="0" w:color="auto" w:frame="1"/>
          <w:lang w:eastAsia="es-ES"/>
        </w:rPr>
        <w:t>”:</w:t>
      </w:r>
      <w:r w:rsidR="00181687" w:rsidRPr="009B4DB5">
        <w:rPr>
          <w:rFonts w:eastAsia="Times New Roman" w:cstheme="minorHAnsi"/>
          <w:color w:val="000000" w:themeColor="text1"/>
          <w:sz w:val="20"/>
          <w:szCs w:val="20"/>
          <w:lang w:eastAsia="es-ES"/>
        </w:rPr>
        <w:t xml:space="preserve"> </w:t>
      </w:r>
      <w:hyperlink r:id="rId80" w:history="1">
        <w:r w:rsidR="00181687" w:rsidRPr="009B4DB5">
          <w:rPr>
            <w:rFonts w:eastAsia="Times New Roman" w:cstheme="minorHAnsi"/>
            <w:i/>
            <w:color w:val="000000" w:themeColor="text1"/>
            <w:sz w:val="20"/>
            <w:szCs w:val="20"/>
            <w:bdr w:val="none" w:sz="0" w:space="0" w:color="auto" w:frame="1"/>
            <w:lang w:eastAsia="es-ES"/>
          </w:rPr>
          <w:t>Actualidad jurídica iberoamericana</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81" w:history="1">
        <w:r w:rsidR="00181687" w:rsidRPr="009B4DB5">
          <w:rPr>
            <w:rFonts w:eastAsia="Times New Roman" w:cstheme="minorHAnsi"/>
            <w:color w:val="000000" w:themeColor="text1"/>
            <w:sz w:val="20"/>
            <w:szCs w:val="20"/>
            <w:bdr w:val="none" w:sz="0" w:space="0" w:color="auto" w:frame="1"/>
            <w:lang w:eastAsia="es-ES"/>
          </w:rPr>
          <w:t>nº. Extra 12, 2, 2020</w:t>
        </w:r>
      </w:hyperlink>
      <w:r w:rsidR="00181687" w:rsidRPr="009B4DB5">
        <w:rPr>
          <w:rFonts w:eastAsia="Times New Roman" w:cstheme="minorHAnsi"/>
          <w:color w:val="000000" w:themeColor="text1"/>
          <w:sz w:val="20"/>
          <w:szCs w:val="20"/>
          <w:bdr w:val="none" w:sz="0" w:space="0" w:color="auto" w:frame="1"/>
          <w:lang w:eastAsia="es-ES"/>
        </w:rPr>
        <w:t>, págs. 274-283.</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CF6D6C"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82" w:history="1">
        <w:r w:rsidR="00181687" w:rsidRPr="009B4DB5">
          <w:rPr>
            <w:rFonts w:eastAsia="Times New Roman" w:cstheme="minorHAnsi"/>
            <w:caps/>
            <w:color w:val="000000" w:themeColor="text1"/>
            <w:sz w:val="20"/>
            <w:szCs w:val="20"/>
            <w:bdr w:val="none" w:sz="0" w:space="0" w:color="auto" w:frame="1"/>
            <w:lang w:eastAsia="es-ES"/>
          </w:rPr>
          <w:t>Gómez Santos</w:t>
        </w:r>
      </w:hyperlink>
      <w:r w:rsidR="00181687" w:rsidRPr="009B4DB5">
        <w:rPr>
          <w:rFonts w:eastAsia="Times New Roman" w:cstheme="minorHAnsi"/>
          <w:color w:val="000000" w:themeColor="text1"/>
          <w:sz w:val="20"/>
          <w:szCs w:val="20"/>
          <w:bdr w:val="none" w:sz="0" w:space="0" w:color="auto" w:frame="1"/>
          <w:lang w:eastAsia="es-ES"/>
        </w:rPr>
        <w:t xml:space="preserve">, M. “Seguros de vida y </w:t>
      </w:r>
      <w:proofErr w:type="spellStart"/>
      <w:r w:rsidR="00181687" w:rsidRPr="009B4DB5">
        <w:rPr>
          <w:rFonts w:eastAsia="Times New Roman" w:cstheme="minorHAnsi"/>
          <w:color w:val="000000" w:themeColor="text1"/>
          <w:sz w:val="20"/>
          <w:szCs w:val="20"/>
          <w:bdr w:val="none" w:sz="0" w:space="0" w:color="auto" w:frame="1"/>
          <w:lang w:eastAsia="es-ES"/>
        </w:rPr>
        <w:t>big</w:t>
      </w:r>
      <w:proofErr w:type="spellEnd"/>
      <w:r w:rsidR="00181687" w:rsidRPr="009B4DB5">
        <w:rPr>
          <w:rFonts w:eastAsia="Times New Roman" w:cstheme="minorHAnsi"/>
          <w:color w:val="000000" w:themeColor="text1"/>
          <w:sz w:val="20"/>
          <w:szCs w:val="20"/>
          <w:bdr w:val="none" w:sz="0" w:space="0" w:color="auto" w:frame="1"/>
          <w:lang w:eastAsia="es-ES"/>
        </w:rPr>
        <w:t xml:space="preserve"> data”:</w:t>
      </w:r>
      <w:r w:rsidR="00181687" w:rsidRPr="009B4DB5">
        <w:rPr>
          <w:rFonts w:eastAsia="Times New Roman" w:cstheme="minorHAnsi"/>
          <w:color w:val="000000" w:themeColor="text1"/>
          <w:sz w:val="20"/>
          <w:szCs w:val="20"/>
          <w:lang w:eastAsia="es-ES"/>
        </w:rPr>
        <w:t xml:space="preserve"> </w:t>
      </w:r>
      <w:hyperlink r:id="rId83" w:history="1">
        <w:r w:rsidR="00181687" w:rsidRPr="009B4DB5">
          <w:rPr>
            <w:rFonts w:eastAsia="Times New Roman" w:cstheme="minorHAnsi"/>
            <w:i/>
            <w:color w:val="000000" w:themeColor="text1"/>
            <w:sz w:val="20"/>
            <w:szCs w:val="20"/>
            <w:bdr w:val="none" w:sz="0" w:space="0" w:color="auto" w:frame="1"/>
            <w:lang w:eastAsia="es-ES"/>
          </w:rPr>
          <w:t>La Ley mercantil</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84" w:history="1">
        <w:r w:rsidR="00181687" w:rsidRPr="009B4DB5">
          <w:rPr>
            <w:rFonts w:eastAsia="Times New Roman" w:cstheme="minorHAnsi"/>
            <w:color w:val="000000" w:themeColor="text1"/>
            <w:sz w:val="20"/>
            <w:szCs w:val="20"/>
            <w:bdr w:val="none" w:sz="0" w:space="0" w:color="auto" w:frame="1"/>
            <w:lang w:eastAsia="es-ES"/>
          </w:rPr>
          <w:t>nº. 67 (marzo), 2020</w:t>
        </w:r>
      </w:hyperlink>
      <w:r w:rsidR="00181687" w:rsidRPr="009B4DB5">
        <w:rPr>
          <w:rFonts w:eastAsia="Times New Roman" w:cstheme="minorHAnsi"/>
          <w:color w:val="000000" w:themeColor="text1"/>
          <w:sz w:val="20"/>
          <w:szCs w:val="20"/>
          <w:bdr w:val="none" w:sz="0" w:space="0" w:color="auto" w:frame="1"/>
          <w:lang w:eastAsia="es-ES"/>
        </w:rPr>
        <w:t>.</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González Carrasco, M. c</w:t>
      </w:r>
      <w:r w:rsidRPr="00B03532">
        <w:rPr>
          <w:rFonts w:cstheme="minorHAnsi"/>
          <w:sz w:val="20"/>
          <w:szCs w:val="20"/>
        </w:rPr>
        <w:t>. “Conclusiones del Abogado General de 30 de abril de 2020 en el Asunto C</w:t>
      </w:r>
      <w:r w:rsidRPr="00B03532">
        <w:rPr>
          <w:rFonts w:ascii="Cambria Math" w:hAnsi="Cambria Math" w:cs="Cambria Math"/>
          <w:sz w:val="20"/>
          <w:szCs w:val="20"/>
        </w:rPr>
        <w:t>‑</w:t>
      </w:r>
      <w:r w:rsidRPr="00B03532">
        <w:rPr>
          <w:rFonts w:cstheme="minorHAnsi"/>
          <w:sz w:val="20"/>
          <w:szCs w:val="20"/>
        </w:rPr>
        <w:t xml:space="preserve">287/19 sobre la interpretación de la Directiva 2015/2366 (PSD2) en relación con las modificaciones contractuales de los servicios de pago incluidos en las tarjetas bancarias multifuncionales personalizadas (tarjetas </w:t>
      </w:r>
      <w:proofErr w:type="spellStart"/>
      <w:r w:rsidRPr="00B03532">
        <w:rPr>
          <w:rFonts w:cstheme="minorHAnsi"/>
          <w:sz w:val="20"/>
          <w:szCs w:val="20"/>
        </w:rPr>
        <w:t>contactless</w:t>
      </w:r>
      <w:proofErr w:type="spellEnd"/>
      <w:r w:rsidRPr="00B03532">
        <w:rPr>
          <w:rFonts w:cstheme="minorHAnsi"/>
          <w:sz w:val="20"/>
          <w:szCs w:val="20"/>
        </w:rPr>
        <w:t xml:space="preserve">)”: </w:t>
      </w:r>
      <w:r w:rsidRPr="00B03532">
        <w:rPr>
          <w:rFonts w:cstheme="minorHAnsi"/>
          <w:i/>
          <w:sz w:val="20"/>
          <w:szCs w:val="20"/>
        </w:rPr>
        <w:t>Publicaciones jurídicas CESCO</w:t>
      </w:r>
      <w:r w:rsidRPr="00B03532">
        <w:rPr>
          <w:rFonts w:cstheme="minorHAnsi"/>
          <w:sz w:val="20"/>
          <w:szCs w:val="20"/>
        </w:rPr>
        <w:t>, mayo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CF6D6C"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85" w:history="1">
        <w:r w:rsidR="00181687" w:rsidRPr="009B4DB5">
          <w:rPr>
            <w:rFonts w:eastAsia="Times New Roman" w:cstheme="minorHAnsi"/>
            <w:caps/>
            <w:color w:val="000000" w:themeColor="text1"/>
            <w:sz w:val="20"/>
            <w:szCs w:val="20"/>
            <w:bdr w:val="none" w:sz="0" w:space="0" w:color="auto" w:frame="1"/>
            <w:lang w:eastAsia="es-ES"/>
          </w:rPr>
          <w:t>González Fernández</w:t>
        </w:r>
      </w:hyperlink>
      <w:r w:rsidR="00181687" w:rsidRPr="009B4DB5">
        <w:rPr>
          <w:rFonts w:eastAsia="Times New Roman" w:cstheme="minorHAnsi"/>
          <w:color w:val="000000" w:themeColor="text1"/>
          <w:sz w:val="20"/>
          <w:szCs w:val="20"/>
          <w:bdr w:val="none" w:sz="0" w:space="0" w:color="auto" w:frame="1"/>
          <w:lang w:eastAsia="es-ES"/>
        </w:rPr>
        <w:t>, F. “Aspectos prácticos derivados de la cancelación de eventos culturales durante la pandemia”:</w:t>
      </w:r>
      <w:r w:rsidR="00181687" w:rsidRPr="009B4DB5">
        <w:rPr>
          <w:rFonts w:eastAsia="Times New Roman" w:cstheme="minorHAnsi"/>
          <w:color w:val="000000" w:themeColor="text1"/>
          <w:sz w:val="20"/>
          <w:szCs w:val="20"/>
          <w:lang w:eastAsia="es-ES"/>
        </w:rPr>
        <w:t xml:space="preserve"> </w:t>
      </w:r>
      <w:hyperlink r:id="rId86" w:history="1">
        <w:r w:rsidR="00181687" w:rsidRPr="009B4DB5">
          <w:rPr>
            <w:rFonts w:eastAsia="Times New Roman" w:cstheme="minorHAnsi"/>
            <w:i/>
            <w:color w:val="000000" w:themeColor="text1"/>
            <w:sz w:val="20"/>
            <w:szCs w:val="20"/>
            <w:bdr w:val="none" w:sz="0" w:space="0" w:color="auto" w:frame="1"/>
            <w:lang w:eastAsia="es-ES"/>
          </w:rPr>
          <w:t>Diario La Ley</w:t>
        </w:r>
      </w:hyperlink>
      <w:r w:rsidR="00181687" w:rsidRPr="009B4DB5">
        <w:rPr>
          <w:rFonts w:eastAsia="Times New Roman" w:cstheme="minorHAnsi"/>
          <w:color w:val="000000" w:themeColor="text1"/>
          <w:sz w:val="20"/>
          <w:szCs w:val="20"/>
          <w:bdr w:val="none" w:sz="0" w:space="0" w:color="auto" w:frame="1"/>
          <w:lang w:eastAsia="es-ES"/>
        </w:rPr>
        <w:t>, n</w:t>
      </w:r>
      <w:hyperlink r:id="rId87" w:history="1">
        <w:r w:rsidR="00181687" w:rsidRPr="009B4DB5">
          <w:rPr>
            <w:rFonts w:eastAsia="Times New Roman" w:cstheme="minorHAnsi"/>
            <w:color w:val="000000" w:themeColor="text1"/>
            <w:sz w:val="20"/>
            <w:szCs w:val="20"/>
            <w:bdr w:val="none" w:sz="0" w:space="0" w:color="auto" w:frame="1"/>
            <w:lang w:eastAsia="es-ES"/>
          </w:rPr>
          <w:t>º 9648, 2020</w:t>
        </w:r>
      </w:hyperlink>
      <w:r w:rsidR="00B03532">
        <w:rPr>
          <w:rFonts w:eastAsia="Times New Roman" w:cstheme="minorHAnsi"/>
          <w:color w:val="000000" w:themeColor="text1"/>
          <w:sz w:val="20"/>
          <w:szCs w:val="20"/>
          <w:bdr w:val="none" w:sz="0" w:space="0" w:color="auto" w:frame="1"/>
          <w:lang w:eastAsia="es-ES"/>
        </w:rPr>
        <w:t>.</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González Iglesias</w:t>
      </w:r>
      <w:r w:rsidRPr="00B03532">
        <w:rPr>
          <w:rFonts w:cstheme="minorHAnsi"/>
          <w:sz w:val="20"/>
          <w:szCs w:val="20"/>
        </w:rPr>
        <w:t xml:space="preserve">, E. A. “El Derecho de Propiedad del Dato y su posible monetización”: </w:t>
      </w:r>
      <w:r w:rsidRPr="00B03532">
        <w:rPr>
          <w:rFonts w:cstheme="minorHAnsi"/>
          <w:i/>
          <w:sz w:val="20"/>
          <w:szCs w:val="20"/>
        </w:rPr>
        <w:t>Publicaciones jurídicas CESCO</w:t>
      </w:r>
      <w:r w:rsidRPr="00B03532">
        <w:rPr>
          <w:rFonts w:cstheme="minorHAnsi"/>
          <w:sz w:val="20"/>
          <w:szCs w:val="20"/>
        </w:rPr>
        <w:t>, mayo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González Vázquez</w:t>
      </w:r>
      <w:r w:rsidRPr="00B03532">
        <w:rPr>
          <w:rFonts w:cstheme="minorHAnsi"/>
          <w:sz w:val="20"/>
          <w:szCs w:val="20"/>
        </w:rPr>
        <w:t xml:space="preserve"> , J. C. “Interés notablemente superior al normal del dinero: en qué acierta y en qué se equivoca la STS de 4 de marzo de 2020”:</w:t>
      </w:r>
      <w:r w:rsidRPr="00B03532">
        <w:rPr>
          <w:rFonts w:cstheme="minorHAnsi"/>
          <w:i/>
          <w:sz w:val="20"/>
          <w:szCs w:val="20"/>
        </w:rPr>
        <w:t xml:space="preserve"> Publicaciones jurídicas CESCO</w:t>
      </w:r>
      <w:r w:rsidRPr="00B03532">
        <w:rPr>
          <w:rFonts w:cstheme="minorHAnsi"/>
          <w:sz w:val="20"/>
          <w:szCs w:val="20"/>
        </w:rPr>
        <w:t>, abril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88" w:history="1">
        <w:r w:rsidR="00181687" w:rsidRPr="009B4DB5">
          <w:rPr>
            <w:rFonts w:eastAsia="Times New Roman" w:cstheme="minorHAnsi"/>
            <w:caps/>
            <w:color w:val="000000" w:themeColor="text1"/>
            <w:sz w:val="20"/>
            <w:szCs w:val="20"/>
            <w:bdr w:val="none" w:sz="0" w:space="0" w:color="auto" w:frame="1"/>
            <w:lang w:eastAsia="es-ES"/>
          </w:rPr>
          <w:t>Goñi Rodríguez de Almeida</w:t>
        </w:r>
      </w:hyperlink>
      <w:r w:rsidR="00181687" w:rsidRPr="009B4DB5">
        <w:rPr>
          <w:rFonts w:eastAsia="Times New Roman" w:cstheme="minorHAnsi"/>
          <w:color w:val="000000" w:themeColor="text1"/>
          <w:sz w:val="20"/>
          <w:szCs w:val="20"/>
          <w:bdr w:val="none" w:sz="0" w:space="0" w:color="auto" w:frame="1"/>
          <w:lang w:eastAsia="es-ES"/>
        </w:rPr>
        <w:t>, M. “La cláusula de vencimiento anticipado en préstamos hipotecarios”:</w:t>
      </w:r>
      <w:r w:rsidR="00181687" w:rsidRPr="009B4DB5">
        <w:rPr>
          <w:rFonts w:eastAsia="Times New Roman" w:cstheme="minorHAnsi"/>
          <w:color w:val="000000" w:themeColor="text1"/>
          <w:sz w:val="20"/>
          <w:szCs w:val="20"/>
          <w:lang w:eastAsia="es-ES"/>
        </w:rPr>
        <w:t xml:space="preserve"> </w:t>
      </w:r>
      <w:hyperlink r:id="rId89" w:history="1">
        <w:r w:rsidR="00181687" w:rsidRPr="009B4DB5">
          <w:rPr>
            <w:rFonts w:eastAsia="Times New Roman" w:cstheme="minorHAnsi"/>
            <w:i/>
            <w:color w:val="000000" w:themeColor="text1"/>
            <w:sz w:val="20"/>
            <w:szCs w:val="20"/>
            <w:bdr w:val="none" w:sz="0" w:space="0" w:color="auto" w:frame="1"/>
            <w:lang w:eastAsia="es-ES"/>
          </w:rPr>
          <w:t>Revista Crítica de Derecho Inmobiliario</w:t>
        </w:r>
      </w:hyperlink>
      <w:r w:rsidR="00181687" w:rsidRPr="009B4DB5">
        <w:rPr>
          <w:rFonts w:eastAsia="Times New Roman" w:cstheme="minorHAnsi"/>
          <w:color w:val="000000" w:themeColor="text1"/>
          <w:sz w:val="20"/>
          <w:szCs w:val="20"/>
          <w:bdr w:val="none" w:sz="0" w:space="0" w:color="auto" w:frame="1"/>
          <w:lang w:eastAsia="es-ES"/>
        </w:rPr>
        <w:t>, </w:t>
      </w:r>
      <w:hyperlink r:id="rId90" w:history="1">
        <w:r w:rsidR="00181687" w:rsidRPr="009B4DB5">
          <w:rPr>
            <w:rFonts w:eastAsia="Times New Roman" w:cstheme="minorHAnsi"/>
            <w:color w:val="000000" w:themeColor="text1"/>
            <w:sz w:val="20"/>
            <w:szCs w:val="20"/>
            <w:bdr w:val="none" w:sz="0" w:space="0" w:color="auto" w:frame="1"/>
            <w:lang w:eastAsia="es-ES"/>
          </w:rPr>
          <w:t>Año nº 96, nº 777, 2020</w:t>
        </w:r>
      </w:hyperlink>
      <w:r w:rsidR="00181687" w:rsidRPr="009B4DB5">
        <w:rPr>
          <w:rFonts w:eastAsia="Times New Roman" w:cstheme="minorHAnsi"/>
          <w:color w:val="000000" w:themeColor="text1"/>
          <w:sz w:val="20"/>
          <w:szCs w:val="20"/>
          <w:bdr w:val="none" w:sz="0" w:space="0" w:color="auto" w:frame="1"/>
          <w:lang w:eastAsia="es-ES"/>
        </w:rPr>
        <w:t>, págs. 530-543.</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91" w:history="1">
        <w:r w:rsidR="00181687" w:rsidRPr="009B4DB5">
          <w:rPr>
            <w:rFonts w:eastAsia="Times New Roman" w:cstheme="minorHAnsi"/>
            <w:caps/>
            <w:color w:val="000000" w:themeColor="text1"/>
            <w:sz w:val="20"/>
            <w:szCs w:val="20"/>
            <w:bdr w:val="none" w:sz="0" w:space="0" w:color="auto" w:frame="1"/>
            <w:lang w:eastAsia="es-ES"/>
          </w:rPr>
          <w:t>Izquierdo Blanco</w:t>
        </w:r>
      </w:hyperlink>
      <w:r w:rsidR="00181687" w:rsidRPr="009B4DB5">
        <w:rPr>
          <w:rFonts w:eastAsia="Times New Roman" w:cstheme="minorHAnsi"/>
          <w:caps/>
          <w:color w:val="000000" w:themeColor="text1"/>
          <w:sz w:val="20"/>
          <w:szCs w:val="20"/>
          <w:bdr w:val="none" w:sz="0" w:space="0" w:color="auto" w:frame="1"/>
          <w:lang w:eastAsia="es-ES"/>
        </w:rPr>
        <w:t>,</w:t>
      </w:r>
      <w:r w:rsidR="00181687" w:rsidRPr="009B4DB5">
        <w:rPr>
          <w:rFonts w:eastAsia="Times New Roman" w:cstheme="minorHAnsi"/>
          <w:color w:val="000000" w:themeColor="text1"/>
          <w:sz w:val="20"/>
          <w:szCs w:val="20"/>
          <w:bdr w:val="none" w:sz="0" w:space="0" w:color="auto" w:frame="1"/>
          <w:lang w:eastAsia="es-ES"/>
        </w:rPr>
        <w:t xml:space="preserve"> P. “Problemas procesales y registrales de la continuación de la ejecución hipotecaria por la vía ordinaria ex art. 579 LEC”:</w:t>
      </w:r>
      <w:r w:rsidR="00181687" w:rsidRPr="009B4DB5">
        <w:rPr>
          <w:rFonts w:eastAsia="Times New Roman" w:cstheme="minorHAnsi"/>
          <w:color w:val="000000" w:themeColor="text1"/>
          <w:sz w:val="20"/>
          <w:szCs w:val="20"/>
          <w:lang w:eastAsia="es-ES"/>
        </w:rPr>
        <w:t xml:space="preserve"> </w:t>
      </w:r>
      <w:hyperlink r:id="rId92" w:history="1">
        <w:r w:rsidR="00181687" w:rsidRPr="009B4DB5">
          <w:rPr>
            <w:rFonts w:eastAsia="Times New Roman" w:cstheme="minorHAnsi"/>
            <w:i/>
            <w:color w:val="000000" w:themeColor="text1"/>
            <w:sz w:val="20"/>
            <w:szCs w:val="20"/>
            <w:bdr w:val="none" w:sz="0" w:space="0" w:color="auto" w:frame="1"/>
            <w:lang w:eastAsia="es-ES"/>
          </w:rPr>
          <w:t>Diario La Ley</w:t>
        </w:r>
      </w:hyperlink>
      <w:r w:rsidR="00181687" w:rsidRPr="009B4DB5">
        <w:rPr>
          <w:rFonts w:eastAsia="Times New Roman" w:cstheme="minorHAnsi"/>
          <w:color w:val="000000" w:themeColor="text1"/>
          <w:sz w:val="20"/>
          <w:szCs w:val="20"/>
          <w:bdr w:val="none" w:sz="0" w:space="0" w:color="auto" w:frame="1"/>
          <w:lang w:eastAsia="es-ES"/>
        </w:rPr>
        <w:t>, </w:t>
      </w:r>
      <w:hyperlink r:id="rId93" w:history="1">
        <w:r w:rsidR="00181687" w:rsidRPr="009B4DB5">
          <w:rPr>
            <w:rFonts w:eastAsia="Times New Roman" w:cstheme="minorHAnsi"/>
            <w:color w:val="000000" w:themeColor="text1"/>
            <w:sz w:val="20"/>
            <w:szCs w:val="20"/>
            <w:bdr w:val="none" w:sz="0" w:space="0" w:color="auto" w:frame="1"/>
            <w:lang w:eastAsia="es-ES"/>
          </w:rPr>
          <w:t>nº 9646, 2020</w:t>
        </w:r>
      </w:hyperlink>
      <w:r w:rsidR="00181687" w:rsidRPr="009B4DB5">
        <w:rPr>
          <w:rFonts w:eastAsia="Times New Roman" w:cstheme="minorHAnsi"/>
          <w:color w:val="000000" w:themeColor="text1"/>
          <w:sz w:val="20"/>
          <w:szCs w:val="20"/>
          <w:bdr w:val="none" w:sz="0" w:space="0" w:color="auto" w:frame="1"/>
          <w:lang w:eastAsia="es-ES"/>
        </w:rPr>
        <w:t>.</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94" w:history="1">
        <w:r w:rsidR="00181687" w:rsidRPr="009B4DB5">
          <w:rPr>
            <w:rFonts w:eastAsia="Times New Roman" w:cstheme="minorHAnsi"/>
            <w:caps/>
            <w:color w:val="000000" w:themeColor="text1"/>
            <w:sz w:val="20"/>
            <w:szCs w:val="20"/>
            <w:bdr w:val="none" w:sz="0" w:space="0" w:color="auto" w:frame="1"/>
            <w:lang w:eastAsia="es-ES"/>
          </w:rPr>
          <w:t>Jiménez Paris</w:t>
        </w:r>
      </w:hyperlink>
      <w:r w:rsidR="00181687" w:rsidRPr="009B4DB5">
        <w:rPr>
          <w:rFonts w:eastAsia="Times New Roman" w:cstheme="minorHAnsi"/>
          <w:color w:val="000000" w:themeColor="text1"/>
          <w:sz w:val="20"/>
          <w:szCs w:val="20"/>
          <w:bdr w:val="none" w:sz="0" w:space="0" w:color="auto" w:frame="1"/>
          <w:lang w:eastAsia="es-ES"/>
        </w:rPr>
        <w:t>, T. A. “Ejecución hipotecaria y arrendamiento de vivienda tras los Reales Decretos-Leyes 21/2018 y 7/2019”:</w:t>
      </w:r>
      <w:r w:rsidR="00181687" w:rsidRPr="009B4DB5">
        <w:rPr>
          <w:rFonts w:eastAsia="Times New Roman" w:cstheme="minorHAnsi"/>
          <w:color w:val="000000" w:themeColor="text1"/>
          <w:sz w:val="20"/>
          <w:szCs w:val="20"/>
          <w:lang w:eastAsia="es-ES"/>
        </w:rPr>
        <w:t xml:space="preserve"> </w:t>
      </w:r>
      <w:hyperlink r:id="rId95" w:history="1">
        <w:r w:rsidR="00181687" w:rsidRPr="009B4DB5">
          <w:rPr>
            <w:rFonts w:eastAsia="Times New Roman" w:cstheme="minorHAnsi"/>
            <w:i/>
            <w:color w:val="000000" w:themeColor="text1"/>
            <w:sz w:val="20"/>
            <w:szCs w:val="20"/>
            <w:bdr w:val="none" w:sz="0" w:space="0" w:color="auto" w:frame="1"/>
            <w:lang w:eastAsia="es-ES"/>
          </w:rPr>
          <w:t>Revista Crítica de Derecho Inmobiliario</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96" w:history="1">
        <w:r w:rsidR="00181687" w:rsidRPr="009B4DB5">
          <w:rPr>
            <w:rFonts w:eastAsia="Times New Roman" w:cstheme="minorHAnsi"/>
            <w:color w:val="000000" w:themeColor="text1"/>
            <w:sz w:val="20"/>
            <w:szCs w:val="20"/>
            <w:bdr w:val="none" w:sz="0" w:space="0" w:color="auto" w:frame="1"/>
            <w:lang w:eastAsia="es-ES"/>
          </w:rPr>
          <w:t>Año nº 96, nº 778, 2020</w:t>
        </w:r>
      </w:hyperlink>
      <w:r w:rsidR="00181687" w:rsidRPr="009B4DB5">
        <w:rPr>
          <w:rFonts w:eastAsia="Times New Roman" w:cstheme="minorHAnsi"/>
          <w:color w:val="000000" w:themeColor="text1"/>
          <w:sz w:val="20"/>
          <w:szCs w:val="20"/>
          <w:bdr w:val="none" w:sz="0" w:space="0" w:color="auto" w:frame="1"/>
          <w:lang w:eastAsia="es-ES"/>
        </w:rPr>
        <w:t>, págs. 1319-1345.</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97" w:history="1">
        <w:r w:rsidR="00181687" w:rsidRPr="009B4DB5">
          <w:rPr>
            <w:rFonts w:eastAsia="Times New Roman" w:cstheme="minorHAnsi"/>
            <w:caps/>
            <w:color w:val="000000" w:themeColor="text1"/>
            <w:sz w:val="20"/>
            <w:szCs w:val="20"/>
            <w:bdr w:val="none" w:sz="0" w:space="0" w:color="auto" w:frame="1"/>
            <w:lang w:eastAsia="es-ES"/>
          </w:rPr>
          <w:t>Jiménez París</w:t>
        </w:r>
      </w:hyperlink>
      <w:r w:rsidR="00181687" w:rsidRPr="009B4DB5">
        <w:rPr>
          <w:rFonts w:eastAsia="Times New Roman" w:cstheme="minorHAnsi"/>
          <w:color w:val="000000" w:themeColor="text1"/>
          <w:sz w:val="20"/>
          <w:szCs w:val="20"/>
          <w:bdr w:val="none" w:sz="0" w:space="0" w:color="auto" w:frame="1"/>
          <w:lang w:eastAsia="es-ES"/>
        </w:rPr>
        <w:t>, T. A. “El vencimiento anticipado de los préstamos hipotecarios tras la STJUE de 26 de marzo de 2019 y la STS de 11 de septiembre de 2019”:</w:t>
      </w:r>
      <w:r w:rsidR="00181687" w:rsidRPr="009B4DB5">
        <w:rPr>
          <w:rFonts w:eastAsia="Times New Roman" w:cstheme="minorHAnsi"/>
          <w:color w:val="000000" w:themeColor="text1"/>
          <w:sz w:val="20"/>
          <w:szCs w:val="20"/>
          <w:lang w:eastAsia="es-ES"/>
        </w:rPr>
        <w:t xml:space="preserve"> </w:t>
      </w:r>
      <w:hyperlink r:id="rId98" w:history="1">
        <w:r w:rsidR="00181687" w:rsidRPr="009B4DB5">
          <w:rPr>
            <w:rFonts w:eastAsia="Times New Roman" w:cstheme="minorHAnsi"/>
            <w:i/>
            <w:color w:val="000000" w:themeColor="text1"/>
            <w:sz w:val="20"/>
            <w:szCs w:val="20"/>
            <w:bdr w:val="none" w:sz="0" w:space="0" w:color="auto" w:frame="1"/>
            <w:lang w:eastAsia="es-ES"/>
          </w:rPr>
          <w:t>Revista Crítica de Derecho Inmobiliario</w:t>
        </w:r>
      </w:hyperlink>
      <w:r w:rsidR="00181687" w:rsidRPr="009B4DB5">
        <w:rPr>
          <w:rFonts w:eastAsia="Times New Roman" w:cstheme="minorHAnsi"/>
          <w:color w:val="000000" w:themeColor="text1"/>
          <w:sz w:val="20"/>
          <w:szCs w:val="20"/>
          <w:bdr w:val="none" w:sz="0" w:space="0" w:color="auto" w:frame="1"/>
          <w:lang w:eastAsia="es-ES"/>
        </w:rPr>
        <w:t>, </w:t>
      </w:r>
      <w:hyperlink r:id="rId99" w:history="1">
        <w:r w:rsidR="00181687" w:rsidRPr="009B4DB5">
          <w:rPr>
            <w:rFonts w:eastAsia="Times New Roman" w:cstheme="minorHAnsi"/>
            <w:color w:val="000000" w:themeColor="text1"/>
            <w:sz w:val="20"/>
            <w:szCs w:val="20"/>
            <w:bdr w:val="none" w:sz="0" w:space="0" w:color="auto" w:frame="1"/>
            <w:lang w:eastAsia="es-ES"/>
          </w:rPr>
          <w:t>Año nº 96, nº 777, 2020</w:t>
        </w:r>
      </w:hyperlink>
      <w:r w:rsidR="00181687" w:rsidRPr="009B4DB5">
        <w:rPr>
          <w:rFonts w:eastAsia="Times New Roman" w:cstheme="minorHAnsi"/>
          <w:color w:val="000000" w:themeColor="text1"/>
          <w:sz w:val="20"/>
          <w:szCs w:val="20"/>
          <w:bdr w:val="none" w:sz="0" w:space="0" w:color="auto" w:frame="1"/>
          <w:lang w:eastAsia="es-ES"/>
        </w:rPr>
        <w:t>, págs. 589-621.</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CF6D6C"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00" w:history="1">
        <w:r w:rsidR="00181687" w:rsidRPr="009B4DB5">
          <w:rPr>
            <w:rFonts w:eastAsia="Times New Roman" w:cstheme="minorHAnsi"/>
            <w:caps/>
            <w:color w:val="000000" w:themeColor="text1"/>
            <w:sz w:val="20"/>
            <w:szCs w:val="20"/>
            <w:bdr w:val="none" w:sz="0" w:space="0" w:color="auto" w:frame="1"/>
            <w:lang w:eastAsia="es-ES"/>
          </w:rPr>
          <w:t>López García de la Serrana</w:t>
        </w:r>
      </w:hyperlink>
      <w:r w:rsidR="00181687" w:rsidRPr="009B4DB5">
        <w:rPr>
          <w:rFonts w:eastAsia="Times New Roman" w:cstheme="minorHAnsi"/>
          <w:color w:val="000000" w:themeColor="text1"/>
          <w:sz w:val="20"/>
          <w:szCs w:val="20"/>
          <w:bdr w:val="none" w:sz="0" w:space="0" w:color="auto" w:frame="1"/>
          <w:lang w:eastAsia="es-ES"/>
        </w:rPr>
        <w:t>, J. “Las reclamaciones por responsabilidad civil y la preservación de la protección de datos”:</w:t>
      </w:r>
      <w:r w:rsidR="00181687" w:rsidRPr="009B4DB5">
        <w:rPr>
          <w:rFonts w:eastAsia="Times New Roman" w:cstheme="minorHAnsi"/>
          <w:color w:val="000000" w:themeColor="text1"/>
          <w:sz w:val="20"/>
          <w:szCs w:val="20"/>
          <w:lang w:eastAsia="es-ES"/>
        </w:rPr>
        <w:t xml:space="preserve"> </w:t>
      </w:r>
      <w:hyperlink r:id="rId101" w:history="1">
        <w:r w:rsidR="00181687" w:rsidRPr="009B4DB5">
          <w:rPr>
            <w:rFonts w:eastAsia="Times New Roman" w:cstheme="minorHAnsi"/>
            <w:i/>
            <w:color w:val="000000" w:themeColor="text1"/>
            <w:sz w:val="20"/>
            <w:szCs w:val="20"/>
            <w:bdr w:val="none" w:sz="0" w:space="0" w:color="auto" w:frame="1"/>
            <w:lang w:eastAsia="es-ES"/>
          </w:rPr>
          <w:t>Revista de Derecho, Empresa y Sociedad (REDS)</w:t>
        </w:r>
      </w:hyperlink>
      <w:r w:rsidR="00181687" w:rsidRPr="009B4DB5">
        <w:rPr>
          <w:rFonts w:eastAsia="Times New Roman" w:cstheme="minorHAnsi"/>
          <w:color w:val="000000" w:themeColor="text1"/>
          <w:sz w:val="20"/>
          <w:szCs w:val="20"/>
          <w:bdr w:val="none" w:sz="0" w:space="0" w:color="auto" w:frame="1"/>
          <w:lang w:eastAsia="es-ES"/>
        </w:rPr>
        <w:t>, </w:t>
      </w:r>
      <w:hyperlink r:id="rId102" w:history="1">
        <w:r w:rsidR="00181687" w:rsidRPr="009B4DB5">
          <w:rPr>
            <w:rFonts w:eastAsia="Times New Roman" w:cstheme="minorHAnsi"/>
            <w:color w:val="000000" w:themeColor="text1"/>
            <w:sz w:val="20"/>
            <w:szCs w:val="20"/>
            <w:bdr w:val="none" w:sz="0" w:space="0" w:color="auto" w:frame="1"/>
            <w:lang w:eastAsia="es-ES"/>
          </w:rPr>
          <w:t>nº. 15, 2020</w:t>
        </w:r>
      </w:hyperlink>
      <w:r w:rsidR="00181687" w:rsidRPr="009B4DB5">
        <w:rPr>
          <w:rFonts w:eastAsia="Times New Roman" w:cstheme="minorHAnsi"/>
          <w:color w:val="000000" w:themeColor="text1"/>
          <w:sz w:val="20"/>
          <w:szCs w:val="20"/>
          <w:bdr w:val="none" w:sz="0" w:space="0" w:color="auto" w:frame="1"/>
          <w:lang w:eastAsia="es-ES"/>
        </w:rPr>
        <w:t>, págs. 101-124.</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736CA8" w:rsidRPr="00736CA8" w:rsidRDefault="00B03532" w:rsidP="00736CA8">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proofErr w:type="gramStart"/>
      <w:r w:rsidRPr="00B03532">
        <w:rPr>
          <w:rFonts w:cstheme="minorHAnsi"/>
          <w:caps/>
          <w:sz w:val="20"/>
          <w:szCs w:val="20"/>
        </w:rPr>
        <w:t>Lyczkowska ,</w:t>
      </w:r>
      <w:proofErr w:type="gramEnd"/>
      <w:r w:rsidRPr="00B03532">
        <w:rPr>
          <w:rFonts w:cstheme="minorHAnsi"/>
          <w:caps/>
          <w:sz w:val="20"/>
          <w:szCs w:val="20"/>
        </w:rPr>
        <w:t xml:space="preserve"> K</w:t>
      </w:r>
      <w:r w:rsidRPr="00B03532">
        <w:rPr>
          <w:rFonts w:cstheme="minorHAnsi"/>
          <w:sz w:val="20"/>
          <w:szCs w:val="20"/>
        </w:rPr>
        <w:t xml:space="preserve">. “Comentario Sentencia </w:t>
      </w:r>
      <w:proofErr w:type="spellStart"/>
      <w:r w:rsidRPr="00B03532">
        <w:rPr>
          <w:rFonts w:cstheme="minorHAnsi"/>
          <w:sz w:val="20"/>
          <w:szCs w:val="20"/>
        </w:rPr>
        <w:t>WiZink</w:t>
      </w:r>
      <w:proofErr w:type="spellEnd"/>
      <w:r w:rsidRPr="00B03532">
        <w:rPr>
          <w:rFonts w:cstheme="minorHAnsi"/>
          <w:sz w:val="20"/>
          <w:szCs w:val="20"/>
        </w:rPr>
        <w:t>”:</w:t>
      </w:r>
      <w:r w:rsidRPr="00B03532">
        <w:rPr>
          <w:rFonts w:cstheme="minorHAnsi"/>
          <w:i/>
          <w:sz w:val="20"/>
          <w:szCs w:val="20"/>
        </w:rPr>
        <w:t xml:space="preserve"> Publicaciones jurídicas CESCO</w:t>
      </w:r>
      <w:r w:rsidRPr="00B03532">
        <w:rPr>
          <w:rFonts w:cstheme="minorHAnsi"/>
          <w:sz w:val="20"/>
          <w:szCs w:val="20"/>
        </w:rPr>
        <w:t>, abril 2020.</w:t>
      </w:r>
    </w:p>
    <w:p w:rsidR="00736CA8" w:rsidRPr="00736CA8" w:rsidRDefault="00736CA8" w:rsidP="00736CA8">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736CA8" w:rsidRPr="00736CA8" w:rsidRDefault="00736CA8" w:rsidP="00736CA8">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736CA8">
        <w:rPr>
          <w:rFonts w:eastAsia="Times New Roman" w:cstheme="minorHAnsi"/>
          <w:color w:val="000000" w:themeColor="text1"/>
          <w:sz w:val="20"/>
          <w:szCs w:val="20"/>
          <w:lang w:eastAsia="es-ES"/>
        </w:rPr>
        <w:t xml:space="preserve">MADRIÑÁN VÁZQUEZ, M. “Información precontractual y transparencia en la Ley de contratos de crédito inmobiliario”: </w:t>
      </w:r>
      <w:r w:rsidRPr="00736CA8">
        <w:rPr>
          <w:rFonts w:eastAsia="Times New Roman" w:cstheme="minorHAnsi"/>
          <w:i/>
          <w:color w:val="000000" w:themeColor="text1"/>
          <w:sz w:val="20"/>
          <w:szCs w:val="20"/>
          <w:lang w:eastAsia="es-ES"/>
        </w:rPr>
        <w:t>Boletín del Ministerio de Justicia</w:t>
      </w:r>
      <w:r w:rsidRPr="00736CA8">
        <w:rPr>
          <w:rFonts w:eastAsia="Times New Roman" w:cstheme="minorHAnsi"/>
          <w:color w:val="000000" w:themeColor="text1"/>
          <w:sz w:val="20"/>
          <w:szCs w:val="20"/>
          <w:lang w:eastAsia="es-ES"/>
        </w:rPr>
        <w:t xml:space="preserve">, Año LXXIII, nº  2.231, junio 2020, pp. 3-42. </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03" w:history="1">
        <w:r w:rsidR="00181687" w:rsidRPr="009B4DB5">
          <w:rPr>
            <w:rFonts w:eastAsia="Times New Roman" w:cstheme="minorHAnsi"/>
            <w:caps/>
            <w:color w:val="000000" w:themeColor="text1"/>
            <w:sz w:val="20"/>
            <w:szCs w:val="20"/>
            <w:bdr w:val="none" w:sz="0" w:space="0" w:color="auto" w:frame="1"/>
            <w:lang w:eastAsia="es-ES"/>
          </w:rPr>
          <w:t>Magro Servet</w:t>
        </w:r>
      </w:hyperlink>
      <w:r w:rsidR="00181687" w:rsidRPr="009B4DB5">
        <w:rPr>
          <w:rFonts w:eastAsia="Times New Roman" w:cstheme="minorHAnsi"/>
          <w:color w:val="000000" w:themeColor="text1"/>
          <w:sz w:val="20"/>
          <w:szCs w:val="20"/>
          <w:bdr w:val="none" w:sz="0" w:space="0" w:color="auto" w:frame="1"/>
          <w:lang w:eastAsia="es-ES"/>
        </w:rPr>
        <w:t>, J. “La Ley de mediación obligatoria para resolver los conflictos civiles ante la crisis originada por el Coronavirus”:</w:t>
      </w:r>
      <w:r w:rsidR="00181687" w:rsidRPr="009B4DB5">
        <w:rPr>
          <w:rFonts w:eastAsia="Times New Roman" w:cstheme="minorHAnsi"/>
          <w:color w:val="000000" w:themeColor="text1"/>
          <w:sz w:val="20"/>
          <w:szCs w:val="20"/>
          <w:lang w:eastAsia="es-ES"/>
        </w:rPr>
        <w:t xml:space="preserve"> </w:t>
      </w:r>
      <w:hyperlink r:id="rId104" w:history="1">
        <w:r w:rsidR="00181687" w:rsidRPr="009B4DB5">
          <w:rPr>
            <w:rFonts w:eastAsia="Times New Roman" w:cstheme="minorHAnsi"/>
            <w:i/>
            <w:color w:val="000000" w:themeColor="text1"/>
            <w:sz w:val="20"/>
            <w:szCs w:val="20"/>
            <w:bdr w:val="none" w:sz="0" w:space="0" w:color="auto" w:frame="1"/>
            <w:lang w:eastAsia="es-ES"/>
          </w:rPr>
          <w:t>Diario La Ley</w:t>
        </w:r>
      </w:hyperlink>
      <w:r w:rsidR="00181687" w:rsidRPr="009B4DB5">
        <w:rPr>
          <w:rFonts w:eastAsia="Times New Roman" w:cstheme="minorHAnsi"/>
          <w:color w:val="000000" w:themeColor="text1"/>
          <w:sz w:val="20"/>
          <w:szCs w:val="20"/>
          <w:bdr w:val="none" w:sz="0" w:space="0" w:color="auto" w:frame="1"/>
          <w:lang w:eastAsia="es-ES"/>
        </w:rPr>
        <w:t>, n</w:t>
      </w:r>
      <w:hyperlink r:id="rId105" w:history="1">
        <w:r w:rsidR="00181687" w:rsidRPr="009B4DB5">
          <w:rPr>
            <w:rFonts w:eastAsia="Times New Roman" w:cstheme="minorHAnsi"/>
            <w:color w:val="000000" w:themeColor="text1"/>
            <w:sz w:val="20"/>
            <w:szCs w:val="20"/>
            <w:bdr w:val="none" w:sz="0" w:space="0" w:color="auto" w:frame="1"/>
            <w:lang w:eastAsia="es-ES"/>
          </w:rPr>
          <w:t>º 9618, 2020</w:t>
        </w:r>
      </w:hyperlink>
      <w:r w:rsidR="00181687" w:rsidRPr="009B4DB5">
        <w:rPr>
          <w:rFonts w:eastAsia="Times New Roman" w:cstheme="minorHAnsi"/>
          <w:color w:val="000000" w:themeColor="text1"/>
          <w:sz w:val="20"/>
          <w:szCs w:val="20"/>
          <w:bdr w:val="none" w:sz="0" w:space="0" w:color="auto" w:frame="1"/>
          <w:lang w:eastAsia="es-ES"/>
        </w:rPr>
        <w:t>.</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CF6D6C"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06" w:history="1">
        <w:r w:rsidR="00181687" w:rsidRPr="009B4DB5">
          <w:rPr>
            <w:rFonts w:eastAsia="Times New Roman" w:cstheme="minorHAnsi"/>
            <w:caps/>
            <w:color w:val="000000" w:themeColor="text1"/>
            <w:sz w:val="20"/>
            <w:szCs w:val="20"/>
            <w:bdr w:val="none" w:sz="0" w:space="0" w:color="auto" w:frame="1"/>
            <w:lang w:eastAsia="es-ES"/>
          </w:rPr>
          <w:t>Marín López</w:t>
        </w:r>
      </w:hyperlink>
      <w:r w:rsidR="00181687" w:rsidRPr="009B4DB5">
        <w:rPr>
          <w:rFonts w:eastAsia="Times New Roman" w:cstheme="minorHAnsi"/>
          <w:color w:val="000000" w:themeColor="text1"/>
          <w:sz w:val="20"/>
          <w:szCs w:val="20"/>
          <w:bdr w:val="none" w:sz="0" w:space="0" w:color="auto" w:frame="1"/>
          <w:lang w:eastAsia="es-ES"/>
        </w:rPr>
        <w:t>, M. J. “Concepto de consumidor y préstamo para financiar una futura actividad empresarial. Comentario a la STS de 11 de abril de 2019 (RJ 2019, 1364)”:</w:t>
      </w:r>
      <w:r w:rsidR="00181687" w:rsidRPr="009B4DB5">
        <w:rPr>
          <w:rFonts w:eastAsia="Times New Roman" w:cstheme="minorHAnsi"/>
          <w:color w:val="000000" w:themeColor="text1"/>
          <w:sz w:val="20"/>
          <w:szCs w:val="20"/>
          <w:lang w:eastAsia="es-ES"/>
        </w:rPr>
        <w:t xml:space="preserve"> </w:t>
      </w:r>
      <w:hyperlink r:id="rId107" w:history="1">
        <w:r w:rsidR="00181687" w:rsidRPr="009B4DB5">
          <w:rPr>
            <w:rFonts w:eastAsia="Times New Roman" w:cstheme="minorHAnsi"/>
            <w:i/>
            <w:color w:val="000000" w:themeColor="text1"/>
            <w:sz w:val="20"/>
            <w:szCs w:val="20"/>
            <w:bdr w:val="none" w:sz="0" w:space="0" w:color="auto" w:frame="1"/>
            <w:lang w:eastAsia="es-ES"/>
          </w:rPr>
          <w:t xml:space="preserve">Cuadernos </w:t>
        </w:r>
        <w:proofErr w:type="spellStart"/>
        <w:r w:rsidR="00181687" w:rsidRPr="009B4DB5">
          <w:rPr>
            <w:rFonts w:eastAsia="Times New Roman" w:cstheme="minorHAnsi"/>
            <w:i/>
            <w:color w:val="000000" w:themeColor="text1"/>
            <w:sz w:val="20"/>
            <w:szCs w:val="20"/>
            <w:bdr w:val="none" w:sz="0" w:space="0" w:color="auto" w:frame="1"/>
            <w:lang w:eastAsia="es-ES"/>
          </w:rPr>
          <w:t>Civitas</w:t>
        </w:r>
        <w:proofErr w:type="spellEnd"/>
        <w:r w:rsidR="00181687" w:rsidRPr="009B4DB5">
          <w:rPr>
            <w:rFonts w:eastAsia="Times New Roman" w:cstheme="minorHAnsi"/>
            <w:i/>
            <w:color w:val="000000" w:themeColor="text1"/>
            <w:sz w:val="20"/>
            <w:szCs w:val="20"/>
            <w:bdr w:val="none" w:sz="0" w:space="0" w:color="auto" w:frame="1"/>
            <w:lang w:eastAsia="es-ES"/>
          </w:rPr>
          <w:t xml:space="preserve"> de jurisprudencia civil</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108" w:history="1">
        <w:r w:rsidR="00181687" w:rsidRPr="009B4DB5">
          <w:rPr>
            <w:rFonts w:eastAsia="Times New Roman" w:cstheme="minorHAnsi"/>
            <w:color w:val="000000" w:themeColor="text1"/>
            <w:sz w:val="20"/>
            <w:szCs w:val="20"/>
            <w:bdr w:val="none" w:sz="0" w:space="0" w:color="auto" w:frame="1"/>
            <w:lang w:eastAsia="es-ES"/>
          </w:rPr>
          <w:t>nº 112, 2020</w:t>
        </w:r>
      </w:hyperlink>
      <w:r w:rsidR="004D794A">
        <w:rPr>
          <w:rFonts w:eastAsia="Times New Roman" w:cstheme="minorHAnsi"/>
          <w:color w:val="000000" w:themeColor="text1"/>
          <w:sz w:val="20"/>
          <w:szCs w:val="20"/>
          <w:bdr w:val="none" w:sz="0" w:space="0" w:color="auto" w:frame="1"/>
          <w:lang w:eastAsia="es-ES"/>
        </w:rPr>
        <w:t>, págs. 269-288.</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Marín López,</w:t>
      </w:r>
      <w:r w:rsidRPr="00B03532">
        <w:rPr>
          <w:rFonts w:cstheme="minorHAnsi"/>
          <w:sz w:val="20"/>
          <w:szCs w:val="20"/>
        </w:rPr>
        <w:t xml:space="preserve"> M. J. “Efectos del COVID-19 en los contratos con consumidores: el art. 36 del RD-Ley 11/2020”: </w:t>
      </w:r>
      <w:r w:rsidRPr="00B03532">
        <w:rPr>
          <w:rFonts w:cstheme="minorHAnsi"/>
          <w:i/>
          <w:sz w:val="20"/>
          <w:szCs w:val="20"/>
        </w:rPr>
        <w:t>Publicaciones jurídicas CESCO</w:t>
      </w:r>
      <w:r w:rsidRPr="00B03532">
        <w:rPr>
          <w:rFonts w:cstheme="minorHAnsi"/>
          <w:sz w:val="20"/>
          <w:szCs w:val="20"/>
        </w:rPr>
        <w:t>, abril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DD4925"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Marín López,</w:t>
      </w:r>
      <w:r w:rsidRPr="00B03532">
        <w:rPr>
          <w:rFonts w:cstheme="minorHAnsi"/>
          <w:sz w:val="20"/>
          <w:szCs w:val="20"/>
        </w:rPr>
        <w:t xml:space="preserve"> M. J. “El juez nacional debe examinar de oficio si el prestamista cumple su obligación de evaluar la solvencia del prestatario. Comentario a la STJUE de 5 de marzo de 2020”: </w:t>
      </w:r>
      <w:r w:rsidRPr="00B03532">
        <w:rPr>
          <w:rFonts w:cstheme="minorHAnsi"/>
          <w:i/>
          <w:sz w:val="20"/>
          <w:szCs w:val="20"/>
        </w:rPr>
        <w:t>Publicaciones jurídicas CESCO</w:t>
      </w:r>
      <w:r w:rsidRPr="00B03532">
        <w:rPr>
          <w:rFonts w:cstheme="minorHAnsi"/>
          <w:sz w:val="20"/>
          <w:szCs w:val="20"/>
        </w:rPr>
        <w:t>, abril 2020.</w:t>
      </w:r>
    </w:p>
    <w:p w:rsidR="00DD4925" w:rsidRPr="00B03532" w:rsidRDefault="00DD4925" w:rsidP="00DD4925">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Marín López,</w:t>
      </w:r>
      <w:r w:rsidRPr="00B03532">
        <w:rPr>
          <w:rFonts w:cstheme="minorHAnsi"/>
          <w:sz w:val="20"/>
          <w:szCs w:val="20"/>
        </w:rPr>
        <w:t xml:space="preserve"> M. J. “Transparencia material en las moratorias convencionales de prestatarios afectados por la crisis del coronavirus. Su regulación en el RD-Ley 19/2020”:</w:t>
      </w:r>
      <w:r w:rsidRPr="00B03532">
        <w:rPr>
          <w:rFonts w:cstheme="minorHAnsi"/>
          <w:i/>
          <w:sz w:val="20"/>
          <w:szCs w:val="20"/>
        </w:rPr>
        <w:t xml:space="preserve"> Publicaciones jurídicas CESCO</w:t>
      </w:r>
      <w:r w:rsidRPr="00B03532">
        <w:rPr>
          <w:rFonts w:cstheme="minorHAnsi"/>
          <w:sz w:val="20"/>
          <w:szCs w:val="20"/>
        </w:rPr>
        <w:t>, junio 2020.</w:t>
      </w:r>
    </w:p>
    <w:p w:rsidR="004D794A" w:rsidRPr="004D794A" w:rsidRDefault="004D794A" w:rsidP="004D794A">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4D794A" w:rsidRDefault="004D794A" w:rsidP="004D794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4D794A">
        <w:rPr>
          <w:rFonts w:eastAsia="Times New Roman" w:cstheme="minorHAnsi"/>
          <w:caps/>
          <w:color w:val="000000" w:themeColor="text1"/>
          <w:sz w:val="20"/>
          <w:szCs w:val="20"/>
          <w:lang w:eastAsia="es-ES"/>
        </w:rPr>
        <w:t>Martín Faba</w:t>
      </w:r>
      <w:r w:rsidRPr="004D794A">
        <w:rPr>
          <w:rFonts w:eastAsia="Times New Roman" w:cstheme="minorHAnsi"/>
          <w:color w:val="000000" w:themeColor="text1"/>
          <w:sz w:val="20"/>
          <w:szCs w:val="20"/>
          <w:lang w:eastAsia="es-ES"/>
        </w:rPr>
        <w:t xml:space="preserve">, J. M. “El préstamo subsiste tanto o más que la hipoteca tras la “expulsión” de la cláusula de vencimiento anticipado”: </w:t>
      </w:r>
      <w:r w:rsidRPr="004D794A">
        <w:rPr>
          <w:rFonts w:eastAsia="Times New Roman" w:cstheme="minorHAnsi"/>
          <w:i/>
          <w:color w:val="000000" w:themeColor="text1"/>
          <w:sz w:val="20"/>
          <w:szCs w:val="20"/>
          <w:lang w:eastAsia="es-ES"/>
        </w:rPr>
        <w:t>Publicaciones jurídicas CESCO</w:t>
      </w:r>
      <w:r w:rsidRPr="004D794A">
        <w:rPr>
          <w:rFonts w:eastAsia="Times New Roman" w:cstheme="minorHAnsi"/>
          <w:color w:val="000000" w:themeColor="text1"/>
          <w:sz w:val="20"/>
          <w:szCs w:val="20"/>
          <w:lang w:eastAsia="es-ES"/>
        </w:rPr>
        <w:t xml:space="preserve">, abril 2020. </w:t>
      </w:r>
    </w:p>
    <w:p w:rsidR="004D794A" w:rsidRDefault="004D794A" w:rsidP="004D794A">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Default="004D794A"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4D794A">
        <w:rPr>
          <w:rFonts w:eastAsia="Times New Roman" w:cstheme="minorHAnsi"/>
          <w:caps/>
          <w:color w:val="000000" w:themeColor="text1"/>
          <w:sz w:val="20"/>
          <w:szCs w:val="20"/>
          <w:lang w:eastAsia="es-ES"/>
        </w:rPr>
        <w:t>Martín Faba</w:t>
      </w:r>
      <w:r w:rsidRPr="004D794A">
        <w:rPr>
          <w:rFonts w:eastAsia="Times New Roman" w:cstheme="minorHAnsi"/>
          <w:color w:val="000000" w:themeColor="text1"/>
          <w:sz w:val="20"/>
          <w:szCs w:val="20"/>
          <w:lang w:eastAsia="es-ES"/>
        </w:rPr>
        <w:t xml:space="preserve">, J. M. “Debe inscribirse (y no es nula) una cláusula de interés de demora de préstamo hipotecario que establece un tipo inferior a tres puntos sobre el interés retributivo”: </w:t>
      </w:r>
      <w:r w:rsidRPr="004D794A">
        <w:rPr>
          <w:rFonts w:eastAsia="Times New Roman" w:cstheme="minorHAnsi"/>
          <w:i/>
          <w:color w:val="000000" w:themeColor="text1"/>
          <w:sz w:val="20"/>
          <w:szCs w:val="20"/>
          <w:lang w:eastAsia="es-ES"/>
        </w:rPr>
        <w:t>Publicaciones jurídicas CESCO</w:t>
      </w:r>
      <w:r w:rsidRPr="004D794A">
        <w:rPr>
          <w:rFonts w:eastAsia="Times New Roman" w:cstheme="minorHAnsi"/>
          <w:color w:val="000000" w:themeColor="text1"/>
          <w:sz w:val="20"/>
          <w:szCs w:val="20"/>
          <w:lang w:eastAsia="es-ES"/>
        </w:rPr>
        <w:t xml:space="preserve">, abril 2020. </w:t>
      </w:r>
    </w:p>
    <w:p w:rsid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Martín Faba</w:t>
      </w:r>
      <w:r w:rsidRPr="00B03532">
        <w:rPr>
          <w:rFonts w:cstheme="minorHAnsi"/>
          <w:sz w:val="20"/>
          <w:szCs w:val="20"/>
        </w:rPr>
        <w:t xml:space="preserve">, J. M. “Es válida la “tasa COVID” cobrada por los establecimientos abiertos al público”: </w:t>
      </w:r>
      <w:r w:rsidRPr="00B03532">
        <w:rPr>
          <w:rFonts w:cstheme="minorHAnsi"/>
          <w:i/>
          <w:sz w:val="20"/>
          <w:szCs w:val="20"/>
        </w:rPr>
        <w:t>Publicaciones jurídicas CESCO</w:t>
      </w:r>
      <w:r w:rsidRPr="00B03532">
        <w:rPr>
          <w:rFonts w:cstheme="minorHAnsi"/>
          <w:sz w:val="20"/>
          <w:szCs w:val="20"/>
        </w:rPr>
        <w:t>, junio 2020.</w:t>
      </w:r>
    </w:p>
    <w:p w:rsidR="00181687" w:rsidRPr="004D794A" w:rsidRDefault="00181687" w:rsidP="004D794A">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09" w:history="1">
        <w:r w:rsidR="00181687" w:rsidRPr="009B4DB5">
          <w:rPr>
            <w:rFonts w:eastAsia="Times New Roman" w:cstheme="minorHAnsi"/>
            <w:caps/>
            <w:color w:val="000000" w:themeColor="text1"/>
            <w:sz w:val="20"/>
            <w:szCs w:val="20"/>
            <w:bdr w:val="none" w:sz="0" w:space="0" w:color="auto" w:frame="1"/>
            <w:lang w:eastAsia="es-ES"/>
          </w:rPr>
          <w:t>Martínez de Santos</w:t>
        </w:r>
      </w:hyperlink>
      <w:r w:rsidR="00181687" w:rsidRPr="009B4DB5">
        <w:rPr>
          <w:rFonts w:eastAsia="Times New Roman" w:cstheme="minorHAnsi"/>
          <w:color w:val="000000" w:themeColor="text1"/>
          <w:sz w:val="20"/>
          <w:szCs w:val="20"/>
          <w:bdr w:val="none" w:sz="0" w:space="0" w:color="auto" w:frame="1"/>
          <w:lang w:eastAsia="es-ES"/>
        </w:rPr>
        <w:t>, A. “¿Ha introducido el RDL 8/2020 de medidas urgentes extraordinarias para hacer frente al impacto económico y social del COVID-19 un nuevo motivo de oposición a la ejecución?”:</w:t>
      </w:r>
      <w:r w:rsidR="00181687" w:rsidRPr="009B4DB5">
        <w:rPr>
          <w:rFonts w:eastAsia="Times New Roman" w:cstheme="minorHAnsi"/>
          <w:color w:val="000000" w:themeColor="text1"/>
          <w:sz w:val="20"/>
          <w:szCs w:val="20"/>
          <w:lang w:eastAsia="es-ES"/>
        </w:rPr>
        <w:t xml:space="preserve"> </w:t>
      </w:r>
      <w:hyperlink r:id="rId110" w:history="1">
        <w:r w:rsidR="00181687" w:rsidRPr="009B4DB5">
          <w:rPr>
            <w:rFonts w:eastAsia="Times New Roman" w:cstheme="minorHAnsi"/>
            <w:i/>
            <w:color w:val="000000" w:themeColor="text1"/>
            <w:sz w:val="20"/>
            <w:szCs w:val="20"/>
            <w:bdr w:val="none" w:sz="0" w:space="0" w:color="auto" w:frame="1"/>
            <w:lang w:eastAsia="es-ES"/>
          </w:rPr>
          <w:t>Diario La Ley</w:t>
        </w:r>
      </w:hyperlink>
      <w:r w:rsidR="00181687" w:rsidRPr="009B4DB5">
        <w:rPr>
          <w:rFonts w:eastAsia="Times New Roman" w:cstheme="minorHAnsi"/>
          <w:color w:val="000000" w:themeColor="text1"/>
          <w:sz w:val="20"/>
          <w:szCs w:val="20"/>
          <w:bdr w:val="none" w:sz="0" w:space="0" w:color="auto" w:frame="1"/>
          <w:lang w:eastAsia="es-ES"/>
        </w:rPr>
        <w:t>, n</w:t>
      </w:r>
      <w:hyperlink r:id="rId111" w:history="1">
        <w:r w:rsidR="00181687" w:rsidRPr="009B4DB5">
          <w:rPr>
            <w:rFonts w:eastAsia="Times New Roman" w:cstheme="minorHAnsi"/>
            <w:color w:val="000000" w:themeColor="text1"/>
            <w:sz w:val="20"/>
            <w:szCs w:val="20"/>
            <w:bdr w:val="none" w:sz="0" w:space="0" w:color="auto" w:frame="1"/>
            <w:lang w:eastAsia="es-ES"/>
          </w:rPr>
          <w:t>º 9614, 2020</w:t>
        </w:r>
      </w:hyperlink>
      <w:r w:rsidR="00181687" w:rsidRPr="009B4DB5">
        <w:rPr>
          <w:rFonts w:eastAsia="Times New Roman" w:cstheme="minorHAnsi"/>
          <w:color w:val="000000" w:themeColor="text1"/>
          <w:sz w:val="20"/>
          <w:szCs w:val="20"/>
          <w:bdr w:val="none" w:sz="0" w:space="0" w:color="auto" w:frame="1"/>
          <w:lang w:eastAsia="es-ES"/>
        </w:rPr>
        <w:t>.</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CF6D6C"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12" w:history="1">
        <w:r w:rsidR="00181687" w:rsidRPr="009B4DB5">
          <w:rPr>
            <w:rFonts w:eastAsia="Times New Roman" w:cstheme="minorHAnsi"/>
            <w:caps/>
            <w:color w:val="000000" w:themeColor="text1"/>
            <w:sz w:val="20"/>
            <w:szCs w:val="20"/>
            <w:bdr w:val="none" w:sz="0" w:space="0" w:color="auto" w:frame="1"/>
            <w:lang w:eastAsia="es-ES"/>
          </w:rPr>
          <w:t>Martínez de Santos</w:t>
        </w:r>
      </w:hyperlink>
      <w:r w:rsidR="00181687" w:rsidRPr="009B4DB5">
        <w:rPr>
          <w:rFonts w:eastAsia="Times New Roman" w:cstheme="minorHAnsi"/>
          <w:color w:val="000000" w:themeColor="text1"/>
          <w:sz w:val="20"/>
          <w:szCs w:val="20"/>
          <w:bdr w:val="none" w:sz="0" w:space="0" w:color="auto" w:frame="1"/>
          <w:lang w:eastAsia="es-ES"/>
        </w:rPr>
        <w:t>, A. “La suspensión del proceso de desahucio en el RDL 11/2020, de 31 de marzo, por el que se adoptan medidas urgentes complementarias en el ámbito social y económico para hacer frente al COVID-19”:</w:t>
      </w:r>
      <w:r w:rsidR="00181687" w:rsidRPr="009B4DB5">
        <w:rPr>
          <w:rFonts w:eastAsia="Times New Roman" w:cstheme="minorHAnsi"/>
          <w:color w:val="000000" w:themeColor="text1"/>
          <w:sz w:val="20"/>
          <w:szCs w:val="20"/>
          <w:lang w:eastAsia="es-ES"/>
        </w:rPr>
        <w:t xml:space="preserve"> </w:t>
      </w:r>
      <w:hyperlink r:id="rId113" w:history="1">
        <w:r w:rsidR="00181687" w:rsidRPr="009B4DB5">
          <w:rPr>
            <w:rFonts w:eastAsia="Times New Roman" w:cstheme="minorHAnsi"/>
            <w:i/>
            <w:color w:val="000000" w:themeColor="text1"/>
            <w:sz w:val="20"/>
            <w:szCs w:val="20"/>
            <w:bdr w:val="none" w:sz="0" w:space="0" w:color="auto" w:frame="1"/>
            <w:lang w:eastAsia="es-ES"/>
          </w:rPr>
          <w:t>Diario La Ley</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114" w:history="1">
        <w:r w:rsidR="00181687" w:rsidRPr="009B4DB5">
          <w:rPr>
            <w:rFonts w:eastAsia="Times New Roman" w:cstheme="minorHAnsi"/>
            <w:color w:val="000000" w:themeColor="text1"/>
            <w:sz w:val="20"/>
            <w:szCs w:val="20"/>
            <w:bdr w:val="none" w:sz="0" w:space="0" w:color="auto" w:frame="1"/>
            <w:lang w:eastAsia="es-ES"/>
          </w:rPr>
          <w:t>nº 9628, 2020</w:t>
        </w:r>
      </w:hyperlink>
      <w:r w:rsidR="00181687" w:rsidRPr="009B4DB5">
        <w:rPr>
          <w:rFonts w:eastAsia="Times New Roman" w:cstheme="minorHAnsi"/>
          <w:color w:val="000000" w:themeColor="text1"/>
          <w:sz w:val="20"/>
          <w:szCs w:val="20"/>
          <w:bdr w:val="none" w:sz="0" w:space="0" w:color="auto" w:frame="1"/>
          <w:lang w:eastAsia="es-ES"/>
        </w:rPr>
        <w:t xml:space="preserve">. </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Martínez Díaz, J.</w:t>
      </w:r>
      <w:r w:rsidRPr="00B03532">
        <w:rPr>
          <w:rFonts w:cstheme="minorHAnsi"/>
          <w:sz w:val="20"/>
          <w:szCs w:val="20"/>
        </w:rPr>
        <w:t xml:space="preserve"> “Tarjetas </w:t>
      </w:r>
      <w:proofErr w:type="spellStart"/>
      <w:r w:rsidRPr="00B03532">
        <w:rPr>
          <w:rFonts w:cstheme="minorHAnsi"/>
          <w:sz w:val="20"/>
          <w:szCs w:val="20"/>
        </w:rPr>
        <w:t>revolving</w:t>
      </w:r>
      <w:proofErr w:type="spellEnd"/>
      <w:r w:rsidRPr="00B03532">
        <w:rPr>
          <w:rFonts w:cstheme="minorHAnsi"/>
          <w:sz w:val="20"/>
          <w:szCs w:val="20"/>
        </w:rPr>
        <w:t>: la tasa ha muerto, viva la tasa”:</w:t>
      </w:r>
      <w:r w:rsidRPr="00B03532">
        <w:rPr>
          <w:rFonts w:cstheme="minorHAnsi"/>
          <w:i/>
          <w:sz w:val="20"/>
          <w:szCs w:val="20"/>
        </w:rPr>
        <w:t xml:space="preserve"> Publicaciones jurídicas CESCO</w:t>
      </w:r>
      <w:r w:rsidRPr="00B03532">
        <w:rPr>
          <w:rFonts w:cstheme="minorHAnsi"/>
          <w:sz w:val="20"/>
          <w:szCs w:val="20"/>
        </w:rPr>
        <w:t>, abril 2020.</w:t>
      </w:r>
    </w:p>
    <w:p w:rsidR="00181687" w:rsidRPr="00181687"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952BF5" w:rsidRPr="00952BF5" w:rsidRDefault="00181687" w:rsidP="00952BF5">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181687">
        <w:rPr>
          <w:rFonts w:eastAsia="Times New Roman" w:cstheme="minorHAnsi"/>
          <w:color w:val="000000" w:themeColor="text1"/>
          <w:sz w:val="20"/>
          <w:szCs w:val="20"/>
          <w:bdr w:val="none" w:sz="0" w:space="0" w:color="auto" w:frame="1"/>
          <w:lang w:eastAsia="es-ES"/>
        </w:rPr>
        <w:lastRenderedPageBreak/>
        <w:t xml:space="preserve">MARTÍNEZ ESPÍN, P. </w:t>
      </w:r>
      <w:r>
        <w:rPr>
          <w:rFonts w:eastAsia="Times New Roman" w:cstheme="minorHAnsi"/>
          <w:color w:val="000000" w:themeColor="text1"/>
          <w:sz w:val="20"/>
          <w:szCs w:val="20"/>
          <w:bdr w:val="none" w:sz="0" w:space="0" w:color="auto" w:frame="1"/>
          <w:lang w:eastAsia="es-ES"/>
        </w:rPr>
        <w:t>“</w:t>
      </w:r>
      <w:r w:rsidRPr="00181687">
        <w:rPr>
          <w:rFonts w:eastAsia="Times New Roman" w:cstheme="minorHAnsi"/>
          <w:color w:val="000000" w:themeColor="text1"/>
          <w:sz w:val="20"/>
          <w:szCs w:val="20"/>
          <w:bdr w:val="none" w:sz="0" w:space="0" w:color="auto" w:frame="1"/>
          <w:lang w:eastAsia="es-ES"/>
        </w:rPr>
        <w:t>Cuidado con los préstamos sin intereses...que tienen premio (Comentario a la Sentencia del Tribunal de Justicia (Sala Primera) de 26 de marzo de 2020. Asunto C-779/18)</w:t>
      </w:r>
      <w:r>
        <w:rPr>
          <w:rFonts w:eastAsia="Times New Roman" w:cstheme="minorHAnsi"/>
          <w:color w:val="000000" w:themeColor="text1"/>
          <w:sz w:val="20"/>
          <w:szCs w:val="20"/>
          <w:bdr w:val="none" w:sz="0" w:space="0" w:color="auto" w:frame="1"/>
          <w:lang w:eastAsia="es-ES"/>
        </w:rPr>
        <w:t xml:space="preserve">”: </w:t>
      </w:r>
      <w:r w:rsidRPr="00181687">
        <w:rPr>
          <w:rFonts w:eastAsia="Times New Roman" w:cstheme="minorHAnsi"/>
          <w:i/>
          <w:color w:val="000000" w:themeColor="text1"/>
          <w:sz w:val="20"/>
          <w:szCs w:val="20"/>
          <w:bdr w:val="none" w:sz="0" w:space="0" w:color="auto" w:frame="1"/>
          <w:lang w:eastAsia="es-ES"/>
        </w:rPr>
        <w:t xml:space="preserve">Revista de Derecho </w:t>
      </w:r>
      <w:proofErr w:type="spellStart"/>
      <w:r w:rsidRPr="00181687">
        <w:rPr>
          <w:rFonts w:eastAsia="Times New Roman" w:cstheme="minorHAnsi"/>
          <w:i/>
          <w:color w:val="000000" w:themeColor="text1"/>
          <w:sz w:val="20"/>
          <w:szCs w:val="20"/>
          <w:bdr w:val="none" w:sz="0" w:space="0" w:color="auto" w:frame="1"/>
          <w:lang w:eastAsia="es-ES"/>
        </w:rPr>
        <w:t>vLex</w:t>
      </w:r>
      <w:proofErr w:type="spellEnd"/>
      <w:r>
        <w:rPr>
          <w:rFonts w:eastAsia="Times New Roman" w:cstheme="minorHAnsi"/>
          <w:color w:val="000000" w:themeColor="text1"/>
          <w:sz w:val="20"/>
          <w:szCs w:val="20"/>
          <w:bdr w:val="none" w:sz="0" w:space="0" w:color="auto" w:frame="1"/>
          <w:lang w:eastAsia="es-ES"/>
        </w:rPr>
        <w:t>, Nº</w:t>
      </w:r>
      <w:r w:rsidRPr="00181687">
        <w:rPr>
          <w:rFonts w:eastAsia="Times New Roman" w:cstheme="minorHAnsi"/>
          <w:color w:val="000000" w:themeColor="text1"/>
          <w:sz w:val="20"/>
          <w:szCs w:val="20"/>
          <w:bdr w:val="none" w:sz="0" w:space="0" w:color="auto" w:frame="1"/>
          <w:lang w:eastAsia="es-ES"/>
        </w:rPr>
        <w:t>. 193, Junio 2020</w:t>
      </w:r>
      <w:r>
        <w:rPr>
          <w:rFonts w:eastAsia="Times New Roman" w:cstheme="minorHAnsi"/>
          <w:color w:val="000000" w:themeColor="text1"/>
          <w:sz w:val="20"/>
          <w:szCs w:val="20"/>
          <w:bdr w:val="none" w:sz="0" w:space="0" w:color="auto" w:frame="1"/>
          <w:lang w:eastAsia="es-ES"/>
        </w:rPr>
        <w:t xml:space="preserve">. </w:t>
      </w:r>
    </w:p>
    <w:p w:rsidR="00952BF5" w:rsidRPr="00952BF5" w:rsidRDefault="00952BF5" w:rsidP="00952BF5">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Default="00952BF5"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952BF5">
        <w:rPr>
          <w:rFonts w:eastAsia="Times New Roman" w:cstheme="minorHAnsi"/>
          <w:color w:val="000000" w:themeColor="text1"/>
          <w:sz w:val="20"/>
          <w:szCs w:val="20"/>
          <w:bdr w:val="none" w:sz="0" w:space="0" w:color="auto" w:frame="1"/>
          <w:lang w:eastAsia="es-ES"/>
        </w:rPr>
        <w:t xml:space="preserve">MARTÍNEZ ESPÍN, P. “Reembolso del importe del seguro de cancelación en viaje cancelado por COVID-19”: </w:t>
      </w:r>
      <w:r w:rsidRPr="004D794A">
        <w:rPr>
          <w:rFonts w:eastAsia="Times New Roman" w:cstheme="minorHAnsi"/>
          <w:i/>
          <w:color w:val="000000" w:themeColor="text1"/>
          <w:sz w:val="20"/>
          <w:szCs w:val="20"/>
          <w:lang w:eastAsia="es-ES"/>
        </w:rPr>
        <w:t>Publicaciones jurídicas CESCO</w:t>
      </w:r>
      <w:r w:rsidRPr="004D794A">
        <w:rPr>
          <w:rFonts w:eastAsia="Times New Roman" w:cstheme="minorHAnsi"/>
          <w:color w:val="000000" w:themeColor="text1"/>
          <w:sz w:val="20"/>
          <w:szCs w:val="20"/>
          <w:lang w:eastAsia="es-ES"/>
        </w:rPr>
        <w:t>, mayo 2020.</w:t>
      </w:r>
    </w:p>
    <w:p w:rsid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Martínez Espín</w:t>
      </w:r>
      <w:r w:rsidRPr="00B03532">
        <w:rPr>
          <w:rFonts w:cstheme="minorHAnsi"/>
          <w:sz w:val="20"/>
          <w:szCs w:val="20"/>
        </w:rPr>
        <w:t xml:space="preserve">, P. “COVID-19 y cancelación de viaje combinado con seguro”: </w:t>
      </w:r>
      <w:r w:rsidRPr="00B03532">
        <w:rPr>
          <w:rFonts w:cstheme="minorHAnsi"/>
          <w:i/>
          <w:sz w:val="20"/>
          <w:szCs w:val="20"/>
        </w:rPr>
        <w:t>Publicaciones jurídicas CESCO</w:t>
      </w:r>
      <w:r w:rsidRPr="00B03532">
        <w:rPr>
          <w:rFonts w:cstheme="minorHAnsi"/>
          <w:sz w:val="20"/>
          <w:szCs w:val="20"/>
        </w:rPr>
        <w:t>, mayo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Martínez Espín</w:t>
      </w:r>
      <w:r w:rsidRPr="00B03532">
        <w:rPr>
          <w:rFonts w:cstheme="minorHAnsi"/>
          <w:sz w:val="20"/>
          <w:szCs w:val="20"/>
        </w:rPr>
        <w:t xml:space="preserve">, P. “El fin de los bonos de viaje o no: depende”: </w:t>
      </w:r>
      <w:r w:rsidRPr="00B03532">
        <w:rPr>
          <w:rFonts w:cstheme="minorHAnsi"/>
          <w:i/>
          <w:sz w:val="20"/>
          <w:szCs w:val="20"/>
        </w:rPr>
        <w:t>Publicaciones jurídicas CESCO</w:t>
      </w:r>
      <w:r w:rsidRPr="00B03532">
        <w:rPr>
          <w:rFonts w:cstheme="minorHAnsi"/>
          <w:sz w:val="20"/>
          <w:szCs w:val="20"/>
        </w:rPr>
        <w:t>, junio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Martínez Espín</w:t>
      </w:r>
      <w:r w:rsidRPr="00B03532">
        <w:rPr>
          <w:rFonts w:cstheme="minorHAnsi"/>
          <w:sz w:val="20"/>
          <w:szCs w:val="20"/>
        </w:rPr>
        <w:t xml:space="preserve">, P. “Préstamos sin intereses….pero con comisiones. ¡Pero qué comisiones!”: </w:t>
      </w:r>
      <w:r w:rsidRPr="00B03532">
        <w:rPr>
          <w:rFonts w:cstheme="minorHAnsi"/>
          <w:i/>
          <w:sz w:val="20"/>
          <w:szCs w:val="20"/>
        </w:rPr>
        <w:t>Publicaciones jurídicas CESCO</w:t>
      </w:r>
      <w:r w:rsidRPr="00B03532">
        <w:rPr>
          <w:rFonts w:cstheme="minorHAnsi"/>
          <w:sz w:val="20"/>
          <w:szCs w:val="20"/>
        </w:rPr>
        <w:t>, mayo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Martínez Gómez</w:t>
      </w:r>
      <w:r w:rsidRPr="00B03532">
        <w:rPr>
          <w:rFonts w:cstheme="minorHAnsi"/>
          <w:sz w:val="20"/>
          <w:szCs w:val="20"/>
        </w:rPr>
        <w:t xml:space="preserve">, S. “¿Es posible resolver la compraventa de un vestido de novia con motivo del COVID-19?”: </w:t>
      </w:r>
      <w:r w:rsidRPr="00B03532">
        <w:rPr>
          <w:rFonts w:cstheme="minorHAnsi"/>
          <w:i/>
          <w:sz w:val="20"/>
          <w:szCs w:val="20"/>
        </w:rPr>
        <w:t>Publicaciones jurídicas CESCO</w:t>
      </w:r>
      <w:r w:rsidRPr="00B03532">
        <w:rPr>
          <w:rFonts w:cstheme="minorHAnsi"/>
          <w:sz w:val="20"/>
          <w:szCs w:val="20"/>
        </w:rPr>
        <w:t>, mayo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Martínez Gómez</w:t>
      </w:r>
      <w:r w:rsidRPr="00B03532">
        <w:rPr>
          <w:rFonts w:cstheme="minorHAnsi"/>
          <w:sz w:val="20"/>
          <w:szCs w:val="20"/>
        </w:rPr>
        <w:t xml:space="preserve">, S. “Números rojos: comisiones por descubierto tácito e intereses de demora”: </w:t>
      </w:r>
      <w:r w:rsidRPr="00B03532">
        <w:rPr>
          <w:rFonts w:cstheme="minorHAnsi"/>
          <w:i/>
          <w:sz w:val="20"/>
          <w:szCs w:val="20"/>
        </w:rPr>
        <w:t>Publicaciones jurídicas CESCO</w:t>
      </w:r>
      <w:r w:rsidRPr="00B03532">
        <w:rPr>
          <w:rFonts w:cstheme="minorHAnsi"/>
          <w:sz w:val="20"/>
          <w:szCs w:val="20"/>
        </w:rPr>
        <w:t>, mayo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CF6D6C"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15" w:history="1">
        <w:r w:rsidR="00181687" w:rsidRPr="009B4DB5">
          <w:rPr>
            <w:rFonts w:eastAsia="Times New Roman" w:cstheme="minorHAnsi"/>
            <w:caps/>
            <w:color w:val="000000" w:themeColor="text1"/>
            <w:sz w:val="20"/>
            <w:szCs w:val="20"/>
            <w:bdr w:val="none" w:sz="0" w:space="0" w:color="auto" w:frame="1"/>
            <w:lang w:eastAsia="es-ES"/>
          </w:rPr>
          <w:t>Martínez Velencoso</w:t>
        </w:r>
      </w:hyperlink>
      <w:r w:rsidR="00181687" w:rsidRPr="009B4DB5">
        <w:rPr>
          <w:rFonts w:eastAsia="Times New Roman" w:cstheme="minorHAnsi"/>
          <w:color w:val="000000" w:themeColor="text1"/>
          <w:sz w:val="20"/>
          <w:szCs w:val="20"/>
          <w:bdr w:val="none" w:sz="0" w:space="0" w:color="auto" w:frame="1"/>
          <w:lang w:eastAsia="es-ES"/>
        </w:rPr>
        <w:t xml:space="preserve">, L. “La ruptura de la economía </w:t>
      </w:r>
      <w:proofErr w:type="spellStart"/>
      <w:r w:rsidR="00181687" w:rsidRPr="009B4DB5">
        <w:rPr>
          <w:rFonts w:eastAsia="Times New Roman" w:cstheme="minorHAnsi"/>
          <w:color w:val="000000" w:themeColor="text1"/>
          <w:sz w:val="20"/>
          <w:szCs w:val="20"/>
          <w:bdr w:val="none" w:sz="0" w:space="0" w:color="auto" w:frame="1"/>
          <w:lang w:eastAsia="es-ES"/>
        </w:rPr>
        <w:t>negocial</w:t>
      </w:r>
      <w:proofErr w:type="spellEnd"/>
      <w:r w:rsidR="00181687" w:rsidRPr="009B4DB5">
        <w:rPr>
          <w:rFonts w:eastAsia="Times New Roman" w:cstheme="minorHAnsi"/>
          <w:color w:val="000000" w:themeColor="text1"/>
          <w:sz w:val="20"/>
          <w:szCs w:val="20"/>
          <w:bdr w:val="none" w:sz="0" w:space="0" w:color="auto" w:frame="1"/>
          <w:lang w:eastAsia="es-ES"/>
        </w:rPr>
        <w:t xml:space="preserve"> tras el COVID-19 (Un análisis desde el moderno Derecho europeo de contratos)”:</w:t>
      </w:r>
      <w:r w:rsidR="00181687" w:rsidRPr="009B4DB5">
        <w:rPr>
          <w:rFonts w:eastAsia="Times New Roman" w:cstheme="minorHAnsi"/>
          <w:color w:val="000000" w:themeColor="text1"/>
          <w:sz w:val="20"/>
          <w:szCs w:val="20"/>
          <w:lang w:eastAsia="es-ES"/>
        </w:rPr>
        <w:t xml:space="preserve"> </w:t>
      </w:r>
      <w:hyperlink r:id="rId116" w:history="1">
        <w:r w:rsidR="00181687" w:rsidRPr="009B4DB5">
          <w:rPr>
            <w:rFonts w:eastAsia="Times New Roman" w:cstheme="minorHAnsi"/>
            <w:i/>
            <w:color w:val="000000" w:themeColor="text1"/>
            <w:sz w:val="20"/>
            <w:szCs w:val="20"/>
            <w:bdr w:val="none" w:sz="0" w:space="0" w:color="auto" w:frame="1"/>
            <w:lang w:eastAsia="es-ES"/>
          </w:rPr>
          <w:t>Actualidad jurídica iberoamericana</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117" w:history="1">
        <w:r w:rsidR="00181687" w:rsidRPr="009B4DB5">
          <w:rPr>
            <w:rFonts w:eastAsia="Times New Roman" w:cstheme="minorHAnsi"/>
            <w:color w:val="000000" w:themeColor="text1"/>
            <w:sz w:val="20"/>
            <w:szCs w:val="20"/>
            <w:bdr w:val="none" w:sz="0" w:space="0" w:color="auto" w:frame="1"/>
            <w:lang w:eastAsia="es-ES"/>
          </w:rPr>
          <w:t>nº. Extra 12, 2, 2020</w:t>
        </w:r>
      </w:hyperlink>
      <w:r w:rsidR="00181687" w:rsidRPr="009B4DB5">
        <w:rPr>
          <w:rFonts w:eastAsia="Times New Roman" w:cstheme="minorHAnsi"/>
          <w:color w:val="000000" w:themeColor="text1"/>
          <w:sz w:val="20"/>
          <w:szCs w:val="20"/>
          <w:bdr w:val="none" w:sz="0" w:space="0" w:color="auto" w:frame="1"/>
          <w:lang w:eastAsia="es-ES"/>
        </w:rPr>
        <w:t>, págs. 326-339.</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Mendoza Losana</w:t>
      </w:r>
      <w:r w:rsidRPr="00B03532">
        <w:rPr>
          <w:rFonts w:cstheme="minorHAnsi"/>
          <w:sz w:val="20"/>
          <w:szCs w:val="20"/>
        </w:rPr>
        <w:t xml:space="preserve">, A. I. “El solicitante del suministro de agua no debe pagar las obras necesarias para destapar la toma tras un fraude”: </w:t>
      </w:r>
      <w:r w:rsidRPr="00B03532">
        <w:rPr>
          <w:rFonts w:cstheme="minorHAnsi"/>
          <w:i/>
          <w:sz w:val="20"/>
          <w:szCs w:val="20"/>
        </w:rPr>
        <w:t>Publicaciones jurídicas CESCO</w:t>
      </w:r>
      <w:r>
        <w:rPr>
          <w:rFonts w:cstheme="minorHAnsi"/>
          <w:sz w:val="20"/>
          <w:szCs w:val="20"/>
        </w:rPr>
        <w:t>, mayo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Minero Macias,</w:t>
      </w:r>
      <w:r w:rsidRPr="00B03532">
        <w:rPr>
          <w:rFonts w:cstheme="minorHAnsi"/>
          <w:sz w:val="20"/>
          <w:szCs w:val="20"/>
        </w:rPr>
        <w:t xml:space="preserve"> C. “La aceptación irresponsable de un crédito, sí se protege”:</w:t>
      </w:r>
      <w:r w:rsidRPr="00B03532">
        <w:rPr>
          <w:rFonts w:cstheme="minorHAnsi"/>
          <w:i/>
          <w:sz w:val="20"/>
          <w:szCs w:val="20"/>
        </w:rPr>
        <w:t xml:space="preserve"> Publicaciones jurídicas CESCO</w:t>
      </w:r>
      <w:r>
        <w:rPr>
          <w:rFonts w:cstheme="minorHAnsi"/>
          <w:sz w:val="20"/>
          <w:szCs w:val="20"/>
        </w:rPr>
        <w:t>, abril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181687"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9B4DB5">
        <w:rPr>
          <w:rFonts w:eastAsia="Times New Roman" w:cstheme="minorHAnsi"/>
          <w:caps/>
          <w:color w:val="000000" w:themeColor="text1"/>
          <w:sz w:val="20"/>
          <w:szCs w:val="20"/>
          <w:bdr w:val="none" w:sz="0" w:space="0" w:color="auto" w:frame="1"/>
          <w:lang w:eastAsia="es-ES"/>
        </w:rPr>
        <w:t>Molina Roig</w:t>
      </w:r>
      <w:r w:rsidRPr="009B4DB5">
        <w:rPr>
          <w:rFonts w:eastAsia="Times New Roman" w:cstheme="minorHAnsi"/>
          <w:color w:val="000000" w:themeColor="text1"/>
          <w:sz w:val="20"/>
          <w:szCs w:val="20"/>
          <w:bdr w:val="none" w:sz="0" w:space="0" w:color="auto" w:frame="1"/>
          <w:lang w:eastAsia="es-ES"/>
        </w:rPr>
        <w:t>, E. “Medidas urgentes sobre arrendamiento de vivienda del Real Decreto-ley 11/2020 para hacer frente al COVID-19”:</w:t>
      </w:r>
      <w:r w:rsidRPr="009B4DB5">
        <w:rPr>
          <w:rFonts w:eastAsia="Times New Roman" w:cstheme="minorHAnsi"/>
          <w:color w:val="000000" w:themeColor="text1"/>
          <w:sz w:val="20"/>
          <w:szCs w:val="20"/>
          <w:lang w:eastAsia="es-ES"/>
        </w:rPr>
        <w:t xml:space="preserve"> </w:t>
      </w:r>
      <w:hyperlink r:id="rId118" w:history="1">
        <w:r w:rsidRPr="009B4DB5">
          <w:rPr>
            <w:rFonts w:eastAsia="Times New Roman" w:cstheme="minorHAnsi"/>
            <w:i/>
            <w:color w:val="000000" w:themeColor="text1"/>
            <w:sz w:val="20"/>
            <w:szCs w:val="20"/>
            <w:bdr w:val="none" w:sz="0" w:space="0" w:color="auto" w:frame="1"/>
            <w:lang w:eastAsia="es-ES"/>
          </w:rPr>
          <w:t>Diario La Ley</w:t>
        </w:r>
      </w:hyperlink>
      <w:r w:rsidRPr="009B4DB5">
        <w:rPr>
          <w:rFonts w:eastAsia="Times New Roman" w:cstheme="minorHAnsi"/>
          <w:color w:val="000000" w:themeColor="text1"/>
          <w:sz w:val="20"/>
          <w:szCs w:val="20"/>
          <w:bdr w:val="none" w:sz="0" w:space="0" w:color="auto" w:frame="1"/>
          <w:lang w:eastAsia="es-ES"/>
        </w:rPr>
        <w:t>, n</w:t>
      </w:r>
      <w:hyperlink r:id="rId119" w:history="1">
        <w:r w:rsidRPr="009B4DB5">
          <w:rPr>
            <w:rFonts w:eastAsia="Times New Roman" w:cstheme="minorHAnsi"/>
            <w:color w:val="000000" w:themeColor="text1"/>
            <w:sz w:val="20"/>
            <w:szCs w:val="20"/>
            <w:bdr w:val="none" w:sz="0" w:space="0" w:color="auto" w:frame="1"/>
            <w:lang w:eastAsia="es-ES"/>
          </w:rPr>
          <w:t>º 9620, 2020</w:t>
        </w:r>
      </w:hyperlink>
      <w:r w:rsidRPr="009B4DB5">
        <w:rPr>
          <w:rFonts w:eastAsia="Times New Roman" w:cstheme="minorHAnsi"/>
          <w:color w:val="000000" w:themeColor="text1"/>
          <w:sz w:val="20"/>
          <w:szCs w:val="20"/>
          <w:bdr w:val="none" w:sz="0" w:space="0" w:color="auto" w:frame="1"/>
          <w:lang w:eastAsia="es-ES"/>
        </w:rPr>
        <w:t>.</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Default="00181687" w:rsidP="00181687">
      <w:pPr>
        <w:pStyle w:val="Prrafodelista"/>
        <w:numPr>
          <w:ilvl w:val="0"/>
          <w:numId w:val="2"/>
        </w:numPr>
        <w:spacing w:after="0" w:line="240" w:lineRule="auto"/>
        <w:ind w:left="0"/>
        <w:jc w:val="both"/>
        <w:textAlignment w:val="baseline"/>
        <w:outlineLvl w:val="1"/>
        <w:rPr>
          <w:rFonts w:cstheme="minorHAnsi"/>
          <w:color w:val="000000" w:themeColor="text1"/>
          <w:sz w:val="20"/>
          <w:szCs w:val="20"/>
        </w:rPr>
      </w:pPr>
      <w:r w:rsidRPr="009B4DB5">
        <w:rPr>
          <w:rFonts w:cstheme="minorHAnsi"/>
          <w:caps/>
          <w:color w:val="000000" w:themeColor="text1"/>
          <w:sz w:val="20"/>
          <w:szCs w:val="20"/>
        </w:rPr>
        <w:t>Moreno García</w:t>
      </w:r>
      <w:r w:rsidRPr="009B4DB5">
        <w:rPr>
          <w:rFonts w:cstheme="minorHAnsi"/>
          <w:color w:val="000000" w:themeColor="text1"/>
          <w:sz w:val="20"/>
          <w:szCs w:val="20"/>
        </w:rPr>
        <w:t>, L. “Tutela del consumidor frente a las tarjetas «</w:t>
      </w:r>
      <w:proofErr w:type="spellStart"/>
      <w:r w:rsidRPr="009B4DB5">
        <w:rPr>
          <w:rFonts w:cstheme="minorHAnsi"/>
          <w:color w:val="000000" w:themeColor="text1"/>
          <w:sz w:val="20"/>
          <w:szCs w:val="20"/>
        </w:rPr>
        <w:t>revolving</w:t>
      </w:r>
      <w:proofErr w:type="spellEnd"/>
      <w:r w:rsidRPr="009B4DB5">
        <w:rPr>
          <w:rFonts w:cstheme="minorHAnsi"/>
          <w:color w:val="000000" w:themeColor="text1"/>
          <w:sz w:val="20"/>
          <w:szCs w:val="20"/>
        </w:rPr>
        <w:t xml:space="preserve">»”: </w:t>
      </w:r>
      <w:r w:rsidRPr="009B4DB5">
        <w:rPr>
          <w:rFonts w:cstheme="minorHAnsi"/>
          <w:i/>
          <w:color w:val="000000" w:themeColor="text1"/>
          <w:sz w:val="20"/>
          <w:szCs w:val="20"/>
        </w:rPr>
        <w:t>Justicia: revista de derecho procesal</w:t>
      </w:r>
      <w:r w:rsidRPr="009B4DB5">
        <w:rPr>
          <w:rFonts w:cstheme="minorHAnsi"/>
          <w:color w:val="000000" w:themeColor="text1"/>
          <w:sz w:val="20"/>
          <w:szCs w:val="20"/>
        </w:rPr>
        <w:t xml:space="preserve">, nº 2, 2019, págs. 549-598. </w:t>
      </w:r>
    </w:p>
    <w:p w:rsidR="00181687" w:rsidRPr="009B4DB5" w:rsidRDefault="00181687" w:rsidP="00181687">
      <w:pPr>
        <w:pStyle w:val="Prrafodelista"/>
        <w:spacing w:after="0" w:line="240" w:lineRule="auto"/>
        <w:ind w:left="0"/>
        <w:jc w:val="both"/>
        <w:textAlignment w:val="baseline"/>
        <w:outlineLvl w:val="1"/>
        <w:rPr>
          <w:rFonts w:cstheme="minorHAnsi"/>
          <w:color w:val="000000" w:themeColor="text1"/>
          <w:sz w:val="20"/>
          <w:szCs w:val="20"/>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20" w:history="1">
        <w:r w:rsidR="00181687" w:rsidRPr="009B4DB5">
          <w:rPr>
            <w:rFonts w:eastAsia="Times New Roman" w:cstheme="minorHAnsi"/>
            <w:caps/>
            <w:color w:val="000000" w:themeColor="text1"/>
            <w:sz w:val="20"/>
            <w:szCs w:val="20"/>
            <w:bdr w:val="none" w:sz="0" w:space="0" w:color="auto" w:frame="1"/>
            <w:lang w:eastAsia="es-ES"/>
          </w:rPr>
          <w:t>Moya Ballester</w:t>
        </w:r>
      </w:hyperlink>
      <w:r w:rsidR="00181687" w:rsidRPr="009B4DB5">
        <w:rPr>
          <w:rFonts w:eastAsia="Times New Roman" w:cstheme="minorHAnsi"/>
          <w:color w:val="000000" w:themeColor="text1"/>
          <w:sz w:val="20"/>
          <w:szCs w:val="20"/>
          <w:bdr w:val="none" w:sz="0" w:space="0" w:color="auto" w:frame="1"/>
          <w:lang w:eastAsia="es-ES"/>
        </w:rPr>
        <w:t xml:space="preserve">, J. “El tratamiento del crédito público en el beneficio de exoneración del pasivo </w:t>
      </w:r>
      <w:proofErr w:type="spellStart"/>
      <w:r w:rsidR="00181687" w:rsidRPr="009B4DB5">
        <w:rPr>
          <w:rFonts w:eastAsia="Times New Roman" w:cstheme="minorHAnsi"/>
          <w:color w:val="000000" w:themeColor="text1"/>
          <w:sz w:val="20"/>
          <w:szCs w:val="20"/>
          <w:bdr w:val="none" w:sz="0" w:space="0" w:color="auto" w:frame="1"/>
          <w:lang w:eastAsia="es-ES"/>
        </w:rPr>
        <w:t>insatisfechoComentario</w:t>
      </w:r>
      <w:proofErr w:type="spellEnd"/>
      <w:r w:rsidR="00181687" w:rsidRPr="009B4DB5">
        <w:rPr>
          <w:rFonts w:eastAsia="Times New Roman" w:cstheme="minorHAnsi"/>
          <w:color w:val="000000" w:themeColor="text1"/>
          <w:sz w:val="20"/>
          <w:szCs w:val="20"/>
          <w:bdr w:val="none" w:sz="0" w:space="0" w:color="auto" w:frame="1"/>
          <w:lang w:eastAsia="es-ES"/>
        </w:rPr>
        <w:t xml:space="preserve"> de la sentencia del Tribunal Supremo [1ª] de 22 de julio de 2019”:</w:t>
      </w:r>
      <w:r w:rsidR="00181687" w:rsidRPr="009B4DB5">
        <w:rPr>
          <w:rFonts w:eastAsia="Times New Roman" w:cstheme="minorHAnsi"/>
          <w:color w:val="000000" w:themeColor="text1"/>
          <w:sz w:val="20"/>
          <w:szCs w:val="20"/>
          <w:lang w:eastAsia="es-ES"/>
        </w:rPr>
        <w:t xml:space="preserve"> </w:t>
      </w:r>
      <w:hyperlink r:id="rId121" w:history="1">
        <w:r w:rsidR="00181687" w:rsidRPr="009B4DB5">
          <w:rPr>
            <w:rFonts w:eastAsia="Times New Roman" w:cstheme="minorHAnsi"/>
            <w:i/>
            <w:color w:val="000000" w:themeColor="text1"/>
            <w:sz w:val="20"/>
            <w:szCs w:val="20"/>
            <w:bdr w:val="none" w:sz="0" w:space="0" w:color="auto" w:frame="1"/>
            <w:lang w:eastAsia="es-ES"/>
          </w:rPr>
          <w:t>Anuario de derecho concursal</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122" w:history="1">
        <w:r w:rsidR="00181687" w:rsidRPr="009B4DB5">
          <w:rPr>
            <w:rFonts w:eastAsia="Times New Roman" w:cstheme="minorHAnsi"/>
            <w:color w:val="000000" w:themeColor="text1"/>
            <w:sz w:val="20"/>
            <w:szCs w:val="20"/>
            <w:bdr w:val="none" w:sz="0" w:space="0" w:color="auto" w:frame="1"/>
            <w:lang w:eastAsia="es-ES"/>
          </w:rPr>
          <w:t>nº. 49, 2020</w:t>
        </w:r>
      </w:hyperlink>
      <w:r w:rsidR="00181687" w:rsidRPr="009B4DB5">
        <w:rPr>
          <w:rFonts w:eastAsia="Times New Roman" w:cstheme="minorHAnsi"/>
          <w:color w:val="000000" w:themeColor="text1"/>
          <w:sz w:val="20"/>
          <w:szCs w:val="20"/>
          <w:bdr w:val="none" w:sz="0" w:space="0" w:color="auto" w:frame="1"/>
          <w:lang w:eastAsia="es-ES"/>
        </w:rPr>
        <w:t>, págs. 285-304.</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Default="00181687"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bdr w:val="none" w:sz="0" w:space="0" w:color="auto" w:frame="1"/>
          <w:lang w:eastAsia="es-ES"/>
        </w:rPr>
      </w:pPr>
      <w:r w:rsidRPr="009B4DB5">
        <w:rPr>
          <w:rFonts w:eastAsia="Times New Roman" w:cstheme="minorHAnsi"/>
          <w:color w:val="000000" w:themeColor="text1"/>
          <w:sz w:val="20"/>
          <w:szCs w:val="20"/>
          <w:bdr w:val="none" w:sz="0" w:space="0" w:color="auto" w:frame="1"/>
          <w:lang w:eastAsia="es-ES"/>
        </w:rPr>
        <w:t xml:space="preserve">MUNAR BERNAT, P. A.; MARTOS CALABRÚS, M. A.; LÓPEZ SAN LUÍS, R.; BASTANTE GRANELL, V. (Coord.). </w:t>
      </w:r>
      <w:r w:rsidRPr="009B4DB5">
        <w:rPr>
          <w:rFonts w:eastAsia="Times New Roman" w:cstheme="minorHAnsi"/>
          <w:i/>
          <w:color w:val="000000" w:themeColor="text1"/>
          <w:sz w:val="20"/>
          <w:szCs w:val="20"/>
          <w:bdr w:val="none" w:sz="0" w:space="0" w:color="auto" w:frame="1"/>
          <w:lang w:eastAsia="es-ES"/>
        </w:rPr>
        <w:t>Turismo, vivienda y economía colaborativa</w:t>
      </w:r>
      <w:r w:rsidRPr="009B4DB5">
        <w:rPr>
          <w:rFonts w:eastAsia="Times New Roman" w:cstheme="minorHAnsi"/>
          <w:color w:val="000000" w:themeColor="text1"/>
          <w:sz w:val="20"/>
          <w:szCs w:val="20"/>
          <w:bdr w:val="none" w:sz="0" w:space="0" w:color="auto" w:frame="1"/>
          <w:lang w:eastAsia="es-ES"/>
        </w:rPr>
        <w:t xml:space="preserve">. </w:t>
      </w:r>
      <w:proofErr w:type="spellStart"/>
      <w:r w:rsidRPr="009B4DB5">
        <w:rPr>
          <w:rFonts w:eastAsia="Times New Roman" w:cstheme="minorHAnsi"/>
          <w:color w:val="000000" w:themeColor="text1"/>
          <w:sz w:val="20"/>
          <w:szCs w:val="20"/>
          <w:bdr w:val="none" w:sz="0" w:space="0" w:color="auto" w:frame="1"/>
          <w:lang w:eastAsia="es-ES"/>
        </w:rPr>
        <w:t>Cizur</w:t>
      </w:r>
      <w:proofErr w:type="spellEnd"/>
      <w:r w:rsidRPr="009B4DB5">
        <w:rPr>
          <w:rFonts w:eastAsia="Times New Roman" w:cstheme="minorHAnsi"/>
          <w:color w:val="000000" w:themeColor="text1"/>
          <w:sz w:val="20"/>
          <w:szCs w:val="20"/>
          <w:bdr w:val="none" w:sz="0" w:space="0" w:color="auto" w:frame="1"/>
          <w:lang w:eastAsia="es-ES"/>
        </w:rPr>
        <w:t xml:space="preserve"> Menor: Aranzadi,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bdr w:val="none" w:sz="0" w:space="0" w:color="auto" w:frame="1"/>
          <w:lang w:eastAsia="es-ES"/>
        </w:rPr>
      </w:pPr>
    </w:p>
    <w:p w:rsidR="00A21DDE" w:rsidRPr="00A21DDE" w:rsidRDefault="00CF6D6C" w:rsidP="00A21DDE">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23" w:history="1">
        <w:r w:rsidR="00181687" w:rsidRPr="009B4DB5">
          <w:rPr>
            <w:rFonts w:eastAsia="Times New Roman" w:cstheme="minorHAnsi"/>
            <w:caps/>
            <w:color w:val="000000" w:themeColor="text1"/>
            <w:sz w:val="20"/>
            <w:szCs w:val="20"/>
            <w:bdr w:val="none" w:sz="0" w:space="0" w:color="auto" w:frame="1"/>
            <w:lang w:eastAsia="es-ES"/>
          </w:rPr>
          <w:t>Muñoz García</w:t>
        </w:r>
      </w:hyperlink>
      <w:r w:rsidR="00181687" w:rsidRPr="009B4DB5">
        <w:rPr>
          <w:rFonts w:eastAsia="Times New Roman" w:cstheme="minorHAnsi"/>
          <w:color w:val="000000" w:themeColor="text1"/>
          <w:sz w:val="20"/>
          <w:szCs w:val="20"/>
          <w:bdr w:val="none" w:sz="0" w:space="0" w:color="auto" w:frame="1"/>
          <w:lang w:eastAsia="es-ES"/>
        </w:rPr>
        <w:t>, C. “Integración y sustitución de cláusulas nulas por abusivas en contratos bancarios”:</w:t>
      </w:r>
      <w:r w:rsidR="00181687" w:rsidRPr="009B4DB5">
        <w:rPr>
          <w:rFonts w:eastAsia="Times New Roman" w:cstheme="minorHAnsi"/>
          <w:color w:val="000000" w:themeColor="text1"/>
          <w:sz w:val="20"/>
          <w:szCs w:val="20"/>
          <w:lang w:eastAsia="es-ES"/>
        </w:rPr>
        <w:t xml:space="preserve"> </w:t>
      </w:r>
      <w:hyperlink r:id="rId124" w:history="1">
        <w:r w:rsidR="00181687" w:rsidRPr="009B4DB5">
          <w:rPr>
            <w:rFonts w:eastAsia="Times New Roman" w:cstheme="minorHAnsi"/>
            <w:i/>
            <w:color w:val="000000" w:themeColor="text1"/>
            <w:sz w:val="20"/>
            <w:szCs w:val="20"/>
            <w:bdr w:val="none" w:sz="0" w:space="0" w:color="auto" w:frame="1"/>
            <w:lang w:eastAsia="es-ES"/>
          </w:rPr>
          <w:t>Revista Crítica de Derecho Inmobiliario</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125" w:history="1">
        <w:r w:rsidR="00181687" w:rsidRPr="009B4DB5">
          <w:rPr>
            <w:rFonts w:eastAsia="Times New Roman" w:cstheme="minorHAnsi"/>
            <w:color w:val="000000" w:themeColor="text1"/>
            <w:sz w:val="20"/>
            <w:szCs w:val="20"/>
            <w:bdr w:val="none" w:sz="0" w:space="0" w:color="auto" w:frame="1"/>
            <w:lang w:eastAsia="es-ES"/>
          </w:rPr>
          <w:t>Año nº 96, nº 778, 2020</w:t>
        </w:r>
      </w:hyperlink>
      <w:r w:rsidR="00181687" w:rsidRPr="009B4DB5">
        <w:rPr>
          <w:rFonts w:eastAsia="Times New Roman" w:cstheme="minorHAnsi"/>
          <w:color w:val="000000" w:themeColor="text1"/>
          <w:sz w:val="20"/>
          <w:szCs w:val="20"/>
          <w:bdr w:val="none" w:sz="0" w:space="0" w:color="auto" w:frame="1"/>
          <w:lang w:eastAsia="es-ES"/>
        </w:rPr>
        <w:t>, págs. 1386-1404.</w:t>
      </w:r>
    </w:p>
    <w:p w:rsidR="00A21DDE" w:rsidRPr="00A21DDE" w:rsidRDefault="00A21DDE" w:rsidP="00A21DDE">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A21DDE" w:rsidRDefault="00A21DDE" w:rsidP="00A21DDE">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A21DDE">
        <w:rPr>
          <w:rFonts w:eastAsia="Times New Roman" w:cstheme="minorHAnsi"/>
          <w:caps/>
          <w:color w:val="000000" w:themeColor="text1"/>
          <w:sz w:val="20"/>
          <w:szCs w:val="20"/>
          <w:lang w:eastAsia="es-ES"/>
        </w:rPr>
        <w:t>Muñoz-Sabaté</w:t>
      </w:r>
      <w:r w:rsidRPr="00A21DDE">
        <w:rPr>
          <w:rFonts w:eastAsia="Times New Roman" w:cstheme="minorHAnsi"/>
          <w:color w:val="000000" w:themeColor="text1"/>
          <w:sz w:val="20"/>
          <w:szCs w:val="20"/>
          <w:lang w:eastAsia="es-ES"/>
        </w:rPr>
        <w:t xml:space="preserve">, J. “La </w:t>
      </w:r>
      <w:proofErr w:type="spellStart"/>
      <w:r w:rsidRPr="00A21DDE">
        <w:rPr>
          <w:rFonts w:eastAsia="Times New Roman" w:cstheme="minorHAnsi"/>
          <w:color w:val="000000" w:themeColor="text1"/>
          <w:sz w:val="20"/>
          <w:szCs w:val="20"/>
          <w:lang w:eastAsia="es-ES"/>
        </w:rPr>
        <w:t>clausula</w:t>
      </w:r>
      <w:proofErr w:type="spellEnd"/>
      <w:r w:rsidRPr="00A21DDE">
        <w:rPr>
          <w:rFonts w:eastAsia="Times New Roman" w:cstheme="minorHAnsi"/>
          <w:color w:val="000000" w:themeColor="text1"/>
          <w:sz w:val="20"/>
          <w:szCs w:val="20"/>
          <w:lang w:eastAsia="es-ES"/>
        </w:rPr>
        <w:t xml:space="preserve"> IRPH y el asno de </w:t>
      </w:r>
      <w:proofErr w:type="spellStart"/>
      <w:r w:rsidRPr="00A21DDE">
        <w:rPr>
          <w:rFonts w:eastAsia="Times New Roman" w:cstheme="minorHAnsi"/>
          <w:color w:val="000000" w:themeColor="text1"/>
          <w:sz w:val="20"/>
          <w:szCs w:val="20"/>
          <w:lang w:eastAsia="es-ES"/>
        </w:rPr>
        <w:t>buridán</w:t>
      </w:r>
      <w:proofErr w:type="spellEnd"/>
      <w:r w:rsidRPr="00A21DDE">
        <w:rPr>
          <w:rFonts w:eastAsia="Times New Roman" w:cstheme="minorHAnsi"/>
          <w:color w:val="000000" w:themeColor="text1"/>
          <w:sz w:val="20"/>
          <w:szCs w:val="20"/>
          <w:lang w:eastAsia="es-ES"/>
        </w:rPr>
        <w:t xml:space="preserve">. A propósito de la sentencia de la Audiencia Provincial de Barcelona de 24 de abril de 2020 (sec. 15)”: </w:t>
      </w:r>
      <w:r w:rsidRPr="00A21DDE">
        <w:rPr>
          <w:rFonts w:eastAsia="Times New Roman" w:cstheme="minorHAnsi"/>
          <w:i/>
          <w:color w:val="000000" w:themeColor="text1"/>
          <w:sz w:val="20"/>
          <w:szCs w:val="20"/>
          <w:lang w:eastAsia="es-ES"/>
        </w:rPr>
        <w:t xml:space="preserve">Revista de Derecho </w:t>
      </w:r>
      <w:proofErr w:type="spellStart"/>
      <w:r w:rsidRPr="00A21DDE">
        <w:rPr>
          <w:rFonts w:eastAsia="Times New Roman" w:cstheme="minorHAnsi"/>
          <w:i/>
          <w:color w:val="000000" w:themeColor="text1"/>
          <w:sz w:val="20"/>
          <w:szCs w:val="20"/>
          <w:lang w:eastAsia="es-ES"/>
        </w:rPr>
        <w:t>vLex</w:t>
      </w:r>
      <w:proofErr w:type="spellEnd"/>
      <w:r w:rsidRPr="00A21DDE">
        <w:rPr>
          <w:rFonts w:eastAsia="Times New Roman" w:cstheme="minorHAnsi"/>
          <w:color w:val="000000" w:themeColor="text1"/>
          <w:sz w:val="20"/>
          <w:szCs w:val="20"/>
          <w:lang w:eastAsia="es-ES"/>
        </w:rPr>
        <w:t>, nº 192, Mayo 2020.</w:t>
      </w:r>
    </w:p>
    <w:p w:rsidR="00A21DDE" w:rsidRDefault="00A21DDE" w:rsidP="00A21DDE">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A21DDE" w:rsidRPr="00A21DDE" w:rsidRDefault="00A21DDE" w:rsidP="00A21DDE">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A21DDE">
        <w:rPr>
          <w:rFonts w:eastAsia="Times New Roman" w:cstheme="minorHAnsi"/>
          <w:caps/>
          <w:color w:val="000000" w:themeColor="text1"/>
          <w:sz w:val="20"/>
          <w:szCs w:val="20"/>
          <w:lang w:eastAsia="es-ES"/>
        </w:rPr>
        <w:t>Orduña Moreno</w:t>
      </w:r>
      <w:r w:rsidRPr="00A21DDE">
        <w:rPr>
          <w:rFonts w:eastAsia="Times New Roman" w:cstheme="minorHAnsi"/>
          <w:color w:val="000000" w:themeColor="text1"/>
          <w:sz w:val="20"/>
          <w:szCs w:val="20"/>
          <w:lang w:eastAsia="es-ES"/>
        </w:rPr>
        <w:t xml:space="preserve">, F. J.; </w:t>
      </w:r>
      <w:r w:rsidRPr="00A21DDE">
        <w:rPr>
          <w:rFonts w:eastAsia="Times New Roman" w:cstheme="minorHAnsi"/>
          <w:caps/>
          <w:color w:val="000000" w:themeColor="text1"/>
          <w:sz w:val="20"/>
          <w:szCs w:val="20"/>
          <w:lang w:eastAsia="es-ES"/>
        </w:rPr>
        <w:t>Sánchez García</w:t>
      </w:r>
      <w:r w:rsidRPr="00A21DDE">
        <w:rPr>
          <w:rFonts w:eastAsia="Times New Roman" w:cstheme="minorHAnsi"/>
          <w:color w:val="000000" w:themeColor="text1"/>
          <w:sz w:val="20"/>
          <w:szCs w:val="20"/>
          <w:lang w:eastAsia="es-ES"/>
        </w:rPr>
        <w:t xml:space="preserve">, J. M. “La sentencia de la Sala 1º del TS 4 de marzo de 2020 sobre la tarjeta </w:t>
      </w:r>
      <w:proofErr w:type="spellStart"/>
      <w:r w:rsidRPr="00A21DDE">
        <w:rPr>
          <w:rFonts w:eastAsia="Times New Roman" w:cstheme="minorHAnsi"/>
          <w:color w:val="000000" w:themeColor="text1"/>
          <w:sz w:val="20"/>
          <w:szCs w:val="20"/>
          <w:lang w:eastAsia="es-ES"/>
        </w:rPr>
        <w:t>revolving</w:t>
      </w:r>
      <w:proofErr w:type="spellEnd"/>
      <w:r w:rsidRPr="00A21DDE">
        <w:rPr>
          <w:rFonts w:eastAsia="Times New Roman" w:cstheme="minorHAnsi"/>
          <w:color w:val="000000" w:themeColor="text1"/>
          <w:sz w:val="20"/>
          <w:szCs w:val="20"/>
          <w:lang w:eastAsia="es-ES"/>
        </w:rPr>
        <w:t xml:space="preserve">: una imprescindible vuelta a la racionalidad jurídica”: </w:t>
      </w:r>
      <w:r w:rsidRPr="00A21DDE">
        <w:rPr>
          <w:rFonts w:eastAsia="Times New Roman" w:cstheme="minorHAnsi"/>
          <w:i/>
          <w:color w:val="000000" w:themeColor="text1"/>
          <w:sz w:val="20"/>
          <w:szCs w:val="20"/>
          <w:lang w:eastAsia="es-ES"/>
        </w:rPr>
        <w:t>Revista Jurídica sobre Consumidores y Usuarios</w:t>
      </w:r>
      <w:r w:rsidRPr="00A21DDE">
        <w:rPr>
          <w:rFonts w:eastAsia="Times New Roman" w:cstheme="minorHAnsi"/>
          <w:color w:val="000000" w:themeColor="text1"/>
          <w:sz w:val="20"/>
          <w:szCs w:val="20"/>
          <w:lang w:eastAsia="es-ES"/>
        </w:rPr>
        <w:t xml:space="preserve"> (Especial. Sentencia del Tribunal Supremo de fecha 4 de marzo de 2020 sobre créditos sobre la usura en los créditos </w:t>
      </w:r>
      <w:proofErr w:type="spellStart"/>
      <w:r w:rsidRPr="00A21DDE">
        <w:rPr>
          <w:rFonts w:eastAsia="Times New Roman" w:cstheme="minorHAnsi"/>
          <w:color w:val="000000" w:themeColor="text1"/>
          <w:sz w:val="20"/>
          <w:szCs w:val="20"/>
          <w:lang w:eastAsia="es-ES"/>
        </w:rPr>
        <w:t>revolving</w:t>
      </w:r>
      <w:proofErr w:type="spellEnd"/>
      <w:r w:rsidRPr="00A21DDE">
        <w:rPr>
          <w:rFonts w:eastAsia="Times New Roman" w:cstheme="minorHAnsi"/>
          <w:color w:val="000000" w:themeColor="text1"/>
          <w:sz w:val="20"/>
          <w:szCs w:val="20"/>
          <w:lang w:eastAsia="es-ES"/>
        </w:rPr>
        <w:t xml:space="preserve">), Abril 2020, pp. 6-13. </w:t>
      </w:r>
    </w:p>
    <w:p w:rsidR="00181687"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181687"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9B4DB5">
        <w:rPr>
          <w:rFonts w:eastAsia="Times New Roman" w:cstheme="minorHAnsi"/>
          <w:caps/>
          <w:color w:val="000000" w:themeColor="text1"/>
          <w:sz w:val="20"/>
          <w:szCs w:val="20"/>
          <w:bdr w:val="none" w:sz="0" w:space="0" w:color="auto" w:frame="1"/>
          <w:lang w:eastAsia="es-ES"/>
        </w:rPr>
        <w:lastRenderedPageBreak/>
        <w:t>Pacheco Cifuentes</w:t>
      </w:r>
      <w:r w:rsidRPr="009B4DB5">
        <w:rPr>
          <w:rFonts w:eastAsia="Times New Roman" w:cstheme="minorHAnsi"/>
          <w:color w:val="000000" w:themeColor="text1"/>
          <w:sz w:val="20"/>
          <w:szCs w:val="20"/>
          <w:bdr w:val="none" w:sz="0" w:space="0" w:color="auto" w:frame="1"/>
          <w:lang w:eastAsia="es-ES"/>
        </w:rPr>
        <w:t>, A. “COVID-19 Dudas sobre la moratoria de deuda arrendaticia en caso de grandes tenedores”:</w:t>
      </w:r>
      <w:r w:rsidRPr="009B4DB5">
        <w:rPr>
          <w:rFonts w:eastAsia="Times New Roman" w:cstheme="minorHAnsi"/>
          <w:color w:val="000000" w:themeColor="text1"/>
          <w:sz w:val="20"/>
          <w:szCs w:val="20"/>
          <w:lang w:eastAsia="es-ES"/>
        </w:rPr>
        <w:t xml:space="preserve"> </w:t>
      </w:r>
      <w:hyperlink r:id="rId126" w:history="1">
        <w:r w:rsidRPr="009B4DB5">
          <w:rPr>
            <w:rFonts w:eastAsia="Times New Roman" w:cstheme="minorHAnsi"/>
            <w:i/>
            <w:color w:val="000000" w:themeColor="text1"/>
            <w:sz w:val="20"/>
            <w:szCs w:val="20"/>
            <w:bdr w:val="none" w:sz="0" w:space="0" w:color="auto" w:frame="1"/>
            <w:lang w:eastAsia="es-ES"/>
          </w:rPr>
          <w:t>Diario La Ley</w:t>
        </w:r>
      </w:hyperlink>
      <w:r w:rsidRPr="009B4DB5">
        <w:rPr>
          <w:rFonts w:eastAsia="Times New Roman" w:cstheme="minorHAnsi"/>
          <w:color w:val="000000" w:themeColor="text1"/>
          <w:sz w:val="20"/>
          <w:szCs w:val="20"/>
          <w:bdr w:val="none" w:sz="0" w:space="0" w:color="auto" w:frame="1"/>
          <w:lang w:eastAsia="es-ES"/>
        </w:rPr>
        <w:t xml:space="preserve">, n </w:t>
      </w:r>
      <w:hyperlink r:id="rId127" w:history="1">
        <w:r w:rsidRPr="009B4DB5">
          <w:rPr>
            <w:rFonts w:eastAsia="Times New Roman" w:cstheme="minorHAnsi"/>
            <w:color w:val="000000" w:themeColor="text1"/>
            <w:sz w:val="20"/>
            <w:szCs w:val="20"/>
            <w:bdr w:val="none" w:sz="0" w:space="0" w:color="auto" w:frame="1"/>
            <w:lang w:eastAsia="es-ES"/>
          </w:rPr>
          <w:t>º 9619, 2020</w:t>
        </w:r>
      </w:hyperlink>
      <w:r w:rsidRPr="009B4DB5">
        <w:rPr>
          <w:rFonts w:eastAsia="Times New Roman" w:cstheme="minorHAnsi"/>
          <w:color w:val="000000" w:themeColor="text1"/>
          <w:sz w:val="20"/>
          <w:szCs w:val="20"/>
          <w:bdr w:val="none" w:sz="0" w:space="0" w:color="auto" w:frame="1"/>
          <w:lang w:eastAsia="es-ES"/>
        </w:rPr>
        <w:t>.</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4D794A" w:rsidRDefault="00CF6D6C" w:rsidP="004D794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28" w:history="1">
        <w:r w:rsidR="00181687" w:rsidRPr="009B4DB5">
          <w:rPr>
            <w:rFonts w:eastAsia="Times New Roman" w:cstheme="minorHAnsi"/>
            <w:caps/>
            <w:color w:val="000000" w:themeColor="text1"/>
            <w:sz w:val="20"/>
            <w:szCs w:val="20"/>
            <w:bdr w:val="none" w:sz="0" w:space="0" w:color="auto" w:frame="1"/>
            <w:lang w:eastAsia="es-ES"/>
          </w:rPr>
          <w:t>Páramo y de Santiago</w:t>
        </w:r>
      </w:hyperlink>
      <w:r w:rsidR="00181687" w:rsidRPr="009B4DB5">
        <w:rPr>
          <w:rFonts w:eastAsia="Times New Roman" w:cstheme="minorHAnsi"/>
          <w:color w:val="000000" w:themeColor="text1"/>
          <w:sz w:val="20"/>
          <w:szCs w:val="20"/>
          <w:bdr w:val="none" w:sz="0" w:space="0" w:color="auto" w:frame="1"/>
          <w:lang w:eastAsia="es-ES"/>
        </w:rPr>
        <w:t>, C. “Contrato de préstamo personal. Cláusulas abusivas de vencimiento anticipado e interés de demora desproporcionado”:</w:t>
      </w:r>
      <w:r w:rsidR="00181687" w:rsidRPr="009B4DB5">
        <w:rPr>
          <w:rFonts w:eastAsia="Times New Roman" w:cstheme="minorHAnsi"/>
          <w:color w:val="000000" w:themeColor="text1"/>
          <w:sz w:val="20"/>
          <w:szCs w:val="20"/>
          <w:lang w:eastAsia="es-ES"/>
        </w:rPr>
        <w:t xml:space="preserve"> </w:t>
      </w:r>
      <w:hyperlink r:id="rId129" w:history="1">
        <w:proofErr w:type="spellStart"/>
        <w:r w:rsidR="00181687" w:rsidRPr="009B4DB5">
          <w:rPr>
            <w:rFonts w:eastAsia="Times New Roman" w:cstheme="minorHAnsi"/>
            <w:i/>
            <w:color w:val="000000" w:themeColor="text1"/>
            <w:sz w:val="20"/>
            <w:szCs w:val="20"/>
            <w:bdr w:val="none" w:sz="0" w:space="0" w:color="auto" w:frame="1"/>
            <w:lang w:eastAsia="es-ES"/>
          </w:rPr>
          <w:t>CEFLegal</w:t>
        </w:r>
        <w:proofErr w:type="spellEnd"/>
        <w:r w:rsidR="00181687" w:rsidRPr="009B4DB5">
          <w:rPr>
            <w:rFonts w:eastAsia="Times New Roman" w:cstheme="minorHAnsi"/>
            <w:i/>
            <w:color w:val="000000" w:themeColor="text1"/>
            <w:sz w:val="20"/>
            <w:szCs w:val="20"/>
            <w:bdr w:val="none" w:sz="0" w:space="0" w:color="auto" w:frame="1"/>
            <w:lang w:eastAsia="es-ES"/>
          </w:rPr>
          <w:t>: revista práctica de derecho. Comentarios y casos prácticos</w:t>
        </w:r>
      </w:hyperlink>
      <w:r w:rsidR="00181687" w:rsidRPr="009B4DB5">
        <w:rPr>
          <w:rFonts w:eastAsia="Times New Roman" w:cstheme="minorHAnsi"/>
          <w:color w:val="000000" w:themeColor="text1"/>
          <w:sz w:val="20"/>
          <w:szCs w:val="20"/>
          <w:bdr w:val="none" w:sz="0" w:space="0" w:color="auto" w:frame="1"/>
          <w:lang w:eastAsia="es-ES"/>
        </w:rPr>
        <w:t>, </w:t>
      </w:r>
      <w:hyperlink r:id="rId130" w:history="1">
        <w:r w:rsidR="00181687" w:rsidRPr="009B4DB5">
          <w:rPr>
            <w:rFonts w:eastAsia="Times New Roman" w:cstheme="minorHAnsi"/>
            <w:color w:val="000000" w:themeColor="text1"/>
            <w:sz w:val="20"/>
            <w:szCs w:val="20"/>
            <w:bdr w:val="none" w:sz="0" w:space="0" w:color="auto" w:frame="1"/>
            <w:lang w:eastAsia="es-ES"/>
          </w:rPr>
          <w:t>nº. 231, 2020</w:t>
        </w:r>
      </w:hyperlink>
      <w:r w:rsidR="00181687" w:rsidRPr="009B4DB5">
        <w:rPr>
          <w:rFonts w:eastAsia="Times New Roman" w:cstheme="minorHAnsi"/>
          <w:color w:val="000000" w:themeColor="text1"/>
          <w:sz w:val="20"/>
          <w:szCs w:val="20"/>
          <w:bdr w:val="none" w:sz="0" w:space="0" w:color="auto" w:frame="1"/>
          <w:lang w:eastAsia="es-ES"/>
        </w:rPr>
        <w:t>.</w:t>
      </w:r>
    </w:p>
    <w:p w:rsidR="004D794A" w:rsidRDefault="004D794A" w:rsidP="004D794A">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4D794A" w:rsidRDefault="004D794A" w:rsidP="004D794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4D794A">
        <w:rPr>
          <w:rFonts w:eastAsia="Times New Roman" w:cstheme="minorHAnsi"/>
          <w:caps/>
          <w:color w:val="000000" w:themeColor="text1"/>
          <w:sz w:val="20"/>
          <w:szCs w:val="20"/>
          <w:lang w:eastAsia="es-ES"/>
        </w:rPr>
        <w:t>Parra Membrilla</w:t>
      </w:r>
      <w:r w:rsidRPr="004D794A">
        <w:rPr>
          <w:rFonts w:eastAsia="Times New Roman" w:cstheme="minorHAnsi"/>
          <w:color w:val="000000" w:themeColor="text1"/>
          <w:sz w:val="20"/>
          <w:szCs w:val="20"/>
          <w:lang w:eastAsia="es-ES"/>
        </w:rPr>
        <w:t xml:space="preserve">, L. “La venta de libros electrónicos de segunda mano a través de Internet debe ser autorizada por su autor”: </w:t>
      </w:r>
      <w:r w:rsidRPr="004D794A">
        <w:rPr>
          <w:rFonts w:eastAsia="Times New Roman" w:cstheme="minorHAnsi"/>
          <w:i/>
          <w:color w:val="000000" w:themeColor="text1"/>
          <w:sz w:val="20"/>
          <w:szCs w:val="20"/>
          <w:lang w:eastAsia="es-ES"/>
        </w:rPr>
        <w:t>Publicaciones jurídicas CESCO</w:t>
      </w:r>
      <w:r w:rsidRPr="004D794A">
        <w:rPr>
          <w:rFonts w:eastAsia="Times New Roman" w:cstheme="minorHAnsi"/>
          <w:color w:val="000000" w:themeColor="text1"/>
          <w:sz w:val="20"/>
          <w:szCs w:val="20"/>
          <w:lang w:eastAsia="es-ES"/>
        </w:rPr>
        <w:t xml:space="preserve">, abril 2020. </w:t>
      </w:r>
    </w:p>
    <w:p w:rsidR="004D794A" w:rsidRDefault="004D794A" w:rsidP="004D794A">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4D794A" w:rsidRPr="004D794A" w:rsidRDefault="004D794A" w:rsidP="004D794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4D794A">
        <w:rPr>
          <w:rFonts w:eastAsia="Times New Roman" w:cstheme="minorHAnsi"/>
          <w:caps/>
          <w:color w:val="000000" w:themeColor="text1"/>
          <w:sz w:val="20"/>
          <w:szCs w:val="20"/>
          <w:lang w:eastAsia="es-ES"/>
        </w:rPr>
        <w:t>Parra Membrilla</w:t>
      </w:r>
      <w:r w:rsidRPr="004D794A">
        <w:rPr>
          <w:rFonts w:eastAsia="Times New Roman" w:cstheme="minorHAnsi"/>
          <w:color w:val="000000" w:themeColor="text1"/>
          <w:sz w:val="20"/>
          <w:szCs w:val="20"/>
          <w:lang w:eastAsia="es-ES"/>
        </w:rPr>
        <w:t xml:space="preserve">, L. “Cláusulas limitativas de derecho del asegurado en un contrato de seguro de hogar”: </w:t>
      </w:r>
      <w:r w:rsidRPr="004D794A">
        <w:rPr>
          <w:rFonts w:eastAsia="Times New Roman" w:cstheme="minorHAnsi"/>
          <w:i/>
          <w:color w:val="000000" w:themeColor="text1"/>
          <w:sz w:val="20"/>
          <w:szCs w:val="20"/>
          <w:lang w:eastAsia="es-ES"/>
        </w:rPr>
        <w:t>Publicaciones jurídicas CESCO</w:t>
      </w:r>
      <w:r w:rsidRPr="004D794A">
        <w:rPr>
          <w:rFonts w:eastAsia="Times New Roman" w:cstheme="minorHAnsi"/>
          <w:color w:val="000000" w:themeColor="text1"/>
          <w:sz w:val="20"/>
          <w:szCs w:val="20"/>
          <w:lang w:eastAsia="es-ES"/>
        </w:rPr>
        <w:t>, mayo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A21DDE" w:rsidRPr="00A21DDE" w:rsidRDefault="00CF6D6C" w:rsidP="00A21DDE">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31" w:history="1">
        <w:r w:rsidR="00181687" w:rsidRPr="009B4DB5">
          <w:rPr>
            <w:rFonts w:eastAsia="Times New Roman" w:cstheme="minorHAnsi"/>
            <w:caps/>
            <w:color w:val="000000" w:themeColor="text1"/>
            <w:sz w:val="20"/>
            <w:szCs w:val="20"/>
            <w:bdr w:val="none" w:sz="0" w:space="0" w:color="auto" w:frame="1"/>
            <w:lang w:eastAsia="es-ES"/>
          </w:rPr>
          <w:t>Passinhas</w:t>
        </w:r>
      </w:hyperlink>
      <w:r w:rsidR="00181687" w:rsidRPr="009B4DB5">
        <w:rPr>
          <w:rFonts w:eastAsia="Times New Roman" w:cstheme="minorHAnsi"/>
          <w:caps/>
          <w:color w:val="000000" w:themeColor="text1"/>
          <w:sz w:val="20"/>
          <w:szCs w:val="20"/>
          <w:bdr w:val="none" w:sz="0" w:space="0" w:color="auto" w:frame="1"/>
          <w:lang w:eastAsia="es-ES"/>
        </w:rPr>
        <w:t>, S</w:t>
      </w:r>
      <w:r w:rsidR="00181687" w:rsidRPr="009B4DB5">
        <w:rPr>
          <w:rFonts w:eastAsia="Times New Roman" w:cstheme="minorHAnsi"/>
          <w:color w:val="000000" w:themeColor="text1"/>
          <w:sz w:val="20"/>
          <w:szCs w:val="20"/>
          <w:bdr w:val="none" w:sz="0" w:space="0" w:color="auto" w:frame="1"/>
          <w:lang w:eastAsia="es-ES"/>
        </w:rPr>
        <w:t>. “</w:t>
      </w:r>
      <w:proofErr w:type="spellStart"/>
      <w:r w:rsidR="00181687" w:rsidRPr="009B4DB5">
        <w:rPr>
          <w:rFonts w:eastAsia="Times New Roman" w:cstheme="minorHAnsi"/>
          <w:color w:val="000000" w:themeColor="text1"/>
          <w:sz w:val="20"/>
          <w:szCs w:val="20"/>
          <w:bdr w:val="none" w:sz="0" w:space="0" w:color="auto" w:frame="1"/>
          <w:lang w:eastAsia="es-ES"/>
        </w:rPr>
        <w:t>Habitação</w:t>
      </w:r>
      <w:proofErr w:type="spellEnd"/>
      <w:r w:rsidR="00181687" w:rsidRPr="009B4DB5">
        <w:rPr>
          <w:rFonts w:eastAsia="Times New Roman" w:cstheme="minorHAnsi"/>
          <w:color w:val="000000" w:themeColor="text1"/>
          <w:sz w:val="20"/>
          <w:szCs w:val="20"/>
          <w:bdr w:val="none" w:sz="0" w:space="0" w:color="auto" w:frame="1"/>
          <w:lang w:eastAsia="es-ES"/>
        </w:rPr>
        <w:t xml:space="preserve"> e “mora </w:t>
      </w:r>
      <w:proofErr w:type="spellStart"/>
      <w:r w:rsidR="00181687" w:rsidRPr="009B4DB5">
        <w:rPr>
          <w:rFonts w:eastAsia="Times New Roman" w:cstheme="minorHAnsi"/>
          <w:color w:val="000000" w:themeColor="text1"/>
          <w:sz w:val="20"/>
          <w:szCs w:val="20"/>
          <w:bdr w:val="none" w:sz="0" w:space="0" w:color="auto" w:frame="1"/>
          <w:lang w:eastAsia="es-ES"/>
        </w:rPr>
        <w:t>debitoris</w:t>
      </w:r>
      <w:proofErr w:type="spellEnd"/>
      <w:r w:rsidR="00181687" w:rsidRPr="009B4DB5">
        <w:rPr>
          <w:rFonts w:eastAsia="Times New Roman" w:cstheme="minorHAnsi"/>
          <w:color w:val="000000" w:themeColor="text1"/>
          <w:sz w:val="20"/>
          <w:szCs w:val="20"/>
          <w:bdr w:val="none" w:sz="0" w:space="0" w:color="auto" w:frame="1"/>
          <w:lang w:eastAsia="es-ES"/>
        </w:rPr>
        <w:t xml:space="preserve">” </w:t>
      </w:r>
      <w:proofErr w:type="spellStart"/>
      <w:r w:rsidR="00181687" w:rsidRPr="009B4DB5">
        <w:rPr>
          <w:rFonts w:eastAsia="Times New Roman" w:cstheme="minorHAnsi"/>
          <w:color w:val="000000" w:themeColor="text1"/>
          <w:sz w:val="20"/>
          <w:szCs w:val="20"/>
          <w:bdr w:val="none" w:sz="0" w:space="0" w:color="auto" w:frame="1"/>
          <w:lang w:eastAsia="es-ES"/>
        </w:rPr>
        <w:t>em</w:t>
      </w:r>
      <w:proofErr w:type="spellEnd"/>
      <w:r w:rsidR="00181687" w:rsidRPr="009B4DB5">
        <w:rPr>
          <w:rFonts w:eastAsia="Times New Roman" w:cstheme="minorHAnsi"/>
          <w:color w:val="000000" w:themeColor="text1"/>
          <w:sz w:val="20"/>
          <w:szCs w:val="20"/>
          <w:bdr w:val="none" w:sz="0" w:space="0" w:color="auto" w:frame="1"/>
          <w:lang w:eastAsia="es-ES"/>
        </w:rPr>
        <w:t xml:space="preserve"> Portugal”:</w:t>
      </w:r>
      <w:r w:rsidR="00181687" w:rsidRPr="009B4DB5">
        <w:rPr>
          <w:rFonts w:eastAsia="Times New Roman" w:cstheme="minorHAnsi"/>
          <w:color w:val="000000" w:themeColor="text1"/>
          <w:sz w:val="20"/>
          <w:szCs w:val="20"/>
          <w:lang w:eastAsia="es-ES"/>
        </w:rPr>
        <w:t xml:space="preserve"> </w:t>
      </w:r>
      <w:hyperlink r:id="rId132" w:history="1">
        <w:r w:rsidR="00181687" w:rsidRPr="009B4DB5">
          <w:rPr>
            <w:rFonts w:eastAsia="Times New Roman" w:cstheme="minorHAnsi"/>
            <w:i/>
            <w:color w:val="000000" w:themeColor="text1"/>
            <w:sz w:val="20"/>
            <w:szCs w:val="20"/>
            <w:bdr w:val="none" w:sz="0" w:space="0" w:color="auto" w:frame="1"/>
            <w:lang w:eastAsia="es-ES"/>
          </w:rPr>
          <w:t>Actualidad jurídica iberoamericana</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133" w:history="1">
        <w:r w:rsidR="00181687" w:rsidRPr="009B4DB5">
          <w:rPr>
            <w:rFonts w:eastAsia="Times New Roman" w:cstheme="minorHAnsi"/>
            <w:color w:val="000000" w:themeColor="text1"/>
            <w:sz w:val="20"/>
            <w:szCs w:val="20"/>
            <w:bdr w:val="none" w:sz="0" w:space="0" w:color="auto" w:frame="1"/>
            <w:lang w:eastAsia="es-ES"/>
          </w:rPr>
          <w:t>nº. Extra 12, 2, 2020</w:t>
        </w:r>
      </w:hyperlink>
      <w:r w:rsidR="00181687" w:rsidRPr="009B4DB5">
        <w:rPr>
          <w:rFonts w:eastAsia="Times New Roman" w:cstheme="minorHAnsi"/>
          <w:color w:val="000000" w:themeColor="text1"/>
          <w:sz w:val="20"/>
          <w:szCs w:val="20"/>
          <w:bdr w:val="none" w:sz="0" w:space="0" w:color="auto" w:frame="1"/>
          <w:lang w:eastAsia="es-ES"/>
        </w:rPr>
        <w:t>, págs. 434-443.</w:t>
      </w:r>
    </w:p>
    <w:p w:rsidR="00A21DDE" w:rsidRPr="00A21DDE" w:rsidRDefault="00A21DDE" w:rsidP="00A21DDE">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4D794A" w:rsidRPr="004D794A" w:rsidRDefault="00A21DDE" w:rsidP="004D794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A21DDE">
        <w:rPr>
          <w:rFonts w:eastAsia="Times New Roman" w:cstheme="minorHAnsi"/>
          <w:color w:val="000000" w:themeColor="text1"/>
          <w:sz w:val="20"/>
          <w:szCs w:val="20"/>
          <w:bdr w:val="none" w:sz="0" w:space="0" w:color="auto" w:frame="1"/>
          <w:lang w:eastAsia="es-ES"/>
        </w:rPr>
        <w:t xml:space="preserve">PELÁEZ SANZ, F. J. “Soluciones frente a las dificultades en el cumplimiento de los contratos por el COVID-19”: </w:t>
      </w:r>
      <w:r w:rsidRPr="00A21DDE">
        <w:rPr>
          <w:rFonts w:eastAsia="Times New Roman" w:cstheme="minorHAnsi"/>
          <w:i/>
          <w:color w:val="000000" w:themeColor="text1"/>
          <w:sz w:val="20"/>
          <w:szCs w:val="20"/>
          <w:bdr w:val="none" w:sz="0" w:space="0" w:color="auto" w:frame="1"/>
          <w:lang w:eastAsia="es-ES"/>
        </w:rPr>
        <w:t xml:space="preserve">Revista de Derecho </w:t>
      </w:r>
      <w:proofErr w:type="spellStart"/>
      <w:r w:rsidRPr="00A21DDE">
        <w:rPr>
          <w:rFonts w:eastAsia="Times New Roman" w:cstheme="minorHAnsi"/>
          <w:i/>
          <w:color w:val="000000" w:themeColor="text1"/>
          <w:sz w:val="20"/>
          <w:szCs w:val="20"/>
          <w:bdr w:val="none" w:sz="0" w:space="0" w:color="auto" w:frame="1"/>
          <w:lang w:eastAsia="es-ES"/>
        </w:rPr>
        <w:t>vLex</w:t>
      </w:r>
      <w:proofErr w:type="spellEnd"/>
      <w:r w:rsidRPr="00A21DDE">
        <w:rPr>
          <w:rFonts w:eastAsia="Times New Roman" w:cstheme="minorHAnsi"/>
          <w:color w:val="000000" w:themeColor="text1"/>
          <w:sz w:val="20"/>
          <w:szCs w:val="20"/>
          <w:bdr w:val="none" w:sz="0" w:space="0" w:color="auto" w:frame="1"/>
          <w:lang w:eastAsia="es-ES"/>
        </w:rPr>
        <w:t xml:space="preserve">, nº. 191, Abril 2020. </w:t>
      </w:r>
    </w:p>
    <w:p w:rsidR="004D794A" w:rsidRPr="004D794A" w:rsidRDefault="004D794A" w:rsidP="004D794A">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4D794A" w:rsidRPr="004D794A" w:rsidRDefault="004D794A" w:rsidP="004D794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4D794A">
        <w:rPr>
          <w:rFonts w:eastAsia="Times New Roman" w:cstheme="minorHAnsi"/>
          <w:caps/>
          <w:color w:val="000000" w:themeColor="text1"/>
          <w:sz w:val="20"/>
          <w:szCs w:val="20"/>
          <w:lang w:eastAsia="es-ES"/>
        </w:rPr>
        <w:t>Pertíñez Vílchez</w:t>
      </w:r>
      <w:r w:rsidRPr="004D794A">
        <w:rPr>
          <w:rFonts w:eastAsia="Times New Roman" w:cstheme="minorHAnsi"/>
          <w:color w:val="000000" w:themeColor="text1"/>
          <w:sz w:val="20"/>
          <w:szCs w:val="20"/>
          <w:lang w:eastAsia="es-ES"/>
        </w:rPr>
        <w:t xml:space="preserve">, F. “¿Qué son a juicio del Tribunal Supremo los requisitos de incorporación? O por qué a un taxista se le elimina una cláusula suelo y a otro no”: </w:t>
      </w:r>
      <w:r w:rsidRPr="004D794A">
        <w:rPr>
          <w:rFonts w:eastAsia="Times New Roman" w:cstheme="minorHAnsi"/>
          <w:i/>
          <w:color w:val="000000" w:themeColor="text1"/>
          <w:sz w:val="20"/>
          <w:szCs w:val="20"/>
          <w:lang w:eastAsia="es-ES"/>
        </w:rPr>
        <w:t>Publicaciones jurídicas CESCO</w:t>
      </w:r>
      <w:r w:rsidRPr="004D794A">
        <w:rPr>
          <w:rFonts w:eastAsia="Times New Roman" w:cstheme="minorHAnsi"/>
          <w:color w:val="000000" w:themeColor="text1"/>
          <w:sz w:val="20"/>
          <w:szCs w:val="20"/>
          <w:lang w:eastAsia="es-ES"/>
        </w:rPr>
        <w:t>, mayo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rPr>
          <w:rFonts w:eastAsia="Times New Roman" w:cstheme="minorHAnsi"/>
          <w:color w:val="000000" w:themeColor="text1"/>
          <w:sz w:val="20"/>
          <w:szCs w:val="20"/>
          <w:lang w:eastAsia="es-ES"/>
        </w:rPr>
      </w:pPr>
      <w:hyperlink r:id="rId134" w:history="1">
        <w:r w:rsidR="00181687" w:rsidRPr="009B4DB5">
          <w:rPr>
            <w:rFonts w:eastAsia="Times New Roman" w:cstheme="minorHAnsi"/>
            <w:caps/>
            <w:color w:val="000000" w:themeColor="text1"/>
            <w:sz w:val="20"/>
            <w:szCs w:val="20"/>
            <w:bdr w:val="none" w:sz="0" w:space="0" w:color="auto" w:frame="1"/>
            <w:lang w:eastAsia="es-ES"/>
          </w:rPr>
          <w:t>Picó i Junoy</w:t>
        </w:r>
      </w:hyperlink>
      <w:r w:rsidR="00181687" w:rsidRPr="009B4DB5">
        <w:rPr>
          <w:rFonts w:eastAsia="Times New Roman" w:cstheme="minorHAnsi"/>
          <w:color w:val="000000" w:themeColor="text1"/>
          <w:sz w:val="20"/>
          <w:szCs w:val="20"/>
          <w:bdr w:val="none" w:sz="0" w:space="0" w:color="auto" w:frame="1"/>
          <w:lang w:eastAsia="es-ES"/>
        </w:rPr>
        <w:t>, J. “El cómputo de los plazos procesales civiles tras el estado de alarma por el COVID-19(1)”:</w:t>
      </w:r>
      <w:r w:rsidR="00181687" w:rsidRPr="009B4DB5">
        <w:rPr>
          <w:rFonts w:eastAsia="Times New Roman" w:cstheme="minorHAnsi"/>
          <w:color w:val="000000" w:themeColor="text1"/>
          <w:sz w:val="20"/>
          <w:szCs w:val="20"/>
          <w:lang w:eastAsia="es-ES"/>
        </w:rPr>
        <w:t xml:space="preserve"> </w:t>
      </w:r>
      <w:hyperlink r:id="rId135" w:history="1">
        <w:r w:rsidR="00181687" w:rsidRPr="009B4DB5">
          <w:rPr>
            <w:rFonts w:eastAsia="Times New Roman" w:cstheme="minorHAnsi"/>
            <w:i/>
            <w:color w:val="000000" w:themeColor="text1"/>
            <w:sz w:val="20"/>
            <w:szCs w:val="20"/>
            <w:bdr w:val="none" w:sz="0" w:space="0" w:color="auto" w:frame="1"/>
            <w:lang w:eastAsia="es-ES"/>
          </w:rPr>
          <w:t>Diario La Ley</w:t>
        </w:r>
      </w:hyperlink>
      <w:r w:rsidR="00181687" w:rsidRPr="009B4DB5">
        <w:rPr>
          <w:rFonts w:eastAsia="Times New Roman" w:cstheme="minorHAnsi"/>
          <w:color w:val="000000" w:themeColor="text1"/>
          <w:sz w:val="20"/>
          <w:szCs w:val="20"/>
          <w:bdr w:val="none" w:sz="0" w:space="0" w:color="auto" w:frame="1"/>
          <w:lang w:eastAsia="es-ES"/>
        </w:rPr>
        <w:t>, n</w:t>
      </w:r>
      <w:hyperlink r:id="rId136" w:history="1">
        <w:r w:rsidR="00181687" w:rsidRPr="009B4DB5">
          <w:rPr>
            <w:rFonts w:eastAsia="Times New Roman" w:cstheme="minorHAnsi"/>
            <w:color w:val="000000" w:themeColor="text1"/>
            <w:sz w:val="20"/>
            <w:szCs w:val="20"/>
            <w:bdr w:val="none" w:sz="0" w:space="0" w:color="auto" w:frame="1"/>
            <w:lang w:eastAsia="es-ES"/>
          </w:rPr>
          <w:t>º 9618, 2020</w:t>
        </w:r>
      </w:hyperlink>
      <w:r w:rsidR="00181687" w:rsidRPr="009B4DB5">
        <w:rPr>
          <w:rFonts w:eastAsia="Times New Roman" w:cstheme="minorHAnsi"/>
          <w:color w:val="000000" w:themeColor="text1"/>
          <w:sz w:val="20"/>
          <w:szCs w:val="20"/>
          <w:bdr w:val="none" w:sz="0" w:space="0" w:color="auto" w:frame="1"/>
          <w:lang w:eastAsia="es-ES"/>
        </w:rPr>
        <w:t>.</w:t>
      </w:r>
    </w:p>
    <w:p w:rsidR="00181687" w:rsidRPr="009B4DB5" w:rsidRDefault="00181687" w:rsidP="00181687">
      <w:pPr>
        <w:pStyle w:val="Prrafodelista"/>
        <w:spacing w:after="0" w:line="240" w:lineRule="auto"/>
        <w:ind w:left="0"/>
        <w:jc w:val="both"/>
        <w:textAlignment w:val="baseline"/>
        <w:rPr>
          <w:rFonts w:eastAsia="Times New Roman" w:cstheme="minorHAnsi"/>
          <w:color w:val="000000" w:themeColor="text1"/>
          <w:sz w:val="20"/>
          <w:szCs w:val="20"/>
          <w:lang w:eastAsia="es-ES"/>
        </w:rPr>
      </w:pPr>
    </w:p>
    <w:p w:rsidR="00B03532" w:rsidRPr="00B03532" w:rsidRDefault="00CF6D6C"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37" w:history="1">
        <w:r w:rsidR="00181687" w:rsidRPr="009B4DB5">
          <w:rPr>
            <w:rFonts w:eastAsia="Times New Roman" w:cstheme="minorHAnsi"/>
            <w:caps/>
            <w:color w:val="000000" w:themeColor="text1"/>
            <w:sz w:val="20"/>
            <w:szCs w:val="20"/>
            <w:bdr w:val="none" w:sz="0" w:space="0" w:color="auto" w:frame="1"/>
            <w:lang w:eastAsia="es-ES"/>
          </w:rPr>
          <w:t>Pilia</w:t>
        </w:r>
      </w:hyperlink>
      <w:r w:rsidR="00181687" w:rsidRPr="009B4DB5">
        <w:rPr>
          <w:rFonts w:eastAsia="Times New Roman" w:cstheme="minorHAnsi"/>
          <w:color w:val="000000" w:themeColor="text1"/>
          <w:sz w:val="20"/>
          <w:szCs w:val="20"/>
          <w:bdr w:val="none" w:sz="0" w:space="0" w:color="auto" w:frame="1"/>
          <w:lang w:eastAsia="es-ES"/>
        </w:rPr>
        <w:t>, C. “La elección de las instituciones europeas para el desarrollo de la mediación civil y mercantil”:</w:t>
      </w:r>
      <w:r w:rsidR="00181687" w:rsidRPr="009B4DB5">
        <w:rPr>
          <w:rFonts w:eastAsia="Times New Roman" w:cstheme="minorHAnsi"/>
          <w:color w:val="000000" w:themeColor="text1"/>
          <w:sz w:val="20"/>
          <w:szCs w:val="20"/>
          <w:lang w:eastAsia="es-ES"/>
        </w:rPr>
        <w:t xml:space="preserve"> </w:t>
      </w:r>
      <w:hyperlink r:id="rId138" w:history="1">
        <w:r w:rsidR="00181687" w:rsidRPr="009B4DB5">
          <w:rPr>
            <w:rFonts w:eastAsia="Times New Roman" w:cstheme="minorHAnsi"/>
            <w:i/>
            <w:color w:val="000000" w:themeColor="text1"/>
            <w:sz w:val="20"/>
            <w:szCs w:val="20"/>
            <w:bdr w:val="none" w:sz="0" w:space="0" w:color="auto" w:frame="1"/>
            <w:lang w:eastAsia="es-ES"/>
          </w:rPr>
          <w:t>Anuario de mediación y solución de conflictos</w:t>
        </w:r>
      </w:hyperlink>
      <w:r w:rsidR="00181687" w:rsidRPr="009B4DB5">
        <w:rPr>
          <w:rFonts w:eastAsia="Times New Roman" w:cstheme="minorHAnsi"/>
          <w:color w:val="000000" w:themeColor="text1"/>
          <w:sz w:val="20"/>
          <w:szCs w:val="20"/>
          <w:bdr w:val="none" w:sz="0" w:space="0" w:color="auto" w:frame="1"/>
          <w:lang w:eastAsia="es-ES"/>
        </w:rPr>
        <w:t>, </w:t>
      </w:r>
      <w:hyperlink r:id="rId139" w:history="1">
        <w:r w:rsidR="00181687" w:rsidRPr="009B4DB5">
          <w:rPr>
            <w:rFonts w:eastAsia="Times New Roman" w:cstheme="minorHAnsi"/>
            <w:color w:val="000000" w:themeColor="text1"/>
            <w:sz w:val="20"/>
            <w:szCs w:val="20"/>
            <w:bdr w:val="none" w:sz="0" w:space="0" w:color="auto" w:frame="1"/>
            <w:lang w:eastAsia="es-ES"/>
          </w:rPr>
          <w:t>nº. 6, 2018-2019</w:t>
        </w:r>
      </w:hyperlink>
      <w:r w:rsidR="00181687" w:rsidRPr="009B4DB5">
        <w:rPr>
          <w:rFonts w:eastAsia="Times New Roman" w:cstheme="minorHAnsi"/>
          <w:color w:val="000000" w:themeColor="text1"/>
          <w:sz w:val="20"/>
          <w:szCs w:val="20"/>
          <w:bdr w:val="none" w:sz="0" w:space="0" w:color="auto" w:frame="1"/>
          <w:lang w:eastAsia="es-ES"/>
        </w:rPr>
        <w:t>, págs. 33-66.</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Raluca Stroie, I</w:t>
      </w:r>
      <w:r w:rsidRPr="00B03532">
        <w:rPr>
          <w:rFonts w:cstheme="minorHAnsi"/>
          <w:sz w:val="20"/>
          <w:szCs w:val="20"/>
        </w:rPr>
        <w:t xml:space="preserve">. “¿Quién trata los datos en un registro de morosos?”: </w:t>
      </w:r>
      <w:r w:rsidRPr="00B03532">
        <w:rPr>
          <w:rFonts w:cstheme="minorHAnsi"/>
          <w:i/>
          <w:sz w:val="20"/>
          <w:szCs w:val="20"/>
        </w:rPr>
        <w:t>Publicaciones jurídicas CESCO</w:t>
      </w:r>
      <w:r w:rsidRPr="00B03532">
        <w:rPr>
          <w:rFonts w:cstheme="minorHAnsi"/>
          <w:sz w:val="20"/>
          <w:szCs w:val="20"/>
        </w:rPr>
        <w:t>, abril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DD4925"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Raluca Stroie, I</w:t>
      </w:r>
      <w:r w:rsidRPr="00B03532">
        <w:rPr>
          <w:rFonts w:cstheme="minorHAnsi"/>
          <w:sz w:val="20"/>
          <w:szCs w:val="20"/>
        </w:rPr>
        <w:t xml:space="preserve">. “Medidas que afectan a la protección de datos personales en tiempos del COVID-19”: </w:t>
      </w:r>
      <w:r w:rsidRPr="00B03532">
        <w:rPr>
          <w:rFonts w:cstheme="minorHAnsi"/>
          <w:i/>
          <w:sz w:val="20"/>
          <w:szCs w:val="20"/>
        </w:rPr>
        <w:t>Publicaciones jurídicas CESCO</w:t>
      </w:r>
      <w:r>
        <w:rPr>
          <w:rFonts w:cstheme="minorHAnsi"/>
          <w:sz w:val="20"/>
          <w:szCs w:val="20"/>
        </w:rPr>
        <w:t>, abril 2020</w:t>
      </w:r>
      <w:r w:rsidR="00DD4925">
        <w:rPr>
          <w:rFonts w:cstheme="minorHAnsi"/>
          <w:sz w:val="20"/>
          <w:szCs w:val="20"/>
        </w:rPr>
        <w:t>.</w:t>
      </w:r>
    </w:p>
    <w:p w:rsidR="00DD4925" w:rsidRPr="00B03532" w:rsidRDefault="00DD4925" w:rsidP="00DD4925">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Raluca Stroie, I</w:t>
      </w:r>
      <w:r w:rsidRPr="00B03532">
        <w:rPr>
          <w:rFonts w:cstheme="minorHAnsi"/>
          <w:sz w:val="20"/>
          <w:szCs w:val="20"/>
        </w:rPr>
        <w:t xml:space="preserve">. “Obligaciones derivadas de la firma de la “hoja de visita y encargo” con una inmobiliaria”: </w:t>
      </w:r>
      <w:r w:rsidRPr="00B03532">
        <w:rPr>
          <w:rFonts w:cstheme="minorHAnsi"/>
          <w:i/>
          <w:sz w:val="20"/>
          <w:szCs w:val="20"/>
        </w:rPr>
        <w:t>Publicaciones jurídicas CESCO</w:t>
      </w:r>
      <w:r w:rsidRPr="00B03532">
        <w:rPr>
          <w:rFonts w:cstheme="minorHAnsi"/>
          <w:sz w:val="20"/>
          <w:szCs w:val="20"/>
        </w:rPr>
        <w:t>, junio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CF6D6C"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40" w:history="1">
        <w:r w:rsidR="00181687" w:rsidRPr="009B4DB5">
          <w:rPr>
            <w:rFonts w:eastAsia="Times New Roman" w:cstheme="minorHAnsi"/>
            <w:caps/>
            <w:color w:val="000000" w:themeColor="text1"/>
            <w:sz w:val="20"/>
            <w:szCs w:val="20"/>
            <w:bdr w:val="none" w:sz="0" w:space="0" w:color="auto" w:frame="1"/>
            <w:lang w:eastAsia="es-ES"/>
          </w:rPr>
          <w:t>Rincón Andreu</w:t>
        </w:r>
      </w:hyperlink>
      <w:r w:rsidR="00181687" w:rsidRPr="009B4DB5">
        <w:rPr>
          <w:rFonts w:eastAsia="Times New Roman" w:cstheme="minorHAnsi"/>
          <w:color w:val="000000" w:themeColor="text1"/>
          <w:sz w:val="20"/>
          <w:szCs w:val="20"/>
          <w:bdr w:val="none" w:sz="0" w:space="0" w:color="auto" w:frame="1"/>
          <w:lang w:eastAsia="es-ES"/>
        </w:rPr>
        <w:t>, G. “La integración contractual de la cláusula de vencimiento anticipado tras la STJUE de 26 de marzo de 2019”:</w:t>
      </w:r>
      <w:r w:rsidR="00181687" w:rsidRPr="009B4DB5">
        <w:rPr>
          <w:rFonts w:eastAsia="Times New Roman" w:cstheme="minorHAnsi"/>
          <w:color w:val="000000" w:themeColor="text1"/>
          <w:sz w:val="20"/>
          <w:szCs w:val="20"/>
          <w:lang w:eastAsia="es-ES"/>
        </w:rPr>
        <w:t xml:space="preserve"> </w:t>
      </w:r>
      <w:hyperlink r:id="rId141" w:history="1">
        <w:r w:rsidR="00181687" w:rsidRPr="009B4DB5">
          <w:rPr>
            <w:rFonts w:eastAsia="Times New Roman" w:cstheme="minorHAnsi"/>
            <w:i/>
            <w:color w:val="000000" w:themeColor="text1"/>
            <w:sz w:val="20"/>
            <w:szCs w:val="20"/>
            <w:bdr w:val="none" w:sz="0" w:space="0" w:color="auto" w:frame="1"/>
            <w:lang w:eastAsia="es-ES"/>
          </w:rPr>
          <w:t>Derecho y Economía de la Integración</w:t>
        </w:r>
      </w:hyperlink>
      <w:r w:rsidR="00181687" w:rsidRPr="009B4DB5">
        <w:rPr>
          <w:rFonts w:eastAsia="Times New Roman" w:cstheme="minorHAnsi"/>
          <w:color w:val="000000" w:themeColor="text1"/>
          <w:sz w:val="20"/>
          <w:szCs w:val="20"/>
          <w:bdr w:val="none" w:sz="0" w:space="0" w:color="auto" w:frame="1"/>
          <w:lang w:eastAsia="es-ES"/>
        </w:rPr>
        <w:t>, n</w:t>
      </w:r>
      <w:hyperlink r:id="rId142" w:history="1">
        <w:r w:rsidR="00181687" w:rsidRPr="009B4DB5">
          <w:rPr>
            <w:rFonts w:eastAsia="Times New Roman" w:cstheme="minorHAnsi"/>
            <w:color w:val="000000" w:themeColor="text1"/>
            <w:sz w:val="20"/>
            <w:szCs w:val="20"/>
            <w:bdr w:val="none" w:sz="0" w:space="0" w:color="auto" w:frame="1"/>
            <w:lang w:eastAsia="es-ES"/>
          </w:rPr>
          <w:t>º. 7, 2019</w:t>
        </w:r>
      </w:hyperlink>
      <w:r w:rsidR="00181687" w:rsidRPr="009B4DB5">
        <w:rPr>
          <w:rFonts w:eastAsia="Times New Roman" w:cstheme="minorHAnsi"/>
          <w:color w:val="000000" w:themeColor="text1"/>
          <w:sz w:val="20"/>
          <w:szCs w:val="20"/>
          <w:bdr w:val="none" w:sz="0" w:space="0" w:color="auto" w:frame="1"/>
          <w:lang w:eastAsia="es-ES"/>
        </w:rPr>
        <w:t>, págs. 75-98.</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Robles, P.; Lauroba, E</w:t>
      </w:r>
      <w:r w:rsidRPr="00B03532">
        <w:rPr>
          <w:rFonts w:cstheme="minorHAnsi"/>
          <w:sz w:val="20"/>
          <w:szCs w:val="20"/>
        </w:rPr>
        <w:t>. “Proteger a los consumidores de sí mismos: las cuitas reales del Tribunal Supremo”:</w:t>
      </w:r>
      <w:r w:rsidRPr="00B03532">
        <w:rPr>
          <w:rFonts w:cstheme="minorHAnsi"/>
          <w:i/>
          <w:sz w:val="20"/>
          <w:szCs w:val="20"/>
        </w:rPr>
        <w:t xml:space="preserve"> Publicaciones jurídicas CESCO</w:t>
      </w:r>
      <w:r w:rsidRPr="00B03532">
        <w:rPr>
          <w:rFonts w:cstheme="minorHAnsi"/>
          <w:sz w:val="20"/>
          <w:szCs w:val="20"/>
        </w:rPr>
        <w:t>, abril 2020.</w:t>
      </w:r>
    </w:p>
    <w:p w:rsidR="0017035A" w:rsidRPr="00B03532" w:rsidRDefault="0017035A"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7035A" w:rsidRPr="0017035A" w:rsidRDefault="0017035A" w:rsidP="0017035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17035A">
        <w:rPr>
          <w:rFonts w:eastAsia="Times New Roman" w:cstheme="minorHAnsi"/>
          <w:caps/>
          <w:color w:val="000000" w:themeColor="text1"/>
          <w:sz w:val="20"/>
          <w:szCs w:val="20"/>
          <w:lang w:eastAsia="es-ES"/>
        </w:rPr>
        <w:t>Rodríguez de Brujón y Fernández</w:t>
      </w:r>
      <w:r w:rsidRPr="0017035A">
        <w:rPr>
          <w:rFonts w:eastAsia="Times New Roman" w:cstheme="minorHAnsi"/>
          <w:color w:val="000000" w:themeColor="text1"/>
          <w:sz w:val="20"/>
          <w:szCs w:val="20"/>
          <w:lang w:eastAsia="es-ES"/>
        </w:rPr>
        <w:t xml:space="preserve">, E. “El Tribunal Supremo declara usurario el tipo de interés de las tarjetas </w:t>
      </w:r>
      <w:proofErr w:type="spellStart"/>
      <w:r w:rsidRPr="0017035A">
        <w:rPr>
          <w:rFonts w:eastAsia="Times New Roman" w:cstheme="minorHAnsi"/>
          <w:color w:val="000000" w:themeColor="text1"/>
          <w:sz w:val="20"/>
          <w:szCs w:val="20"/>
          <w:lang w:eastAsia="es-ES"/>
        </w:rPr>
        <w:t>revolving</w:t>
      </w:r>
      <w:proofErr w:type="spellEnd"/>
      <w:r w:rsidRPr="0017035A">
        <w:rPr>
          <w:rFonts w:eastAsia="Times New Roman" w:cstheme="minorHAnsi"/>
          <w:color w:val="000000" w:themeColor="text1"/>
          <w:sz w:val="20"/>
          <w:szCs w:val="20"/>
          <w:lang w:eastAsia="es-ES"/>
        </w:rPr>
        <w:t xml:space="preserve"> superior al 19,64 %, o como la ley </w:t>
      </w:r>
      <w:proofErr w:type="spellStart"/>
      <w:r w:rsidRPr="0017035A">
        <w:rPr>
          <w:rFonts w:eastAsia="Times New Roman" w:cstheme="minorHAnsi"/>
          <w:color w:val="000000" w:themeColor="text1"/>
          <w:sz w:val="20"/>
          <w:szCs w:val="20"/>
          <w:lang w:eastAsia="es-ES"/>
        </w:rPr>
        <w:t>azcárate</w:t>
      </w:r>
      <w:proofErr w:type="spellEnd"/>
      <w:r w:rsidRPr="0017035A">
        <w:rPr>
          <w:rFonts w:eastAsia="Times New Roman" w:cstheme="minorHAnsi"/>
          <w:color w:val="000000" w:themeColor="text1"/>
          <w:sz w:val="20"/>
          <w:szCs w:val="20"/>
          <w:lang w:eastAsia="es-ES"/>
        </w:rPr>
        <w:t xml:space="preserve"> de 23 de julio de 1908 ha derrotado más de un siglo después, a la banca del siglo XXI”: </w:t>
      </w:r>
      <w:r w:rsidRPr="0017035A">
        <w:rPr>
          <w:rFonts w:eastAsia="Times New Roman" w:cstheme="minorHAnsi"/>
          <w:i/>
          <w:color w:val="000000" w:themeColor="text1"/>
          <w:sz w:val="20"/>
          <w:szCs w:val="20"/>
          <w:lang w:eastAsia="es-ES"/>
        </w:rPr>
        <w:t>Revista Jurídica sobre Consumidores y Usuarios</w:t>
      </w:r>
      <w:r w:rsidRPr="0017035A">
        <w:rPr>
          <w:rFonts w:eastAsia="Times New Roman" w:cstheme="minorHAnsi"/>
          <w:color w:val="000000" w:themeColor="text1"/>
          <w:sz w:val="20"/>
          <w:szCs w:val="20"/>
          <w:lang w:eastAsia="es-ES"/>
        </w:rPr>
        <w:t xml:space="preserve"> (Especial. Sentencia del Tribunal Supremo de fecha 4 de marzo de 2020 sobre créditos sobre la usura en los créditos </w:t>
      </w:r>
      <w:proofErr w:type="spellStart"/>
      <w:r w:rsidRPr="0017035A">
        <w:rPr>
          <w:rFonts w:eastAsia="Times New Roman" w:cstheme="minorHAnsi"/>
          <w:color w:val="000000" w:themeColor="text1"/>
          <w:sz w:val="20"/>
          <w:szCs w:val="20"/>
          <w:lang w:eastAsia="es-ES"/>
        </w:rPr>
        <w:t>revolving</w:t>
      </w:r>
      <w:proofErr w:type="spellEnd"/>
      <w:r w:rsidRPr="0017035A">
        <w:rPr>
          <w:rFonts w:eastAsia="Times New Roman" w:cstheme="minorHAnsi"/>
          <w:color w:val="000000" w:themeColor="text1"/>
          <w:sz w:val="20"/>
          <w:szCs w:val="20"/>
          <w:lang w:eastAsia="es-ES"/>
        </w:rPr>
        <w:t>), Abril 2020, pp. 28-45.</w:t>
      </w:r>
    </w:p>
    <w:p w:rsidR="00A21DDE" w:rsidRPr="00A21DDE" w:rsidRDefault="00A21DDE" w:rsidP="00A21DDE">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A21DDE" w:rsidRPr="00A21DDE" w:rsidRDefault="00A21DDE" w:rsidP="00A21DDE">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A21DDE">
        <w:rPr>
          <w:rFonts w:eastAsia="Times New Roman" w:cstheme="minorHAnsi"/>
          <w:color w:val="000000" w:themeColor="text1"/>
          <w:sz w:val="20"/>
          <w:szCs w:val="20"/>
          <w:bdr w:val="none" w:sz="0" w:space="0" w:color="auto" w:frame="1"/>
          <w:lang w:eastAsia="es-ES"/>
        </w:rPr>
        <w:t xml:space="preserve">ROMERO VIOLA, E. “Tarjetas </w:t>
      </w:r>
      <w:proofErr w:type="spellStart"/>
      <w:r w:rsidRPr="00A21DDE">
        <w:rPr>
          <w:rFonts w:eastAsia="Times New Roman" w:cstheme="minorHAnsi"/>
          <w:color w:val="000000" w:themeColor="text1"/>
          <w:sz w:val="20"/>
          <w:szCs w:val="20"/>
          <w:bdr w:val="none" w:sz="0" w:space="0" w:color="auto" w:frame="1"/>
          <w:lang w:eastAsia="es-ES"/>
        </w:rPr>
        <w:t>revolving</w:t>
      </w:r>
      <w:proofErr w:type="spellEnd"/>
      <w:r w:rsidRPr="00A21DDE">
        <w:rPr>
          <w:rFonts w:eastAsia="Times New Roman" w:cstheme="minorHAnsi"/>
          <w:color w:val="000000" w:themeColor="text1"/>
          <w:sz w:val="20"/>
          <w:szCs w:val="20"/>
          <w:bdr w:val="none" w:sz="0" w:space="0" w:color="auto" w:frame="1"/>
          <w:lang w:eastAsia="es-ES"/>
        </w:rPr>
        <w:t xml:space="preserve">: origen y trayectoria hasta la STS nº 149/2020, de 4 de marzo”: </w:t>
      </w:r>
      <w:r w:rsidRPr="00A21DDE">
        <w:rPr>
          <w:rFonts w:eastAsia="Times New Roman" w:cstheme="minorHAnsi"/>
          <w:i/>
          <w:color w:val="000000" w:themeColor="text1"/>
          <w:sz w:val="20"/>
          <w:szCs w:val="20"/>
          <w:lang w:eastAsia="es-ES"/>
        </w:rPr>
        <w:t>Revista Jurídica sobre Consumidores y Usuarios</w:t>
      </w:r>
      <w:r w:rsidRPr="00A21DDE">
        <w:rPr>
          <w:rFonts w:eastAsia="Times New Roman" w:cstheme="minorHAnsi"/>
          <w:color w:val="000000" w:themeColor="text1"/>
          <w:sz w:val="20"/>
          <w:szCs w:val="20"/>
          <w:lang w:eastAsia="es-ES"/>
        </w:rPr>
        <w:t xml:space="preserve"> (Especial. Sentencia del Tribunal Supremo de fecha 4 de marzo de 2020 sobre créditos sobre la usura en los créditos </w:t>
      </w:r>
      <w:proofErr w:type="spellStart"/>
      <w:r w:rsidRPr="00A21DDE">
        <w:rPr>
          <w:rFonts w:eastAsia="Times New Roman" w:cstheme="minorHAnsi"/>
          <w:color w:val="000000" w:themeColor="text1"/>
          <w:sz w:val="20"/>
          <w:szCs w:val="20"/>
          <w:lang w:eastAsia="es-ES"/>
        </w:rPr>
        <w:t>revolving</w:t>
      </w:r>
      <w:proofErr w:type="spellEnd"/>
      <w:r w:rsidRPr="00A21DDE">
        <w:rPr>
          <w:rFonts w:eastAsia="Times New Roman" w:cstheme="minorHAnsi"/>
          <w:color w:val="000000" w:themeColor="text1"/>
          <w:sz w:val="20"/>
          <w:szCs w:val="20"/>
          <w:lang w:eastAsia="es-ES"/>
        </w:rPr>
        <w:t>), Abril 2020, pp. 46-55.</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7035A" w:rsidRPr="0017035A" w:rsidRDefault="00CF6D6C" w:rsidP="0017035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43" w:history="1">
        <w:r w:rsidR="00181687" w:rsidRPr="009B4DB5">
          <w:rPr>
            <w:rFonts w:eastAsia="Times New Roman" w:cstheme="minorHAnsi"/>
            <w:caps/>
            <w:color w:val="000000" w:themeColor="text1"/>
            <w:sz w:val="20"/>
            <w:szCs w:val="20"/>
            <w:bdr w:val="none" w:sz="0" w:space="0" w:color="auto" w:frame="1"/>
            <w:lang w:eastAsia="es-ES"/>
          </w:rPr>
          <w:t>Ruiz González</w:t>
        </w:r>
      </w:hyperlink>
      <w:r w:rsidR="00181687" w:rsidRPr="009B4DB5">
        <w:rPr>
          <w:rFonts w:eastAsia="Times New Roman" w:cstheme="minorHAnsi"/>
          <w:color w:val="000000" w:themeColor="text1"/>
          <w:sz w:val="20"/>
          <w:szCs w:val="20"/>
          <w:bdr w:val="none" w:sz="0" w:space="0" w:color="auto" w:frame="1"/>
          <w:lang w:eastAsia="es-ES"/>
        </w:rPr>
        <w:t>, M. A. “Suspensión de plazos derivada de la declaración del Estado de Alarma y su especial incidencia en materia concursal”:</w:t>
      </w:r>
      <w:r w:rsidR="00181687" w:rsidRPr="009B4DB5">
        <w:rPr>
          <w:rFonts w:eastAsia="Times New Roman" w:cstheme="minorHAnsi"/>
          <w:color w:val="000000" w:themeColor="text1"/>
          <w:sz w:val="20"/>
          <w:szCs w:val="20"/>
          <w:lang w:eastAsia="es-ES"/>
        </w:rPr>
        <w:t xml:space="preserve"> </w:t>
      </w:r>
      <w:hyperlink r:id="rId144" w:history="1">
        <w:r w:rsidR="00181687" w:rsidRPr="009B4DB5">
          <w:rPr>
            <w:rFonts w:eastAsia="Times New Roman" w:cstheme="minorHAnsi"/>
            <w:i/>
            <w:color w:val="000000" w:themeColor="text1"/>
            <w:sz w:val="20"/>
            <w:szCs w:val="20"/>
            <w:bdr w:val="none" w:sz="0" w:space="0" w:color="auto" w:frame="1"/>
            <w:lang w:eastAsia="es-ES"/>
          </w:rPr>
          <w:t>Diario La Ley</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145" w:history="1">
        <w:r w:rsidR="00181687" w:rsidRPr="009B4DB5">
          <w:rPr>
            <w:rFonts w:eastAsia="Times New Roman" w:cstheme="minorHAnsi"/>
            <w:color w:val="000000" w:themeColor="text1"/>
            <w:sz w:val="20"/>
            <w:szCs w:val="20"/>
            <w:bdr w:val="none" w:sz="0" w:space="0" w:color="auto" w:frame="1"/>
            <w:lang w:eastAsia="es-ES"/>
          </w:rPr>
          <w:t>nº 9625, 2020</w:t>
        </w:r>
      </w:hyperlink>
      <w:r w:rsidR="00181687" w:rsidRPr="009B4DB5">
        <w:rPr>
          <w:rFonts w:eastAsia="Times New Roman" w:cstheme="minorHAnsi"/>
          <w:color w:val="000000" w:themeColor="text1"/>
          <w:sz w:val="20"/>
          <w:szCs w:val="20"/>
          <w:bdr w:val="none" w:sz="0" w:space="0" w:color="auto" w:frame="1"/>
          <w:lang w:eastAsia="es-ES"/>
        </w:rPr>
        <w:t>.</w:t>
      </w:r>
    </w:p>
    <w:p w:rsidR="0017035A" w:rsidRPr="0017035A" w:rsidRDefault="0017035A" w:rsidP="0017035A">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Default="0017035A"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17035A">
        <w:rPr>
          <w:rFonts w:eastAsia="Times New Roman" w:cstheme="minorHAnsi"/>
          <w:caps/>
          <w:color w:val="000000" w:themeColor="text1"/>
          <w:sz w:val="20"/>
          <w:szCs w:val="20"/>
          <w:lang w:eastAsia="es-ES"/>
        </w:rPr>
        <w:lastRenderedPageBreak/>
        <w:t>Sabater Bayle</w:t>
      </w:r>
      <w:r w:rsidRPr="0017035A">
        <w:rPr>
          <w:rFonts w:eastAsia="Times New Roman" w:cstheme="minorHAnsi"/>
          <w:color w:val="000000" w:themeColor="text1"/>
          <w:sz w:val="20"/>
          <w:szCs w:val="20"/>
          <w:lang w:eastAsia="es-ES"/>
        </w:rPr>
        <w:t xml:space="preserve">, E. “Créditos </w:t>
      </w:r>
      <w:proofErr w:type="spellStart"/>
      <w:r w:rsidRPr="0017035A">
        <w:rPr>
          <w:rFonts w:eastAsia="Times New Roman" w:cstheme="minorHAnsi"/>
          <w:color w:val="000000" w:themeColor="text1"/>
          <w:sz w:val="20"/>
          <w:szCs w:val="20"/>
          <w:lang w:eastAsia="es-ES"/>
        </w:rPr>
        <w:t>revolving</w:t>
      </w:r>
      <w:proofErr w:type="spellEnd"/>
      <w:r w:rsidRPr="0017035A">
        <w:rPr>
          <w:rFonts w:eastAsia="Times New Roman" w:cstheme="minorHAnsi"/>
          <w:color w:val="000000" w:themeColor="text1"/>
          <w:sz w:val="20"/>
          <w:szCs w:val="20"/>
          <w:lang w:eastAsia="es-ES"/>
        </w:rPr>
        <w:t xml:space="preserve"> e intereses usurarios (Comentario a la STS 149/2020, de 4 de marzo)”: </w:t>
      </w:r>
      <w:r w:rsidRPr="0017035A">
        <w:rPr>
          <w:rFonts w:eastAsia="Times New Roman" w:cstheme="minorHAnsi"/>
          <w:i/>
          <w:color w:val="000000" w:themeColor="text1"/>
          <w:sz w:val="20"/>
          <w:szCs w:val="20"/>
          <w:lang w:eastAsia="es-ES"/>
        </w:rPr>
        <w:t>Revista Jurídica sobre Consumidores y Usuarios</w:t>
      </w:r>
      <w:r w:rsidRPr="0017035A">
        <w:rPr>
          <w:rFonts w:eastAsia="Times New Roman" w:cstheme="minorHAnsi"/>
          <w:color w:val="000000" w:themeColor="text1"/>
          <w:sz w:val="20"/>
          <w:szCs w:val="20"/>
          <w:lang w:eastAsia="es-ES"/>
        </w:rPr>
        <w:t xml:space="preserve"> (Especial. Sentencia del Tribunal Supremo de fecha 4 de marzo de 2020 sobre créditos sobre la usura en los créditos </w:t>
      </w:r>
      <w:proofErr w:type="spellStart"/>
      <w:r w:rsidRPr="0017035A">
        <w:rPr>
          <w:rFonts w:eastAsia="Times New Roman" w:cstheme="minorHAnsi"/>
          <w:color w:val="000000" w:themeColor="text1"/>
          <w:sz w:val="20"/>
          <w:szCs w:val="20"/>
          <w:lang w:eastAsia="es-ES"/>
        </w:rPr>
        <w:t>revolving</w:t>
      </w:r>
      <w:proofErr w:type="spellEnd"/>
      <w:r w:rsidRPr="0017035A">
        <w:rPr>
          <w:rFonts w:eastAsia="Times New Roman" w:cstheme="minorHAnsi"/>
          <w:color w:val="000000" w:themeColor="text1"/>
          <w:sz w:val="20"/>
          <w:szCs w:val="20"/>
          <w:lang w:eastAsia="es-ES"/>
        </w:rPr>
        <w:t>), Abril 2020, pp. 72-88</w:t>
      </w:r>
      <w:r w:rsidR="00B03532">
        <w:rPr>
          <w:rFonts w:eastAsia="Times New Roman" w:cstheme="minorHAnsi"/>
          <w:color w:val="000000" w:themeColor="text1"/>
          <w:sz w:val="20"/>
          <w:szCs w:val="20"/>
          <w:lang w:eastAsia="es-ES"/>
        </w:rPr>
        <w:t>.</w:t>
      </w:r>
    </w:p>
    <w:p w:rsid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Sabater Bayle, E</w:t>
      </w:r>
      <w:r w:rsidRPr="00B03532">
        <w:rPr>
          <w:rFonts w:cstheme="minorHAnsi"/>
          <w:sz w:val="20"/>
          <w:szCs w:val="20"/>
        </w:rPr>
        <w:t xml:space="preserve">. “¿Doctrina legal sobre los créditos </w:t>
      </w:r>
      <w:proofErr w:type="spellStart"/>
      <w:r w:rsidRPr="00B03532">
        <w:rPr>
          <w:rFonts w:cstheme="minorHAnsi"/>
          <w:sz w:val="20"/>
          <w:szCs w:val="20"/>
        </w:rPr>
        <w:t>revolving</w:t>
      </w:r>
      <w:proofErr w:type="spellEnd"/>
      <w:r w:rsidRPr="00B03532">
        <w:rPr>
          <w:rFonts w:cstheme="minorHAnsi"/>
          <w:sz w:val="20"/>
          <w:szCs w:val="20"/>
        </w:rPr>
        <w:t>?”:</w:t>
      </w:r>
      <w:r w:rsidRPr="00B03532">
        <w:rPr>
          <w:rFonts w:cstheme="minorHAnsi"/>
          <w:i/>
          <w:sz w:val="20"/>
          <w:szCs w:val="20"/>
        </w:rPr>
        <w:t xml:space="preserve"> Publicaciones jurídicas CESCO</w:t>
      </w:r>
      <w:r w:rsidRPr="00B03532">
        <w:rPr>
          <w:rFonts w:cstheme="minorHAnsi"/>
          <w:sz w:val="20"/>
          <w:szCs w:val="20"/>
        </w:rPr>
        <w:t>, abril 2020.</w:t>
      </w:r>
    </w:p>
    <w:p w:rsidR="0017035A" w:rsidRPr="0017035A" w:rsidRDefault="0017035A" w:rsidP="0017035A">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7035A" w:rsidRPr="0017035A" w:rsidRDefault="0017035A" w:rsidP="0017035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17035A">
        <w:rPr>
          <w:rFonts w:eastAsia="Times New Roman" w:cstheme="minorHAnsi"/>
          <w:color w:val="000000" w:themeColor="text1"/>
          <w:sz w:val="20"/>
          <w:szCs w:val="20"/>
          <w:bdr w:val="none" w:sz="0" w:space="0" w:color="auto" w:frame="1"/>
          <w:lang w:eastAsia="es-ES"/>
        </w:rPr>
        <w:t xml:space="preserve">SÁNCHEZ, J. “¿Qué porcentaje ha de servir como parámetro de comparación para considerar usurario un crédito </w:t>
      </w:r>
      <w:proofErr w:type="spellStart"/>
      <w:r w:rsidRPr="0017035A">
        <w:rPr>
          <w:rFonts w:eastAsia="Times New Roman" w:cstheme="minorHAnsi"/>
          <w:color w:val="000000" w:themeColor="text1"/>
          <w:sz w:val="20"/>
          <w:szCs w:val="20"/>
          <w:bdr w:val="none" w:sz="0" w:space="0" w:color="auto" w:frame="1"/>
          <w:lang w:eastAsia="es-ES"/>
        </w:rPr>
        <w:t>revolving</w:t>
      </w:r>
      <w:proofErr w:type="spellEnd"/>
      <w:r w:rsidRPr="0017035A">
        <w:rPr>
          <w:rFonts w:eastAsia="Times New Roman" w:cstheme="minorHAnsi"/>
          <w:color w:val="000000" w:themeColor="text1"/>
          <w:sz w:val="20"/>
          <w:szCs w:val="20"/>
          <w:bdr w:val="none" w:sz="0" w:space="0" w:color="auto" w:frame="1"/>
          <w:lang w:eastAsia="es-ES"/>
        </w:rPr>
        <w:t xml:space="preserve">, siguiendo la doctrina de la sentencia del TS de 4 de marzo de 2020 sobre la tarjeta </w:t>
      </w:r>
      <w:proofErr w:type="spellStart"/>
      <w:r w:rsidRPr="0017035A">
        <w:rPr>
          <w:rFonts w:eastAsia="Times New Roman" w:cstheme="minorHAnsi"/>
          <w:color w:val="000000" w:themeColor="text1"/>
          <w:sz w:val="20"/>
          <w:szCs w:val="20"/>
          <w:bdr w:val="none" w:sz="0" w:space="0" w:color="auto" w:frame="1"/>
          <w:lang w:eastAsia="es-ES"/>
        </w:rPr>
        <w:t>revolving</w:t>
      </w:r>
      <w:proofErr w:type="spellEnd"/>
      <w:r w:rsidRPr="0017035A">
        <w:rPr>
          <w:rFonts w:eastAsia="Times New Roman" w:cstheme="minorHAnsi"/>
          <w:color w:val="000000" w:themeColor="text1"/>
          <w:sz w:val="20"/>
          <w:szCs w:val="20"/>
          <w:bdr w:val="none" w:sz="0" w:space="0" w:color="auto" w:frame="1"/>
          <w:lang w:eastAsia="es-ES"/>
        </w:rPr>
        <w:t xml:space="preserve">?”: </w:t>
      </w:r>
      <w:r w:rsidRPr="0017035A">
        <w:rPr>
          <w:rFonts w:eastAsia="Times New Roman" w:cstheme="minorHAnsi"/>
          <w:i/>
          <w:color w:val="000000" w:themeColor="text1"/>
          <w:sz w:val="20"/>
          <w:szCs w:val="20"/>
          <w:bdr w:val="none" w:sz="0" w:space="0" w:color="auto" w:frame="1"/>
          <w:lang w:eastAsia="es-ES"/>
        </w:rPr>
        <w:t xml:space="preserve">Revista de Derecho </w:t>
      </w:r>
      <w:proofErr w:type="spellStart"/>
      <w:r w:rsidRPr="0017035A">
        <w:rPr>
          <w:rFonts w:eastAsia="Times New Roman" w:cstheme="minorHAnsi"/>
          <w:i/>
          <w:color w:val="000000" w:themeColor="text1"/>
          <w:sz w:val="20"/>
          <w:szCs w:val="20"/>
          <w:bdr w:val="none" w:sz="0" w:space="0" w:color="auto" w:frame="1"/>
          <w:lang w:eastAsia="es-ES"/>
        </w:rPr>
        <w:t>vLex</w:t>
      </w:r>
      <w:proofErr w:type="spellEnd"/>
      <w:r w:rsidRPr="0017035A">
        <w:rPr>
          <w:rFonts w:eastAsia="Times New Roman" w:cstheme="minorHAnsi"/>
          <w:color w:val="000000" w:themeColor="text1"/>
          <w:sz w:val="20"/>
          <w:szCs w:val="20"/>
          <w:bdr w:val="none" w:sz="0" w:space="0" w:color="auto" w:frame="1"/>
          <w:lang w:eastAsia="es-ES"/>
        </w:rPr>
        <w:t xml:space="preserve">, nº. 191, Abril 2020. </w:t>
      </w:r>
    </w:p>
    <w:p w:rsidR="00A21DDE" w:rsidRPr="00A21DDE" w:rsidRDefault="00A21DDE" w:rsidP="00A21DDE">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A21DDE"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A21DDE">
        <w:rPr>
          <w:rFonts w:eastAsia="Times New Roman" w:cstheme="minorHAnsi"/>
          <w:color w:val="000000" w:themeColor="text1"/>
          <w:sz w:val="20"/>
          <w:szCs w:val="20"/>
          <w:bdr w:val="none" w:sz="0" w:space="0" w:color="auto" w:frame="1"/>
          <w:lang w:eastAsia="es-ES"/>
        </w:rPr>
        <w:t>SÁNCHEZ GARC</w:t>
      </w:r>
      <w:r>
        <w:rPr>
          <w:rFonts w:eastAsia="Times New Roman" w:cstheme="minorHAnsi"/>
          <w:color w:val="000000" w:themeColor="text1"/>
          <w:sz w:val="20"/>
          <w:szCs w:val="20"/>
          <w:bdr w:val="none" w:sz="0" w:space="0" w:color="auto" w:frame="1"/>
          <w:lang w:eastAsia="es-ES"/>
        </w:rPr>
        <w:t>ÍA, J. M</w:t>
      </w:r>
      <w:r w:rsidRPr="00A21DDE">
        <w:rPr>
          <w:rFonts w:eastAsia="Times New Roman" w:cstheme="minorHAnsi"/>
          <w:color w:val="000000" w:themeColor="text1"/>
          <w:sz w:val="20"/>
          <w:szCs w:val="20"/>
          <w:bdr w:val="none" w:sz="0" w:space="0" w:color="auto" w:frame="1"/>
          <w:lang w:eastAsia="es-ES"/>
        </w:rPr>
        <w:t xml:space="preserve">. “Comentarios al acuerdo no jurisdiccional de las Secciones Civiles de la Audiencia Provincial de Cantabria de 12 de marzo de 2020, en relación a la sentencia del TS de 4 de marzo de 2020 sobre la tarjeta </w:t>
      </w:r>
      <w:proofErr w:type="spellStart"/>
      <w:r w:rsidRPr="00A21DDE">
        <w:rPr>
          <w:rFonts w:eastAsia="Times New Roman" w:cstheme="minorHAnsi"/>
          <w:color w:val="000000" w:themeColor="text1"/>
          <w:sz w:val="20"/>
          <w:szCs w:val="20"/>
          <w:bdr w:val="none" w:sz="0" w:space="0" w:color="auto" w:frame="1"/>
          <w:lang w:eastAsia="es-ES"/>
        </w:rPr>
        <w:t>revolving</w:t>
      </w:r>
      <w:proofErr w:type="spellEnd"/>
      <w:r w:rsidRPr="00A21DDE">
        <w:rPr>
          <w:rFonts w:eastAsia="Times New Roman" w:cstheme="minorHAnsi"/>
          <w:color w:val="000000" w:themeColor="text1"/>
          <w:sz w:val="20"/>
          <w:szCs w:val="20"/>
          <w:bdr w:val="none" w:sz="0" w:space="0" w:color="auto" w:frame="1"/>
          <w:lang w:eastAsia="es-ES"/>
        </w:rPr>
        <w:t xml:space="preserve">”: </w:t>
      </w:r>
      <w:r w:rsidRPr="00A21DDE">
        <w:rPr>
          <w:rFonts w:eastAsia="Times New Roman" w:cstheme="minorHAnsi"/>
          <w:i/>
          <w:color w:val="000000" w:themeColor="text1"/>
          <w:sz w:val="20"/>
          <w:szCs w:val="20"/>
          <w:bdr w:val="none" w:sz="0" w:space="0" w:color="auto" w:frame="1"/>
          <w:lang w:eastAsia="es-ES"/>
        </w:rPr>
        <w:t xml:space="preserve">Revista de Derecho </w:t>
      </w:r>
      <w:proofErr w:type="spellStart"/>
      <w:r w:rsidRPr="00A21DDE">
        <w:rPr>
          <w:rFonts w:eastAsia="Times New Roman" w:cstheme="minorHAnsi"/>
          <w:i/>
          <w:color w:val="000000" w:themeColor="text1"/>
          <w:sz w:val="20"/>
          <w:szCs w:val="20"/>
          <w:bdr w:val="none" w:sz="0" w:space="0" w:color="auto" w:frame="1"/>
          <w:lang w:eastAsia="es-ES"/>
        </w:rPr>
        <w:t>vLex</w:t>
      </w:r>
      <w:proofErr w:type="spellEnd"/>
      <w:r w:rsidRPr="00A21DDE">
        <w:rPr>
          <w:rFonts w:eastAsia="Times New Roman" w:cstheme="minorHAnsi"/>
          <w:color w:val="000000" w:themeColor="text1"/>
          <w:sz w:val="20"/>
          <w:szCs w:val="20"/>
          <w:bdr w:val="none" w:sz="0" w:space="0" w:color="auto" w:frame="1"/>
          <w:lang w:eastAsia="es-ES"/>
        </w:rPr>
        <w:t>, nº. 191, Abril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Saz Domínguez</w:t>
      </w:r>
      <w:r w:rsidRPr="00B03532">
        <w:rPr>
          <w:rFonts w:cstheme="minorHAnsi"/>
          <w:sz w:val="20"/>
          <w:szCs w:val="20"/>
        </w:rPr>
        <w:t xml:space="preserve">, L. “Consumo interpone acción de cesación contra 17 aerolíneas por ocultar a los pasajeros de vuelos cancelados por el coronavirus la opción de reembolso”: </w:t>
      </w:r>
      <w:r w:rsidRPr="00B03532">
        <w:rPr>
          <w:rFonts w:cstheme="minorHAnsi"/>
          <w:i/>
          <w:sz w:val="20"/>
          <w:szCs w:val="20"/>
        </w:rPr>
        <w:t>Publicaciones jurídicas CESCO</w:t>
      </w:r>
      <w:r w:rsidRPr="00B03532">
        <w:rPr>
          <w:rFonts w:cstheme="minorHAnsi"/>
          <w:sz w:val="20"/>
          <w:szCs w:val="20"/>
        </w:rPr>
        <w:t>, junio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Saz Domínguez</w:t>
      </w:r>
      <w:r w:rsidRPr="00B03532">
        <w:rPr>
          <w:rFonts w:cstheme="minorHAnsi"/>
          <w:sz w:val="20"/>
          <w:szCs w:val="20"/>
        </w:rPr>
        <w:t xml:space="preserve">, L. “Incidencias prácticas de la suspensión del derecho de desistimiento durante el Estado de alarma”: </w:t>
      </w:r>
      <w:r w:rsidRPr="00B03532">
        <w:rPr>
          <w:rFonts w:cstheme="minorHAnsi"/>
          <w:i/>
          <w:sz w:val="20"/>
          <w:szCs w:val="20"/>
        </w:rPr>
        <w:t>Publicaciones jurídicas CESCO</w:t>
      </w:r>
      <w:r w:rsidRPr="00B03532">
        <w:rPr>
          <w:rFonts w:cstheme="minorHAnsi"/>
          <w:sz w:val="20"/>
          <w:szCs w:val="20"/>
        </w:rPr>
        <w:t>, abril 2020.</w:t>
      </w:r>
    </w:p>
    <w:p w:rsidR="00B03532" w:rsidRPr="00B03532" w:rsidRDefault="00B03532" w:rsidP="00B03532">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B03532" w:rsidRDefault="00B03532" w:rsidP="00B03532">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r w:rsidRPr="00B03532">
        <w:rPr>
          <w:rFonts w:cstheme="minorHAnsi"/>
          <w:caps/>
          <w:sz w:val="20"/>
          <w:szCs w:val="20"/>
        </w:rPr>
        <w:t>Saz Domínguez</w:t>
      </w:r>
      <w:r w:rsidRPr="00B03532">
        <w:rPr>
          <w:rFonts w:cstheme="minorHAnsi"/>
          <w:sz w:val="20"/>
          <w:szCs w:val="20"/>
        </w:rPr>
        <w:t xml:space="preserve">, L. “Se suspende el plazo de devolución durante el estado de alarma”: </w:t>
      </w:r>
      <w:r w:rsidRPr="00B03532">
        <w:rPr>
          <w:rFonts w:cstheme="minorHAnsi"/>
          <w:i/>
          <w:sz w:val="20"/>
          <w:szCs w:val="20"/>
        </w:rPr>
        <w:t>Publicaciones jurídicas CESCO</w:t>
      </w:r>
      <w:r w:rsidRPr="00B03532">
        <w:rPr>
          <w:rFonts w:cstheme="minorHAnsi"/>
          <w:sz w:val="20"/>
          <w:szCs w:val="20"/>
        </w:rPr>
        <w:t>, abril 2020.</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181687" w:rsidRPr="009B4DB5" w:rsidRDefault="00CF6D6C" w:rsidP="00181687">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46" w:history="1">
        <w:r w:rsidR="00181687" w:rsidRPr="009B4DB5">
          <w:rPr>
            <w:rFonts w:eastAsia="Times New Roman" w:cstheme="minorHAnsi"/>
            <w:caps/>
            <w:color w:val="000000" w:themeColor="text1"/>
            <w:sz w:val="20"/>
            <w:szCs w:val="20"/>
            <w:bdr w:val="none" w:sz="0" w:space="0" w:color="auto" w:frame="1"/>
            <w:lang w:eastAsia="es-ES"/>
          </w:rPr>
          <w:t>Tenas Alós</w:t>
        </w:r>
      </w:hyperlink>
      <w:r w:rsidR="00181687" w:rsidRPr="009B4DB5">
        <w:rPr>
          <w:rFonts w:eastAsia="Times New Roman" w:cstheme="minorHAnsi"/>
          <w:caps/>
          <w:color w:val="000000" w:themeColor="text1"/>
          <w:sz w:val="20"/>
          <w:szCs w:val="20"/>
          <w:bdr w:val="none" w:sz="0" w:space="0" w:color="auto" w:frame="1"/>
          <w:lang w:eastAsia="es-ES"/>
        </w:rPr>
        <w:t>,</w:t>
      </w:r>
      <w:r w:rsidR="00181687" w:rsidRPr="009B4DB5">
        <w:rPr>
          <w:rFonts w:eastAsia="Times New Roman" w:cstheme="minorHAnsi"/>
          <w:color w:val="000000" w:themeColor="text1"/>
          <w:sz w:val="20"/>
          <w:szCs w:val="20"/>
          <w:bdr w:val="none" w:sz="0" w:space="0" w:color="auto" w:frame="1"/>
          <w:lang w:eastAsia="es-ES"/>
        </w:rPr>
        <w:t xml:space="preserve"> M. A. “A propósito de las tarjetas de crédito </w:t>
      </w:r>
      <w:proofErr w:type="spellStart"/>
      <w:r w:rsidR="00181687" w:rsidRPr="009B4DB5">
        <w:rPr>
          <w:rFonts w:eastAsia="Times New Roman" w:cstheme="minorHAnsi"/>
          <w:color w:val="000000" w:themeColor="text1"/>
          <w:sz w:val="20"/>
          <w:szCs w:val="20"/>
          <w:bdr w:val="none" w:sz="0" w:space="0" w:color="auto" w:frame="1"/>
          <w:lang w:eastAsia="es-ES"/>
        </w:rPr>
        <w:t>revolving</w:t>
      </w:r>
      <w:proofErr w:type="spellEnd"/>
      <w:r w:rsidR="00181687" w:rsidRPr="009B4DB5">
        <w:rPr>
          <w:rFonts w:eastAsia="Times New Roman" w:cstheme="minorHAnsi"/>
          <w:color w:val="000000" w:themeColor="text1"/>
          <w:sz w:val="20"/>
          <w:szCs w:val="20"/>
          <w:bdr w:val="none" w:sz="0" w:space="0" w:color="auto" w:frame="1"/>
          <w:lang w:eastAsia="es-ES"/>
        </w:rPr>
        <w:t>”:</w:t>
      </w:r>
      <w:r w:rsidR="00181687" w:rsidRPr="009B4DB5">
        <w:rPr>
          <w:rFonts w:eastAsia="Times New Roman" w:cstheme="minorHAnsi"/>
          <w:color w:val="000000" w:themeColor="text1"/>
          <w:sz w:val="20"/>
          <w:szCs w:val="20"/>
          <w:lang w:eastAsia="es-ES"/>
        </w:rPr>
        <w:t xml:space="preserve"> </w:t>
      </w:r>
      <w:hyperlink r:id="rId147" w:history="1">
        <w:r w:rsidR="00181687" w:rsidRPr="009B4DB5">
          <w:rPr>
            <w:rFonts w:eastAsia="Times New Roman" w:cstheme="minorHAnsi"/>
            <w:i/>
            <w:color w:val="000000" w:themeColor="text1"/>
            <w:sz w:val="20"/>
            <w:szCs w:val="20"/>
            <w:bdr w:val="none" w:sz="0" w:space="0" w:color="auto" w:frame="1"/>
            <w:lang w:eastAsia="es-ES"/>
          </w:rPr>
          <w:t>Diario La Ley</w:t>
        </w:r>
      </w:hyperlink>
      <w:r w:rsidR="00181687" w:rsidRPr="009B4DB5">
        <w:rPr>
          <w:rFonts w:eastAsia="Times New Roman" w:cstheme="minorHAnsi"/>
          <w:color w:val="000000" w:themeColor="text1"/>
          <w:sz w:val="20"/>
          <w:szCs w:val="20"/>
          <w:bdr w:val="none" w:sz="0" w:space="0" w:color="auto" w:frame="1"/>
          <w:lang w:eastAsia="es-ES"/>
        </w:rPr>
        <w:t>, n</w:t>
      </w:r>
      <w:hyperlink r:id="rId148" w:history="1">
        <w:r w:rsidR="00181687" w:rsidRPr="009B4DB5">
          <w:rPr>
            <w:rFonts w:eastAsia="Times New Roman" w:cstheme="minorHAnsi"/>
            <w:color w:val="000000" w:themeColor="text1"/>
            <w:sz w:val="20"/>
            <w:szCs w:val="20"/>
            <w:bdr w:val="none" w:sz="0" w:space="0" w:color="auto" w:frame="1"/>
            <w:lang w:eastAsia="es-ES"/>
          </w:rPr>
          <w:t>º 9612, 2020</w:t>
        </w:r>
      </w:hyperlink>
      <w:r w:rsidR="00181687" w:rsidRPr="009B4DB5">
        <w:rPr>
          <w:rFonts w:eastAsia="Times New Roman" w:cstheme="minorHAnsi"/>
          <w:color w:val="000000" w:themeColor="text1"/>
          <w:sz w:val="20"/>
          <w:szCs w:val="20"/>
          <w:bdr w:val="none" w:sz="0" w:space="0" w:color="auto" w:frame="1"/>
          <w:lang w:eastAsia="es-ES"/>
        </w:rPr>
        <w:t>.</w:t>
      </w:r>
    </w:p>
    <w:p w:rsidR="00181687" w:rsidRPr="009B4DB5" w:rsidRDefault="00181687" w:rsidP="00181687">
      <w:pPr>
        <w:pStyle w:val="Prrafodelista"/>
        <w:spacing w:after="0" w:line="240" w:lineRule="auto"/>
        <w:ind w:left="0"/>
        <w:jc w:val="both"/>
        <w:textAlignment w:val="baseline"/>
        <w:outlineLvl w:val="1"/>
        <w:rPr>
          <w:rFonts w:eastAsia="Times New Roman" w:cstheme="minorHAnsi"/>
          <w:color w:val="000000" w:themeColor="text1"/>
          <w:sz w:val="20"/>
          <w:szCs w:val="20"/>
          <w:lang w:eastAsia="es-ES"/>
        </w:rPr>
      </w:pPr>
    </w:p>
    <w:p w:rsidR="00B03532" w:rsidRPr="003E66AA" w:rsidRDefault="00CF6D6C" w:rsidP="003E66AA">
      <w:pPr>
        <w:pStyle w:val="Prrafodelista"/>
        <w:numPr>
          <w:ilvl w:val="0"/>
          <w:numId w:val="2"/>
        </w:numPr>
        <w:spacing w:after="0" w:line="240" w:lineRule="auto"/>
        <w:ind w:left="0"/>
        <w:jc w:val="both"/>
        <w:textAlignment w:val="baseline"/>
        <w:outlineLvl w:val="1"/>
        <w:rPr>
          <w:rFonts w:eastAsia="Times New Roman" w:cstheme="minorHAnsi"/>
          <w:color w:val="000000" w:themeColor="text1"/>
          <w:sz w:val="20"/>
          <w:szCs w:val="20"/>
          <w:lang w:eastAsia="es-ES"/>
        </w:rPr>
      </w:pPr>
      <w:hyperlink r:id="rId149" w:history="1">
        <w:r w:rsidR="00181687" w:rsidRPr="009B4DB5">
          <w:rPr>
            <w:rFonts w:eastAsia="Times New Roman" w:cstheme="minorHAnsi"/>
            <w:caps/>
            <w:color w:val="000000" w:themeColor="text1"/>
            <w:sz w:val="20"/>
            <w:szCs w:val="20"/>
            <w:bdr w:val="none" w:sz="0" w:space="0" w:color="auto" w:frame="1"/>
            <w:lang w:eastAsia="es-ES"/>
          </w:rPr>
          <w:t>Valcárcel Bernal</w:t>
        </w:r>
      </w:hyperlink>
      <w:r w:rsidR="00181687" w:rsidRPr="009B4DB5">
        <w:rPr>
          <w:rFonts w:eastAsia="Times New Roman" w:cstheme="minorHAnsi"/>
          <w:color w:val="000000" w:themeColor="text1"/>
          <w:sz w:val="20"/>
          <w:szCs w:val="20"/>
          <w:bdr w:val="none" w:sz="0" w:space="0" w:color="auto" w:frame="1"/>
          <w:lang w:eastAsia="es-ES"/>
        </w:rPr>
        <w:t>, C. “Mecanismo de Segunda Oportunidad. ¿Y si la solución la tenemos en la propia Ley?”:</w:t>
      </w:r>
      <w:r w:rsidR="00181687" w:rsidRPr="009B4DB5">
        <w:rPr>
          <w:rFonts w:eastAsia="Times New Roman" w:cstheme="minorHAnsi"/>
          <w:color w:val="000000" w:themeColor="text1"/>
          <w:sz w:val="20"/>
          <w:szCs w:val="20"/>
          <w:lang w:eastAsia="es-ES"/>
        </w:rPr>
        <w:t xml:space="preserve"> </w:t>
      </w:r>
      <w:hyperlink r:id="rId150" w:history="1">
        <w:r w:rsidR="00181687" w:rsidRPr="009B4DB5">
          <w:rPr>
            <w:rFonts w:eastAsia="Times New Roman" w:cstheme="minorHAnsi"/>
            <w:i/>
            <w:color w:val="000000" w:themeColor="text1"/>
            <w:sz w:val="20"/>
            <w:szCs w:val="20"/>
            <w:bdr w:val="none" w:sz="0" w:space="0" w:color="auto" w:frame="1"/>
            <w:lang w:eastAsia="es-ES"/>
          </w:rPr>
          <w:t>Diario La Ley</w:t>
        </w:r>
      </w:hyperlink>
      <w:r w:rsidR="00181687" w:rsidRPr="009B4DB5">
        <w:rPr>
          <w:rFonts w:eastAsia="Times New Roman" w:cstheme="minorHAnsi"/>
          <w:color w:val="000000" w:themeColor="text1"/>
          <w:sz w:val="20"/>
          <w:szCs w:val="20"/>
          <w:bdr w:val="none" w:sz="0" w:space="0" w:color="auto" w:frame="1"/>
          <w:lang w:eastAsia="es-ES"/>
        </w:rPr>
        <w:t xml:space="preserve">, </w:t>
      </w:r>
      <w:hyperlink r:id="rId151" w:history="1">
        <w:r w:rsidR="00181687" w:rsidRPr="009B4DB5">
          <w:rPr>
            <w:rFonts w:eastAsia="Times New Roman" w:cstheme="minorHAnsi"/>
            <w:color w:val="000000" w:themeColor="text1"/>
            <w:sz w:val="20"/>
            <w:szCs w:val="20"/>
            <w:bdr w:val="none" w:sz="0" w:space="0" w:color="auto" w:frame="1"/>
            <w:lang w:eastAsia="es-ES"/>
          </w:rPr>
          <w:t>nº 9626, 2020</w:t>
        </w:r>
      </w:hyperlink>
      <w:r w:rsidR="003E66AA">
        <w:rPr>
          <w:rFonts w:eastAsia="Times New Roman" w:cstheme="minorHAnsi"/>
          <w:color w:val="000000" w:themeColor="text1"/>
          <w:sz w:val="20"/>
          <w:szCs w:val="20"/>
          <w:bdr w:val="none" w:sz="0" w:space="0" w:color="auto" w:frame="1"/>
          <w:lang w:eastAsia="es-ES"/>
        </w:rPr>
        <w:t>.</w:t>
      </w:r>
    </w:p>
    <w:p w:rsidR="003F49BB" w:rsidRDefault="003F49BB" w:rsidP="003F49BB">
      <w:pPr>
        <w:spacing w:beforeLines="100" w:before="240" w:afterLines="100" w:after="240"/>
        <w:jc w:val="both"/>
        <w:rPr>
          <w:sz w:val="20"/>
          <w:szCs w:val="20"/>
        </w:rPr>
      </w:pPr>
    </w:p>
    <w:p w:rsidR="00DD4925" w:rsidRDefault="00DD4925" w:rsidP="003F49BB">
      <w:pPr>
        <w:spacing w:beforeLines="100" w:before="240" w:afterLines="100" w:after="240"/>
        <w:jc w:val="both"/>
        <w:rPr>
          <w:sz w:val="20"/>
          <w:szCs w:val="20"/>
        </w:rPr>
      </w:pPr>
    </w:p>
    <w:p w:rsidR="00DD4925" w:rsidRDefault="00DD4925" w:rsidP="003F49BB">
      <w:pPr>
        <w:spacing w:beforeLines="100" w:before="240" w:afterLines="100" w:after="240"/>
        <w:jc w:val="both"/>
        <w:rPr>
          <w:sz w:val="20"/>
          <w:szCs w:val="20"/>
        </w:rPr>
      </w:pPr>
    </w:p>
    <w:p w:rsidR="00DD4925" w:rsidRDefault="00DD4925" w:rsidP="003F49BB">
      <w:pPr>
        <w:spacing w:beforeLines="100" w:before="240" w:afterLines="100" w:after="240"/>
        <w:jc w:val="both"/>
        <w:rPr>
          <w:sz w:val="20"/>
          <w:szCs w:val="20"/>
        </w:rPr>
      </w:pPr>
    </w:p>
    <w:p w:rsidR="00DD4925" w:rsidRDefault="00DD4925" w:rsidP="003F49BB">
      <w:pPr>
        <w:spacing w:beforeLines="100" w:before="240" w:afterLines="100" w:after="240"/>
        <w:jc w:val="both"/>
        <w:rPr>
          <w:sz w:val="20"/>
          <w:szCs w:val="20"/>
        </w:rPr>
      </w:pPr>
    </w:p>
    <w:p w:rsidR="00DD4925" w:rsidRDefault="00DD4925" w:rsidP="003F49BB">
      <w:pPr>
        <w:spacing w:beforeLines="100" w:before="240" w:afterLines="100" w:after="240"/>
        <w:jc w:val="both"/>
        <w:rPr>
          <w:sz w:val="20"/>
          <w:szCs w:val="20"/>
        </w:rPr>
      </w:pPr>
    </w:p>
    <w:p w:rsidR="00DD4925" w:rsidRDefault="00DD4925" w:rsidP="003F49BB">
      <w:pPr>
        <w:spacing w:beforeLines="100" w:before="240" w:afterLines="100" w:after="240"/>
        <w:jc w:val="both"/>
        <w:rPr>
          <w:sz w:val="20"/>
          <w:szCs w:val="20"/>
        </w:rPr>
      </w:pPr>
    </w:p>
    <w:p w:rsidR="00DD4925" w:rsidRDefault="00DD4925" w:rsidP="003F49BB">
      <w:pPr>
        <w:spacing w:beforeLines="100" w:before="240" w:afterLines="100" w:after="240"/>
        <w:jc w:val="both"/>
        <w:rPr>
          <w:sz w:val="20"/>
          <w:szCs w:val="20"/>
        </w:rPr>
      </w:pPr>
    </w:p>
    <w:p w:rsidR="00DD4925" w:rsidRDefault="00DD4925" w:rsidP="003F49BB">
      <w:pPr>
        <w:spacing w:beforeLines="100" w:before="240" w:afterLines="100" w:after="240"/>
        <w:jc w:val="both"/>
        <w:rPr>
          <w:sz w:val="20"/>
          <w:szCs w:val="20"/>
        </w:rPr>
      </w:pPr>
    </w:p>
    <w:p w:rsidR="00DD4925" w:rsidRDefault="00DD4925" w:rsidP="003F49BB">
      <w:pPr>
        <w:spacing w:beforeLines="100" w:before="240" w:afterLines="100" w:after="240"/>
        <w:jc w:val="both"/>
        <w:rPr>
          <w:sz w:val="20"/>
          <w:szCs w:val="20"/>
        </w:rPr>
      </w:pPr>
    </w:p>
    <w:p w:rsidR="00DD4925" w:rsidRDefault="00DD4925" w:rsidP="003F49BB">
      <w:pPr>
        <w:spacing w:beforeLines="100" w:before="240" w:afterLines="100" w:after="240"/>
        <w:jc w:val="both"/>
        <w:rPr>
          <w:sz w:val="20"/>
          <w:szCs w:val="20"/>
        </w:rPr>
      </w:pPr>
    </w:p>
    <w:p w:rsidR="00A248D1" w:rsidRDefault="00A248D1" w:rsidP="003F49BB">
      <w:pPr>
        <w:spacing w:beforeLines="100" w:before="240" w:afterLines="100" w:after="240"/>
        <w:jc w:val="both"/>
        <w:rPr>
          <w:sz w:val="20"/>
          <w:szCs w:val="20"/>
        </w:rPr>
      </w:pPr>
    </w:p>
    <w:p w:rsidR="00DD4925" w:rsidRDefault="00DD4925" w:rsidP="003F49BB">
      <w:pPr>
        <w:spacing w:beforeLines="100" w:before="240" w:afterLines="100" w:after="240"/>
        <w:jc w:val="both"/>
        <w:rPr>
          <w:sz w:val="20"/>
          <w:szCs w:val="20"/>
        </w:rPr>
      </w:pPr>
    </w:p>
    <w:p w:rsidR="003F49BB" w:rsidRPr="003F49BB" w:rsidRDefault="003F49BB" w:rsidP="003F49BB">
      <w:pPr>
        <w:spacing w:beforeLines="100" w:before="240" w:afterLines="100" w:after="240"/>
        <w:jc w:val="center"/>
        <w:rPr>
          <w:sz w:val="16"/>
          <w:szCs w:val="16"/>
        </w:rPr>
      </w:pPr>
      <w:r w:rsidRPr="003F49BB">
        <w:rPr>
          <w:sz w:val="16"/>
          <w:szCs w:val="16"/>
        </w:rPr>
        <w:lastRenderedPageBreak/>
        <w:t>Si algún autor, profesional o investigador conoce la publicación de algún trabajo sobre Derecho y consumo, puede facilitarnos la referencia para publicarlo dentro del presente in</w:t>
      </w:r>
      <w:r>
        <w:rPr>
          <w:sz w:val="16"/>
          <w:szCs w:val="16"/>
        </w:rPr>
        <w:t xml:space="preserve">forme, </w:t>
      </w:r>
      <w:r w:rsidRPr="003F49BB">
        <w:rPr>
          <w:sz w:val="16"/>
          <w:szCs w:val="16"/>
        </w:rPr>
        <w:t>en el periodo correspondiente.</w:t>
      </w:r>
    </w:p>
    <w:sectPr w:rsidR="003F49BB" w:rsidRPr="003F49BB" w:rsidSect="000562B1">
      <w:footerReference w:type="default" r:id="rId152"/>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D6C" w:rsidRDefault="00CF6D6C" w:rsidP="000562B1">
      <w:pPr>
        <w:spacing w:after="0" w:line="240" w:lineRule="auto"/>
      </w:pPr>
      <w:r>
        <w:separator/>
      </w:r>
    </w:p>
  </w:endnote>
  <w:endnote w:type="continuationSeparator" w:id="0">
    <w:p w:rsidR="00CF6D6C" w:rsidRDefault="00CF6D6C"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63187"/>
      <w:docPartObj>
        <w:docPartGallery w:val="Page Numbers (Bottom of Page)"/>
        <w:docPartUnique/>
      </w:docPartObj>
    </w:sdtPr>
    <w:sdtEndPr>
      <w:rPr>
        <w:rFonts w:cstheme="minorHAnsi"/>
      </w:rPr>
    </w:sdtEndPr>
    <w:sdtContent>
      <w:p w:rsidR="00827C04" w:rsidRPr="000562B1" w:rsidRDefault="00827C04">
        <w:pPr>
          <w:pStyle w:val="Piedepgina"/>
          <w:jc w:val="right"/>
          <w:rPr>
            <w:rFonts w:cstheme="minorHAnsi"/>
          </w:rPr>
        </w:pPr>
        <w:r w:rsidRPr="000562B1">
          <w:rPr>
            <w:rFonts w:cstheme="minorHAnsi"/>
          </w:rPr>
          <w:fldChar w:fldCharType="begin"/>
        </w:r>
        <w:r w:rsidRPr="000562B1">
          <w:rPr>
            <w:rFonts w:cstheme="minorHAnsi"/>
          </w:rPr>
          <w:instrText>PAGE   \* MERGEFORMAT</w:instrText>
        </w:r>
        <w:r w:rsidRPr="000562B1">
          <w:rPr>
            <w:rFonts w:cstheme="minorHAnsi"/>
          </w:rPr>
          <w:fldChar w:fldCharType="separate"/>
        </w:r>
        <w:r w:rsidR="00653DF9">
          <w:rPr>
            <w:rFonts w:cstheme="minorHAnsi"/>
            <w:noProof/>
          </w:rPr>
          <w:t>10</w:t>
        </w:r>
        <w:r w:rsidRPr="000562B1">
          <w:rPr>
            <w:rFonts w:cstheme="minorHAnsi"/>
          </w:rPr>
          <w:fldChar w:fldCharType="end"/>
        </w:r>
      </w:p>
    </w:sdtContent>
  </w:sdt>
  <w:p w:rsidR="00827C04" w:rsidRDefault="00827C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D6C" w:rsidRDefault="00CF6D6C" w:rsidP="000562B1">
      <w:pPr>
        <w:spacing w:after="0" w:line="240" w:lineRule="auto"/>
      </w:pPr>
      <w:r>
        <w:separator/>
      </w:r>
    </w:p>
  </w:footnote>
  <w:footnote w:type="continuationSeparator" w:id="0">
    <w:p w:rsidR="00CF6D6C" w:rsidRDefault="00CF6D6C" w:rsidP="000562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8D6"/>
    <w:rsid w:val="000562B1"/>
    <w:rsid w:val="000A1B3D"/>
    <w:rsid w:val="0012310A"/>
    <w:rsid w:val="001342BF"/>
    <w:rsid w:val="0017035A"/>
    <w:rsid w:val="001763B9"/>
    <w:rsid w:val="00181687"/>
    <w:rsid w:val="00191087"/>
    <w:rsid w:val="001B39D6"/>
    <w:rsid w:val="001E467C"/>
    <w:rsid w:val="00226C2F"/>
    <w:rsid w:val="00326C94"/>
    <w:rsid w:val="003C7E66"/>
    <w:rsid w:val="003E66AA"/>
    <w:rsid w:val="003F49BB"/>
    <w:rsid w:val="003F4BCA"/>
    <w:rsid w:val="00410FE1"/>
    <w:rsid w:val="004158D3"/>
    <w:rsid w:val="00474518"/>
    <w:rsid w:val="004D794A"/>
    <w:rsid w:val="0051297C"/>
    <w:rsid w:val="005527B0"/>
    <w:rsid w:val="005B7019"/>
    <w:rsid w:val="005C3649"/>
    <w:rsid w:val="005E340F"/>
    <w:rsid w:val="005F0DEC"/>
    <w:rsid w:val="005F1DFB"/>
    <w:rsid w:val="005F3752"/>
    <w:rsid w:val="00653DF9"/>
    <w:rsid w:val="00656A1A"/>
    <w:rsid w:val="006B172C"/>
    <w:rsid w:val="006D0B3E"/>
    <w:rsid w:val="00736CA8"/>
    <w:rsid w:val="007C2FE3"/>
    <w:rsid w:val="00827C04"/>
    <w:rsid w:val="00846866"/>
    <w:rsid w:val="00916F83"/>
    <w:rsid w:val="009432D4"/>
    <w:rsid w:val="00952BF5"/>
    <w:rsid w:val="009E7932"/>
    <w:rsid w:val="00A178D6"/>
    <w:rsid w:val="00A21DDE"/>
    <w:rsid w:val="00A248D1"/>
    <w:rsid w:val="00A535EC"/>
    <w:rsid w:val="00A95CE0"/>
    <w:rsid w:val="00AC66B0"/>
    <w:rsid w:val="00AF6179"/>
    <w:rsid w:val="00B03532"/>
    <w:rsid w:val="00B065EF"/>
    <w:rsid w:val="00B42623"/>
    <w:rsid w:val="00B917BF"/>
    <w:rsid w:val="00BE3615"/>
    <w:rsid w:val="00C45C39"/>
    <w:rsid w:val="00C660D0"/>
    <w:rsid w:val="00C943B2"/>
    <w:rsid w:val="00C97832"/>
    <w:rsid w:val="00CB0586"/>
    <w:rsid w:val="00CB0E41"/>
    <w:rsid w:val="00CF6D6C"/>
    <w:rsid w:val="00D364FB"/>
    <w:rsid w:val="00D37249"/>
    <w:rsid w:val="00D827B7"/>
    <w:rsid w:val="00DA30E6"/>
    <w:rsid w:val="00DC326F"/>
    <w:rsid w:val="00DD4925"/>
    <w:rsid w:val="00E37172"/>
    <w:rsid w:val="00E618E3"/>
    <w:rsid w:val="00E86324"/>
    <w:rsid w:val="00EE05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alnet.unirioja.es/ejemplar/548520" TargetMode="External"/><Relationship Id="rId21" Type="http://schemas.openxmlformats.org/officeDocument/2006/relationships/hyperlink" Target="https://dialnet.unirioja.es/ejemplar/549584" TargetMode="External"/><Relationship Id="rId42" Type="http://schemas.openxmlformats.org/officeDocument/2006/relationships/hyperlink" Target="https://dialnet.unirioja.es/servlet/revista?codigo=22109" TargetMode="External"/><Relationship Id="rId63" Type="http://schemas.openxmlformats.org/officeDocument/2006/relationships/hyperlink" Target="https://dialnet.unirioja.es/ejemplar/548520" TargetMode="External"/><Relationship Id="rId84" Type="http://schemas.openxmlformats.org/officeDocument/2006/relationships/hyperlink" Target="https://dialnet.unirioja.es/ejemplar/546720" TargetMode="External"/><Relationship Id="rId138" Type="http://schemas.openxmlformats.org/officeDocument/2006/relationships/hyperlink" Target="https://dialnet.unirioja.es/servlet/revista?codigo=21718" TargetMode="External"/><Relationship Id="rId107" Type="http://schemas.openxmlformats.org/officeDocument/2006/relationships/hyperlink" Target="https://dialnet.unirioja.es/servlet/revista?codigo=344" TargetMode="External"/><Relationship Id="rId11" Type="http://schemas.openxmlformats.org/officeDocument/2006/relationships/hyperlink" Target="https://dialnet.unirioja.es/servlet/autor?codigo=1169404" TargetMode="External"/><Relationship Id="rId32" Type="http://schemas.openxmlformats.org/officeDocument/2006/relationships/hyperlink" Target="https://dialnet.unirioja.es/servlet/autor?codigo=1789918" TargetMode="External"/><Relationship Id="rId53" Type="http://schemas.openxmlformats.org/officeDocument/2006/relationships/hyperlink" Target="https://dialnet.unirioja.es/servlet/revista?codigo=23582" TargetMode="External"/><Relationship Id="rId74" Type="http://schemas.openxmlformats.org/officeDocument/2006/relationships/hyperlink" Target="https://dialnet.unirioja.es/servlet/revista?codigo=22661" TargetMode="External"/><Relationship Id="rId128" Type="http://schemas.openxmlformats.org/officeDocument/2006/relationships/hyperlink" Target="https://dialnet.unirioja.es/servlet/autor?codigo=274127" TargetMode="External"/><Relationship Id="rId149" Type="http://schemas.openxmlformats.org/officeDocument/2006/relationships/hyperlink" Target="https://dialnet.unirioja.es/servlet/autor?codigo=3544279" TargetMode="External"/><Relationship Id="rId5" Type="http://schemas.openxmlformats.org/officeDocument/2006/relationships/settings" Target="settings.xml"/><Relationship Id="rId95" Type="http://schemas.openxmlformats.org/officeDocument/2006/relationships/hyperlink" Target="https://dialnet.unirioja.es/servlet/revista?codigo=1130" TargetMode="External"/><Relationship Id="rId22" Type="http://schemas.openxmlformats.org/officeDocument/2006/relationships/hyperlink" Target="https://dialnet.unirioja.es/servlet/autor?codigo=1043481" TargetMode="External"/><Relationship Id="rId27" Type="http://schemas.openxmlformats.org/officeDocument/2006/relationships/hyperlink" Target="https://dialnet.unirioja.es/ejemplar/543189" TargetMode="External"/><Relationship Id="rId43" Type="http://schemas.openxmlformats.org/officeDocument/2006/relationships/hyperlink" Target="https://dialnet.unirioja.es/ejemplar/550624" TargetMode="External"/><Relationship Id="rId48" Type="http://schemas.openxmlformats.org/officeDocument/2006/relationships/hyperlink" Target="https://dialnet.unirioja.es/servlet/autor?codigo=4184304" TargetMode="External"/><Relationship Id="rId64" Type="http://schemas.openxmlformats.org/officeDocument/2006/relationships/hyperlink" Target="https://dialnet.unirioja.es/servlet/autor?codigo=73418" TargetMode="External"/><Relationship Id="rId69" Type="http://schemas.openxmlformats.org/officeDocument/2006/relationships/hyperlink" Target="https://dialnet.unirioja.es/ejemplar/548520" TargetMode="External"/><Relationship Id="rId113" Type="http://schemas.openxmlformats.org/officeDocument/2006/relationships/hyperlink" Target="https://dialnet.unirioja.es/servlet/revista?codigo=1725" TargetMode="External"/><Relationship Id="rId118" Type="http://schemas.openxmlformats.org/officeDocument/2006/relationships/hyperlink" Target="https://dialnet.unirioja.es/servlet/revista?codigo=1725" TargetMode="External"/><Relationship Id="rId134" Type="http://schemas.openxmlformats.org/officeDocument/2006/relationships/hyperlink" Target="https://dialnet.unirioja.es/servlet/autor?codigo=205840" TargetMode="External"/><Relationship Id="rId139" Type="http://schemas.openxmlformats.org/officeDocument/2006/relationships/hyperlink" Target="https://dialnet.unirioja.es/ejemplar/547309" TargetMode="External"/><Relationship Id="rId80" Type="http://schemas.openxmlformats.org/officeDocument/2006/relationships/hyperlink" Target="https://dialnet.unirioja.es/servlet/revista?codigo=22661" TargetMode="External"/><Relationship Id="rId85" Type="http://schemas.openxmlformats.org/officeDocument/2006/relationships/hyperlink" Target="https://dialnet.unirioja.es/servlet/autor?codigo=5100702" TargetMode="External"/><Relationship Id="rId150" Type="http://schemas.openxmlformats.org/officeDocument/2006/relationships/hyperlink" Target="https://dialnet.unirioja.es/servlet/revista?codigo=1725" TargetMode="External"/><Relationship Id="rId12" Type="http://schemas.openxmlformats.org/officeDocument/2006/relationships/hyperlink" Target="https://dialnet.unirioja.es/servlet/revista?codigo=1130" TargetMode="External"/><Relationship Id="rId17" Type="http://schemas.openxmlformats.org/officeDocument/2006/relationships/hyperlink" Target="https://dialnet.unirioja.es/ejemplar/547929" TargetMode="External"/><Relationship Id="rId33" Type="http://schemas.openxmlformats.org/officeDocument/2006/relationships/hyperlink" Target="https://dialnet.unirioja.es/servlet/revista?codigo=1725" TargetMode="External"/><Relationship Id="rId38" Type="http://schemas.openxmlformats.org/officeDocument/2006/relationships/hyperlink" Target="https://dialnet.unirioja.es/servlet/autor?codigo=3612543" TargetMode="External"/><Relationship Id="rId59" Type="http://schemas.openxmlformats.org/officeDocument/2006/relationships/hyperlink" Target="https://dialnet.unirioja.es/servlet/revista?codigo=22661" TargetMode="External"/><Relationship Id="rId103" Type="http://schemas.openxmlformats.org/officeDocument/2006/relationships/hyperlink" Target="https://dialnet.unirioja.es/servlet/autor?codigo=73941" TargetMode="External"/><Relationship Id="rId108" Type="http://schemas.openxmlformats.org/officeDocument/2006/relationships/hyperlink" Target="https://dialnet.unirioja.es/ejemplar/550266" TargetMode="External"/><Relationship Id="rId124" Type="http://schemas.openxmlformats.org/officeDocument/2006/relationships/hyperlink" Target="https://dialnet.unirioja.es/servlet/revista?codigo=1130" TargetMode="External"/><Relationship Id="rId129" Type="http://schemas.openxmlformats.org/officeDocument/2006/relationships/hyperlink" Target="https://dialnet.unirioja.es/servlet/revista?codigo=14834" TargetMode="External"/><Relationship Id="rId54" Type="http://schemas.openxmlformats.org/officeDocument/2006/relationships/hyperlink" Target="https://dialnet.unirioja.es/ejemplar/550402" TargetMode="External"/><Relationship Id="rId70" Type="http://schemas.openxmlformats.org/officeDocument/2006/relationships/hyperlink" Target="https://dialnet.unirioja.es/servlet/autor?codigo=4993597" TargetMode="External"/><Relationship Id="rId75" Type="http://schemas.openxmlformats.org/officeDocument/2006/relationships/hyperlink" Target="https://dialnet.unirioja.es/ejemplar/548520" TargetMode="External"/><Relationship Id="rId91" Type="http://schemas.openxmlformats.org/officeDocument/2006/relationships/hyperlink" Target="https://dialnet.unirioja.es/servlet/autor?codigo=4571889" TargetMode="External"/><Relationship Id="rId96" Type="http://schemas.openxmlformats.org/officeDocument/2006/relationships/hyperlink" Target="https://dialnet.unirioja.es/ejemplar/545885" TargetMode="External"/><Relationship Id="rId140" Type="http://schemas.openxmlformats.org/officeDocument/2006/relationships/hyperlink" Target="https://dialnet.unirioja.es/servlet/autor?codigo=4455850" TargetMode="External"/><Relationship Id="rId145" Type="http://schemas.openxmlformats.org/officeDocument/2006/relationships/hyperlink" Target="https://dialnet.unirioja.es/ejemplar/545627"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ialnet.unirioja.es/servlet/revista?codigo=23582" TargetMode="External"/><Relationship Id="rId28" Type="http://schemas.openxmlformats.org/officeDocument/2006/relationships/hyperlink" Target="https://dialnet.unirioja.es/servlet/autor?codigo=5107010" TargetMode="External"/><Relationship Id="rId49" Type="http://schemas.openxmlformats.org/officeDocument/2006/relationships/hyperlink" Target="https://dialnet.unirioja.es/servlet/autor?codigo=5082187" TargetMode="External"/><Relationship Id="rId114" Type="http://schemas.openxmlformats.org/officeDocument/2006/relationships/hyperlink" Target="https://dialnet.unirioja.es/ejemplar/545808" TargetMode="External"/><Relationship Id="rId119" Type="http://schemas.openxmlformats.org/officeDocument/2006/relationships/hyperlink" Target="https://dialnet.unirioja.es/ejemplar/543680" TargetMode="External"/><Relationship Id="rId44" Type="http://schemas.openxmlformats.org/officeDocument/2006/relationships/hyperlink" Target="https://dialnet.unirioja.es/servlet/autor?codigo=73352" TargetMode="External"/><Relationship Id="rId60" Type="http://schemas.openxmlformats.org/officeDocument/2006/relationships/hyperlink" Target="https://dialnet.unirioja.es/ejemplar/548520" TargetMode="External"/><Relationship Id="rId65" Type="http://schemas.openxmlformats.org/officeDocument/2006/relationships/hyperlink" Target="https://dialnet.unirioja.es/servlet/revista?codigo=1130" TargetMode="External"/><Relationship Id="rId81" Type="http://schemas.openxmlformats.org/officeDocument/2006/relationships/hyperlink" Target="https://dialnet.unirioja.es/ejemplar/548520" TargetMode="External"/><Relationship Id="rId86" Type="http://schemas.openxmlformats.org/officeDocument/2006/relationships/hyperlink" Target="https://dialnet.unirioja.es/servlet/revista?codigo=1725" TargetMode="External"/><Relationship Id="rId130" Type="http://schemas.openxmlformats.org/officeDocument/2006/relationships/hyperlink" Target="https://dialnet.unirioja.es/ejemplar/542462" TargetMode="External"/><Relationship Id="rId135" Type="http://schemas.openxmlformats.org/officeDocument/2006/relationships/hyperlink" Target="https://dialnet.unirioja.es/servlet/revista?codigo=1725" TargetMode="External"/><Relationship Id="rId151" Type="http://schemas.openxmlformats.org/officeDocument/2006/relationships/hyperlink" Target="https://dialnet.unirioja.es/ejemplar/545629" TargetMode="External"/><Relationship Id="rId13" Type="http://schemas.openxmlformats.org/officeDocument/2006/relationships/hyperlink" Target="https://dialnet.unirioja.es/ejemplar/542712" TargetMode="External"/><Relationship Id="rId18" Type="http://schemas.openxmlformats.org/officeDocument/2006/relationships/hyperlink" Target="https://dialnet.unirioja.es/servlet/autor?codigo=45805" TargetMode="External"/><Relationship Id="rId39" Type="http://schemas.openxmlformats.org/officeDocument/2006/relationships/hyperlink" Target="https://dialnet.unirioja.es/servlet/revista?codigo=5531" TargetMode="External"/><Relationship Id="rId109" Type="http://schemas.openxmlformats.org/officeDocument/2006/relationships/hyperlink" Target="https://dialnet.unirioja.es/servlet/autor?codigo=3190594" TargetMode="External"/><Relationship Id="rId34" Type="http://schemas.openxmlformats.org/officeDocument/2006/relationships/hyperlink" Target="https://dialnet.unirioja.es/ejemplar/546590" TargetMode="External"/><Relationship Id="rId50" Type="http://schemas.openxmlformats.org/officeDocument/2006/relationships/hyperlink" Target="https://dialnet.unirioja.es/servlet/revista?codigo=1725" TargetMode="External"/><Relationship Id="rId55" Type="http://schemas.openxmlformats.org/officeDocument/2006/relationships/hyperlink" Target="https://dialnet.unirioja.es/servlet/autor?codigo=5090509" TargetMode="External"/><Relationship Id="rId76" Type="http://schemas.openxmlformats.org/officeDocument/2006/relationships/hyperlink" Target="https://dialnet.unirioja.es/servlet/autor?codigo=3953670" TargetMode="External"/><Relationship Id="rId97" Type="http://schemas.openxmlformats.org/officeDocument/2006/relationships/hyperlink" Target="https://dialnet.unirioja.es/servlet/autor?codigo=2524099" TargetMode="External"/><Relationship Id="rId104" Type="http://schemas.openxmlformats.org/officeDocument/2006/relationships/hyperlink" Target="https://dialnet.unirioja.es/servlet/revista?codigo=1725" TargetMode="External"/><Relationship Id="rId120" Type="http://schemas.openxmlformats.org/officeDocument/2006/relationships/hyperlink" Target="https://dialnet.unirioja.es/servlet/autor?codigo=2036701" TargetMode="External"/><Relationship Id="rId125" Type="http://schemas.openxmlformats.org/officeDocument/2006/relationships/hyperlink" Target="https://dialnet.unirioja.es/ejemplar/545885" TargetMode="External"/><Relationship Id="rId141" Type="http://schemas.openxmlformats.org/officeDocument/2006/relationships/hyperlink" Target="https://dialnet.unirioja.es/servlet/revista?codigo=25265" TargetMode="External"/><Relationship Id="rId146" Type="http://schemas.openxmlformats.org/officeDocument/2006/relationships/hyperlink" Target="https://dialnet.unirioja.es/servlet/autor?codigo=3641728" TargetMode="External"/><Relationship Id="rId7" Type="http://schemas.openxmlformats.org/officeDocument/2006/relationships/footnotes" Target="footnotes.xml"/><Relationship Id="rId71" Type="http://schemas.openxmlformats.org/officeDocument/2006/relationships/hyperlink" Target="https://dialnet.unirioja.es/servlet/revista?codigo=21839" TargetMode="External"/><Relationship Id="rId92" Type="http://schemas.openxmlformats.org/officeDocument/2006/relationships/hyperlink" Target="https://dialnet.unirioja.es/servlet/revista?codigo=1725" TargetMode="External"/><Relationship Id="rId2" Type="http://schemas.openxmlformats.org/officeDocument/2006/relationships/numbering" Target="numbering.xml"/><Relationship Id="rId29" Type="http://schemas.openxmlformats.org/officeDocument/2006/relationships/hyperlink" Target="https://dialnet.unirioja.es/servlet/autor?codigo=5107011" TargetMode="External"/><Relationship Id="rId24" Type="http://schemas.openxmlformats.org/officeDocument/2006/relationships/hyperlink" Target="https://dialnet.unirioja.es/ejemplar/550402" TargetMode="External"/><Relationship Id="rId40" Type="http://schemas.openxmlformats.org/officeDocument/2006/relationships/hyperlink" Target="https://dialnet.unirioja.es/ejemplar/549254" TargetMode="External"/><Relationship Id="rId45" Type="http://schemas.openxmlformats.org/officeDocument/2006/relationships/hyperlink" Target="https://dialnet.unirioja.es/servlet/autor?codigo=3473297" TargetMode="External"/><Relationship Id="rId66" Type="http://schemas.openxmlformats.org/officeDocument/2006/relationships/hyperlink" Target="https://dialnet.unirioja.es/ejemplar/542712" TargetMode="External"/><Relationship Id="rId87" Type="http://schemas.openxmlformats.org/officeDocument/2006/relationships/hyperlink" Target="https://dialnet.unirioja.es/ejemplar/549684" TargetMode="External"/><Relationship Id="rId110" Type="http://schemas.openxmlformats.org/officeDocument/2006/relationships/hyperlink" Target="https://dialnet.unirioja.es/servlet/revista?codigo=1725" TargetMode="External"/><Relationship Id="rId115" Type="http://schemas.openxmlformats.org/officeDocument/2006/relationships/hyperlink" Target="https://dialnet.unirioja.es/servlet/autor?codigo=3048339" TargetMode="External"/><Relationship Id="rId131" Type="http://schemas.openxmlformats.org/officeDocument/2006/relationships/hyperlink" Target="https://dialnet.unirioja.es/servlet/autor?codigo=3870474" TargetMode="External"/><Relationship Id="rId136" Type="http://schemas.openxmlformats.org/officeDocument/2006/relationships/hyperlink" Target="https://dialnet.unirioja.es/ejemplar/543057" TargetMode="External"/><Relationship Id="rId61" Type="http://schemas.openxmlformats.org/officeDocument/2006/relationships/hyperlink" Target="https://dialnet.unirioja.es/servlet/autor?codigo=4644156" TargetMode="External"/><Relationship Id="rId82" Type="http://schemas.openxmlformats.org/officeDocument/2006/relationships/hyperlink" Target="https://dialnet.unirioja.es/servlet/autor?codigo=4300583" TargetMode="External"/><Relationship Id="rId152" Type="http://schemas.openxmlformats.org/officeDocument/2006/relationships/footer" Target="footer1.xml"/><Relationship Id="rId19" Type="http://schemas.openxmlformats.org/officeDocument/2006/relationships/hyperlink" Target="https://dialnet.unirioja.es/servlet/autor?codigo=286274" TargetMode="External"/><Relationship Id="rId14" Type="http://schemas.openxmlformats.org/officeDocument/2006/relationships/hyperlink" Target="https://dialnet.unirioja.es/servlet/autor?codigo=1169404" TargetMode="External"/><Relationship Id="rId30" Type="http://schemas.openxmlformats.org/officeDocument/2006/relationships/hyperlink" Target="https://dialnet.unirioja.es/servlet/revista?codigo=21843" TargetMode="External"/><Relationship Id="rId35" Type="http://schemas.openxmlformats.org/officeDocument/2006/relationships/hyperlink" Target="https://dialnet.unirioja.es/servlet/autor?codigo=5022214" TargetMode="External"/><Relationship Id="rId56" Type="http://schemas.openxmlformats.org/officeDocument/2006/relationships/hyperlink" Target="https://dialnet.unirioja.es/servlet/revista?codigo=22661" TargetMode="External"/><Relationship Id="rId77" Type="http://schemas.openxmlformats.org/officeDocument/2006/relationships/hyperlink" Target="https://dialnet.unirioja.es/servlet/revista?codigo=1725" TargetMode="External"/><Relationship Id="rId100" Type="http://schemas.openxmlformats.org/officeDocument/2006/relationships/hyperlink" Target="https://dialnet.unirioja.es/servlet/autor?codigo=4703062" TargetMode="External"/><Relationship Id="rId105" Type="http://schemas.openxmlformats.org/officeDocument/2006/relationships/hyperlink" Target="https://dialnet.unirioja.es/ejemplar/543057" TargetMode="External"/><Relationship Id="rId126" Type="http://schemas.openxmlformats.org/officeDocument/2006/relationships/hyperlink" Target="https://dialnet.unirioja.es/servlet/revista?codigo=1725" TargetMode="External"/><Relationship Id="rId147" Type="http://schemas.openxmlformats.org/officeDocument/2006/relationships/hyperlink" Target="https://dialnet.unirioja.es/servlet/revista?codigo=1725" TargetMode="External"/><Relationship Id="rId8" Type="http://schemas.openxmlformats.org/officeDocument/2006/relationships/endnotes" Target="endnotes.xml"/><Relationship Id="rId51" Type="http://schemas.openxmlformats.org/officeDocument/2006/relationships/hyperlink" Target="https://dialnet.unirioja.es/ejemplar/547584" TargetMode="External"/><Relationship Id="rId72" Type="http://schemas.openxmlformats.org/officeDocument/2006/relationships/hyperlink" Target="https://dialnet.unirioja.es/ejemplar/547020" TargetMode="External"/><Relationship Id="rId93" Type="http://schemas.openxmlformats.org/officeDocument/2006/relationships/hyperlink" Target="https://dialnet.unirioja.es/ejemplar/549543" TargetMode="External"/><Relationship Id="rId98" Type="http://schemas.openxmlformats.org/officeDocument/2006/relationships/hyperlink" Target="https://dialnet.unirioja.es/servlet/revista?codigo=1130" TargetMode="External"/><Relationship Id="rId121" Type="http://schemas.openxmlformats.org/officeDocument/2006/relationships/hyperlink" Target="https://dialnet.unirioja.es/servlet/revista?codigo=6159" TargetMode="External"/><Relationship Id="rId142" Type="http://schemas.openxmlformats.org/officeDocument/2006/relationships/hyperlink" Target="https://dialnet.unirioja.es/ejemplar/541314" TargetMode="External"/><Relationship Id="rId3" Type="http://schemas.openxmlformats.org/officeDocument/2006/relationships/styles" Target="styles.xml"/><Relationship Id="rId25" Type="http://schemas.openxmlformats.org/officeDocument/2006/relationships/hyperlink" Target="https://dialnet.unirioja.es/servlet/autor?codigo=1043481" TargetMode="External"/><Relationship Id="rId46" Type="http://schemas.openxmlformats.org/officeDocument/2006/relationships/hyperlink" Target="https://dialnet.unirioja.es/servlet/revista?codigo=23582" TargetMode="External"/><Relationship Id="rId67" Type="http://schemas.openxmlformats.org/officeDocument/2006/relationships/hyperlink" Target="https://dialnet.unirioja.es/servlet/autor?codigo=2079680" TargetMode="External"/><Relationship Id="rId116" Type="http://schemas.openxmlformats.org/officeDocument/2006/relationships/hyperlink" Target="https://dialnet.unirioja.es/servlet/revista?codigo=22661" TargetMode="External"/><Relationship Id="rId137" Type="http://schemas.openxmlformats.org/officeDocument/2006/relationships/hyperlink" Target="https://dialnet.unirioja.es/servlet/autor?codigo=3061982" TargetMode="External"/><Relationship Id="rId20" Type="http://schemas.openxmlformats.org/officeDocument/2006/relationships/hyperlink" Target="https://dialnet.unirioja.es/servlet/revista?codigo=1147" TargetMode="External"/><Relationship Id="rId41" Type="http://schemas.openxmlformats.org/officeDocument/2006/relationships/hyperlink" Target="https://dialnet.unirioja.es/servlet/autor?codigo=330612" TargetMode="External"/><Relationship Id="rId62" Type="http://schemas.openxmlformats.org/officeDocument/2006/relationships/hyperlink" Target="https://dialnet.unirioja.es/servlet/revista?codigo=22661" TargetMode="External"/><Relationship Id="rId83" Type="http://schemas.openxmlformats.org/officeDocument/2006/relationships/hyperlink" Target="https://dialnet.unirioja.es/servlet/revista?codigo=21839" TargetMode="External"/><Relationship Id="rId88" Type="http://schemas.openxmlformats.org/officeDocument/2006/relationships/hyperlink" Target="https://dialnet.unirioja.es/servlet/autor?codigo=822408" TargetMode="External"/><Relationship Id="rId111" Type="http://schemas.openxmlformats.org/officeDocument/2006/relationships/hyperlink" Target="https://dialnet.unirioja.es/ejemplar/542615" TargetMode="External"/><Relationship Id="rId132" Type="http://schemas.openxmlformats.org/officeDocument/2006/relationships/hyperlink" Target="https://dialnet.unirioja.es/servlet/revista?codigo=22661" TargetMode="External"/><Relationship Id="rId153" Type="http://schemas.openxmlformats.org/officeDocument/2006/relationships/fontTable" Target="fontTable.xml"/><Relationship Id="rId15" Type="http://schemas.openxmlformats.org/officeDocument/2006/relationships/hyperlink" Target="https://dialnet.unirioja.es/servlet/autor?codigo=4564248" TargetMode="External"/><Relationship Id="rId36" Type="http://schemas.openxmlformats.org/officeDocument/2006/relationships/hyperlink" Target="https://dialnet.unirioja.es/servlet/revista?codigo=5531" TargetMode="External"/><Relationship Id="rId57" Type="http://schemas.openxmlformats.org/officeDocument/2006/relationships/hyperlink" Target="https://dialnet.unirioja.es/ejemplar/548520" TargetMode="External"/><Relationship Id="rId106" Type="http://schemas.openxmlformats.org/officeDocument/2006/relationships/hyperlink" Target="https://dialnet.unirioja.es/servlet/autor?codigo=96890" TargetMode="External"/><Relationship Id="rId127" Type="http://schemas.openxmlformats.org/officeDocument/2006/relationships/hyperlink" Target="https://dialnet.unirioja.es/ejemplar/543189" TargetMode="External"/><Relationship Id="rId10" Type="http://schemas.openxmlformats.org/officeDocument/2006/relationships/image" Target="media/image2.png"/><Relationship Id="rId31" Type="http://schemas.openxmlformats.org/officeDocument/2006/relationships/hyperlink" Target="https://dialnet.unirioja.es/ejemplar/550316" TargetMode="External"/><Relationship Id="rId52" Type="http://schemas.openxmlformats.org/officeDocument/2006/relationships/hyperlink" Target="https://dialnet.unirioja.es/servlet/autor?codigo=267880" TargetMode="External"/><Relationship Id="rId73" Type="http://schemas.openxmlformats.org/officeDocument/2006/relationships/hyperlink" Target="https://dialnet.unirioja.es/servlet/autor?codigo=2441643" TargetMode="External"/><Relationship Id="rId78" Type="http://schemas.openxmlformats.org/officeDocument/2006/relationships/hyperlink" Target="https://dialnet.unirioja.es/ejemplar/543057" TargetMode="External"/><Relationship Id="rId94" Type="http://schemas.openxmlformats.org/officeDocument/2006/relationships/hyperlink" Target="https://dialnet.unirioja.es/servlet/autor?codigo=2524099" TargetMode="External"/><Relationship Id="rId99" Type="http://schemas.openxmlformats.org/officeDocument/2006/relationships/hyperlink" Target="https://dialnet.unirioja.es/ejemplar/542712" TargetMode="External"/><Relationship Id="rId101" Type="http://schemas.openxmlformats.org/officeDocument/2006/relationships/hyperlink" Target="https://dialnet.unirioja.es/servlet/revista?codigo=22109" TargetMode="External"/><Relationship Id="rId122" Type="http://schemas.openxmlformats.org/officeDocument/2006/relationships/hyperlink" Target="https://dialnet.unirioja.es/ejemplar/546948" TargetMode="External"/><Relationship Id="rId143" Type="http://schemas.openxmlformats.org/officeDocument/2006/relationships/hyperlink" Target="https://dialnet.unirioja.es/servlet/autor?codigo=3035363" TargetMode="External"/><Relationship Id="rId148" Type="http://schemas.openxmlformats.org/officeDocument/2006/relationships/hyperlink" Target="https://dialnet.unirioja.es/ejemplar/542597"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s://dialnet.unirioja.es/servlet/revista?codigo=1725" TargetMode="External"/><Relationship Id="rId47" Type="http://schemas.openxmlformats.org/officeDocument/2006/relationships/hyperlink" Target="https://dialnet.unirioja.es/ejemplar/550402" TargetMode="External"/><Relationship Id="rId68" Type="http://schemas.openxmlformats.org/officeDocument/2006/relationships/hyperlink" Target="https://dialnet.unirioja.es/servlet/revista?codigo=22661" TargetMode="External"/><Relationship Id="rId89" Type="http://schemas.openxmlformats.org/officeDocument/2006/relationships/hyperlink" Target="https://dialnet.unirioja.es/servlet/revista?codigo=1130" TargetMode="External"/><Relationship Id="rId112" Type="http://schemas.openxmlformats.org/officeDocument/2006/relationships/hyperlink" Target="https://dialnet.unirioja.es/servlet/autor?codigo=3190594" TargetMode="External"/><Relationship Id="rId133" Type="http://schemas.openxmlformats.org/officeDocument/2006/relationships/hyperlink" Target="https://dialnet.unirioja.es/ejemplar/548520" TargetMode="External"/><Relationship Id="rId154" Type="http://schemas.openxmlformats.org/officeDocument/2006/relationships/theme" Target="theme/theme1.xml"/><Relationship Id="rId16" Type="http://schemas.openxmlformats.org/officeDocument/2006/relationships/hyperlink" Target="https://dialnet.unirioja.es/servlet/revista?codigo=21839" TargetMode="External"/><Relationship Id="rId37" Type="http://schemas.openxmlformats.org/officeDocument/2006/relationships/hyperlink" Target="https://dialnet.unirioja.es/ejemplar/542058" TargetMode="External"/><Relationship Id="rId58" Type="http://schemas.openxmlformats.org/officeDocument/2006/relationships/hyperlink" Target="https://dialnet.unirioja.es/servlet/autor?codigo=1870141" TargetMode="External"/><Relationship Id="rId79" Type="http://schemas.openxmlformats.org/officeDocument/2006/relationships/hyperlink" Target="https://dialnet.unirioja.es/servlet/autor?codigo=2636750" TargetMode="External"/><Relationship Id="rId102" Type="http://schemas.openxmlformats.org/officeDocument/2006/relationships/hyperlink" Target="https://dialnet.unirioja.es/ejemplar/550624" TargetMode="External"/><Relationship Id="rId123" Type="http://schemas.openxmlformats.org/officeDocument/2006/relationships/hyperlink" Target="https://dialnet.unirioja.es/servlet/autor?codigo=113047" TargetMode="External"/><Relationship Id="rId144" Type="http://schemas.openxmlformats.org/officeDocument/2006/relationships/hyperlink" Target="https://dialnet.unirioja.es/servlet/revista?codigo=1725" TargetMode="External"/><Relationship Id="rId90" Type="http://schemas.openxmlformats.org/officeDocument/2006/relationships/hyperlink" Target="https://dialnet.unirioja.es/ejemplar/54271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19D1C-AB4F-4DB8-A8C6-E00D252DC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5620</Words>
  <Characters>30914</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JESUS BASTANTE GONZALEZ</cp:lastModifiedBy>
  <cp:revision>29</cp:revision>
  <cp:lastPrinted>2020-07-20T11:42:00Z</cp:lastPrinted>
  <dcterms:created xsi:type="dcterms:W3CDTF">2020-06-29T11:56:00Z</dcterms:created>
  <dcterms:modified xsi:type="dcterms:W3CDTF">2020-07-20T11:42:00Z</dcterms:modified>
</cp:coreProperties>
</file>