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1C523" wp14:editId="7C34A880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C04" w:rsidRDefault="00CE63DC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Julio-Septiembre</w:t>
                            </w:r>
                            <w:r w:rsidR="00827C04"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  <w:p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Profesor Ayudante Doctor. </w:t>
                            </w:r>
                          </w:p>
                          <w:p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:rsidR="00827C04" w:rsidRDefault="00CE63DC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Julio-Septiembre</w:t>
                      </w:r>
                      <w:r w:rsidR="00827C04"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2020</w:t>
                      </w:r>
                    </w:p>
                    <w:p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Profesor Ayudante Doctor. </w:t>
                      </w:r>
                    </w:p>
                    <w:p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14012" wp14:editId="7B73B8E5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36D6211" wp14:editId="6657CFC2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89271" wp14:editId="39F6C960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827C04" w:rsidRPr="00226C2F" w:rsidRDefault="00CE63DC" w:rsidP="00226C2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Julio-Septiembre</w:t>
                            </w:r>
                            <w:r w:rsidR="00827C04"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2020</w:t>
                            </w:r>
                          </w:p>
                          <w:p w:rsidR="00827C04" w:rsidRDefault="00827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:rsidR="00827C04" w:rsidRPr="00226C2F" w:rsidRDefault="00CE63DC" w:rsidP="00226C2F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Julio-Septiembre</w:t>
                      </w:r>
                      <w:r w:rsidR="00827C04" w:rsidRPr="00226C2F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2020</w:t>
                      </w:r>
                    </w:p>
                    <w:p w:rsidR="00827C04" w:rsidRDefault="00827C04"/>
                  </w:txbxContent>
                </v:textbox>
              </v:shape>
            </w:pict>
          </mc:Fallback>
        </mc:AlternateContent>
      </w:r>
    </w:p>
    <w:p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A0713" wp14:editId="7EBE3053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:rsidR="00226C2F" w:rsidRPr="005F0DEC" w:rsidRDefault="00226C2F" w:rsidP="00C943B2">
      <w:pPr>
        <w:rPr>
          <w:rFonts w:ascii="Segoe UI" w:hAnsi="Segoe UI" w:cs="Segoe UI"/>
          <w:b/>
          <w:color w:val="000000" w:themeColor="text1"/>
          <w:sz w:val="20"/>
          <w:szCs w:val="20"/>
        </w:rPr>
      </w:pPr>
    </w:p>
    <w:p w:rsidR="00CE63DC" w:rsidRPr="00CE63DC" w:rsidRDefault="00CE63DC" w:rsidP="00CE63DC">
      <w:pPr>
        <w:pStyle w:val="Prrafodelista"/>
        <w:numPr>
          <w:ilvl w:val="0"/>
          <w:numId w:val="4"/>
        </w:numPr>
        <w:ind w:left="360"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Adán Doménech</w:t>
      </w:r>
      <w:r w:rsidRPr="00CE63DC">
        <w:rPr>
          <w:rFonts w:cstheme="minorHAnsi"/>
          <w:sz w:val="20"/>
          <w:szCs w:val="20"/>
        </w:rPr>
        <w:t xml:space="preserve">, F. “Tratamiento judicial de las hipotecas con índice IRPH: ¿quo </w:t>
      </w:r>
      <w:proofErr w:type="spellStart"/>
      <w:r w:rsidRPr="00CE63DC">
        <w:rPr>
          <w:rFonts w:cstheme="minorHAnsi"/>
          <w:sz w:val="20"/>
          <w:szCs w:val="20"/>
        </w:rPr>
        <w:t>vadis</w:t>
      </w:r>
      <w:proofErr w:type="spellEnd"/>
      <w:r w:rsidRPr="00CE63DC">
        <w:rPr>
          <w:rFonts w:cstheme="minorHAnsi"/>
          <w:sz w:val="20"/>
          <w:szCs w:val="20"/>
        </w:rPr>
        <w:t xml:space="preserve">?”: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 xml:space="preserve">: Nº. 780, Julio 2020, págs. 2484-2504. </w:t>
      </w: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Agüero Ortiz</w:t>
      </w:r>
      <w:r w:rsidRPr="00CE63DC">
        <w:rPr>
          <w:rFonts w:cstheme="minorHAnsi"/>
          <w:sz w:val="20"/>
          <w:szCs w:val="20"/>
        </w:rPr>
        <w:t xml:space="preserve">, A. “Cláusula de gastos en la STJUE de 16.7.2020: ¿más gastos restituibles; extensión del plazo para instar la restitución y condena en costas si la cláusula se declara abusiva?”: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Agüero Ortiz,</w:t>
      </w:r>
      <w:r w:rsidRPr="00CE63DC">
        <w:rPr>
          <w:rFonts w:cstheme="minorHAnsi"/>
          <w:sz w:val="20"/>
          <w:szCs w:val="20"/>
        </w:rPr>
        <w:t xml:space="preserve"> A. “La LCCI no resulta de aplicación a hipotecas a favor de sociedades de garantía recíproca siempre que estas no concedan facilidades de pago al afianzado”: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923CBC">
      <w:pPr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Agüero Ortiz</w:t>
      </w:r>
      <w:r w:rsidRPr="00CE63DC">
        <w:rPr>
          <w:rFonts w:cstheme="minorHAnsi"/>
          <w:sz w:val="20"/>
          <w:szCs w:val="20"/>
        </w:rPr>
        <w:t xml:space="preserve">, A. “Los prestatarios no tienen que abonar los gastos de registro de cambio de acreedor que se produzcan aprovechando la cancelación hipotecaria”: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Agüero Ortiz, A.</w:t>
      </w:r>
      <w:r w:rsidRPr="00CE63DC">
        <w:rPr>
          <w:rFonts w:cstheme="minorHAnsi"/>
          <w:sz w:val="20"/>
          <w:szCs w:val="20"/>
        </w:rPr>
        <w:t xml:space="preserve"> “Sentencia del TJUE de 16 de julio de 2020: procede restituir íntegramente los gastos de formalización del préstamo hipotecario y declarar la </w:t>
      </w:r>
      <w:proofErr w:type="spellStart"/>
      <w:r w:rsidRPr="00CE63DC">
        <w:rPr>
          <w:rFonts w:cstheme="minorHAnsi"/>
          <w:sz w:val="20"/>
          <w:szCs w:val="20"/>
        </w:rPr>
        <w:t>abusividad</w:t>
      </w:r>
      <w:proofErr w:type="spellEnd"/>
      <w:r w:rsidRPr="00CE63DC">
        <w:rPr>
          <w:rFonts w:cstheme="minorHAnsi"/>
          <w:sz w:val="20"/>
          <w:szCs w:val="20"/>
        </w:rPr>
        <w:t xml:space="preserve"> de la comisión de apertura”: </w:t>
      </w:r>
      <w:r w:rsidRPr="00CE63DC">
        <w:rPr>
          <w:rFonts w:cstheme="minorHAnsi"/>
          <w:i/>
          <w:sz w:val="20"/>
          <w:szCs w:val="20"/>
        </w:rPr>
        <w:t>Revista Jurídica sobre Consumidores y Usuarios</w:t>
      </w:r>
      <w:r w:rsidRPr="00CE63DC">
        <w:rPr>
          <w:rFonts w:cstheme="minorHAnsi"/>
          <w:sz w:val="20"/>
          <w:szCs w:val="20"/>
        </w:rPr>
        <w:t xml:space="preserve">, Nº. Especial. Análisis de la Sentencia del TJUE de 9 de julio de 2020 sobre acuerdos novatorios de cláusulas abusivas y de la Sentencia del TJUE de 16 de julio de 2020, en relación a los gastos derivados de la hipoteca,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Agüero Ortiz,</w:t>
      </w:r>
      <w:r w:rsidRPr="00CE63DC">
        <w:rPr>
          <w:rFonts w:cstheme="minorHAnsi"/>
          <w:sz w:val="20"/>
          <w:szCs w:val="20"/>
        </w:rPr>
        <w:t xml:space="preserve"> A. “STJUE de 9.7.2020 sobre los acuerdos novatorios en cláusulas suelo: pocas novedades en el horizonte”: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Alarcón</w:t>
      </w:r>
      <w:r w:rsidRPr="00CE63DC">
        <w:rPr>
          <w:rFonts w:cstheme="minorHAnsi"/>
          <w:sz w:val="20"/>
          <w:szCs w:val="20"/>
        </w:rPr>
        <w:t xml:space="preserve">, M. A. “La naturaleza jurídica de periodo de buena conducta en el concurso de la persona física”: </w:t>
      </w:r>
      <w:r w:rsidRPr="00CE63DC">
        <w:rPr>
          <w:rFonts w:cstheme="minorHAnsi"/>
          <w:i/>
          <w:sz w:val="20"/>
          <w:szCs w:val="20"/>
        </w:rPr>
        <w:t>Anuario de derecho concursal</w:t>
      </w:r>
      <w:r w:rsidRPr="00CE63DC">
        <w:rPr>
          <w:rFonts w:cstheme="minorHAnsi"/>
          <w:sz w:val="20"/>
          <w:szCs w:val="20"/>
        </w:rPr>
        <w:t>, Nº. 50, 2020, págs. 181-230.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Arias, M. P.; Quaglia, M. C</w:t>
      </w:r>
      <w:r w:rsidRPr="00CE63DC">
        <w:rPr>
          <w:rFonts w:cstheme="minorHAnsi"/>
          <w:sz w:val="20"/>
          <w:szCs w:val="20"/>
        </w:rPr>
        <w:t xml:space="preserve">. “El incumplimiento de la garantía legal y las cuestiones probatorias en las relaciones de consumo”: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2, 2020, págs. 49-66.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Atienza López</w:t>
      </w:r>
      <w:r w:rsidRPr="00CE63DC">
        <w:rPr>
          <w:rFonts w:cstheme="minorHAnsi"/>
          <w:sz w:val="20"/>
          <w:szCs w:val="20"/>
        </w:rPr>
        <w:t xml:space="preserve">, J. I. “Efectos de la concesión del BEPI para el hipotecante no deudor”: </w:t>
      </w:r>
      <w:proofErr w:type="spellStart"/>
      <w:r w:rsidRPr="00CE63DC">
        <w:rPr>
          <w:rFonts w:cstheme="minorHAnsi"/>
          <w:i/>
          <w:sz w:val="20"/>
          <w:szCs w:val="20"/>
        </w:rPr>
        <w:t>CEFLegal</w:t>
      </w:r>
      <w:proofErr w:type="spellEnd"/>
      <w:r w:rsidRPr="00CE63DC">
        <w:rPr>
          <w:rFonts w:cstheme="minorHAnsi"/>
          <w:i/>
          <w:sz w:val="20"/>
          <w:szCs w:val="20"/>
        </w:rPr>
        <w:t>: revista práctica de derecho. Comentarios y casos prácticos</w:t>
      </w:r>
      <w:r w:rsidRPr="00CE63DC">
        <w:rPr>
          <w:rFonts w:cstheme="minorHAnsi"/>
          <w:sz w:val="20"/>
          <w:szCs w:val="20"/>
        </w:rPr>
        <w:t>, Nº. 232, 2020, págs. 171-176.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Azofra Vegas</w:t>
      </w:r>
      <w:r w:rsidRPr="00CE63DC">
        <w:rPr>
          <w:rFonts w:cstheme="minorHAnsi"/>
          <w:sz w:val="20"/>
          <w:szCs w:val="20"/>
        </w:rPr>
        <w:t xml:space="preserve">, F. “Los acuerdos extrajudiciales de pagos”: </w:t>
      </w:r>
      <w:r w:rsidRPr="00CE63DC">
        <w:rPr>
          <w:rFonts w:cstheme="minorHAnsi"/>
          <w:i/>
          <w:sz w:val="20"/>
          <w:szCs w:val="20"/>
        </w:rPr>
        <w:t>Anuario de derecho concursal</w:t>
      </w:r>
      <w:r w:rsidRPr="00CE63DC">
        <w:rPr>
          <w:rFonts w:cstheme="minorHAnsi"/>
          <w:sz w:val="20"/>
          <w:szCs w:val="20"/>
        </w:rPr>
        <w:t xml:space="preserve">, Nº. 50, 2020, págs. 109-122.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Ballugera Gómez</w:t>
      </w:r>
      <w:r w:rsidRPr="00CE63DC">
        <w:rPr>
          <w:rFonts w:cstheme="minorHAnsi"/>
          <w:sz w:val="20"/>
          <w:szCs w:val="20"/>
        </w:rPr>
        <w:t xml:space="preserve">, C. “Distribución de gastos en la hipoteca y comisión de apertura. Comentario y resumen de la STJUE de 16 julio 2020”: </w:t>
      </w:r>
      <w:r w:rsidRPr="00CE63DC">
        <w:rPr>
          <w:rFonts w:cstheme="minorHAnsi"/>
          <w:i/>
          <w:sz w:val="20"/>
          <w:szCs w:val="20"/>
        </w:rPr>
        <w:t xml:space="preserve">Revista de Derecho </w:t>
      </w:r>
      <w:proofErr w:type="spellStart"/>
      <w:r w:rsidRPr="00CE63DC">
        <w:rPr>
          <w:rFonts w:cstheme="minorHAnsi"/>
          <w:i/>
          <w:sz w:val="20"/>
          <w:szCs w:val="20"/>
        </w:rPr>
        <w:t>vLex</w:t>
      </w:r>
      <w:proofErr w:type="spellEnd"/>
      <w:r w:rsidRPr="00CE63DC">
        <w:rPr>
          <w:rFonts w:cstheme="minorHAnsi"/>
          <w:sz w:val="20"/>
          <w:szCs w:val="20"/>
        </w:rPr>
        <w:t xml:space="preserve">, Nº. 195, Agosto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sz w:val="20"/>
          <w:szCs w:val="20"/>
        </w:rPr>
        <w:t xml:space="preserve">BALLUGERA GÓMEZ, C. “Moratoria hipotecaria sectorial por coronavirus”: </w:t>
      </w:r>
      <w:r w:rsidRPr="00CE63DC">
        <w:rPr>
          <w:rFonts w:cstheme="minorHAnsi"/>
          <w:i/>
          <w:sz w:val="20"/>
          <w:szCs w:val="20"/>
        </w:rPr>
        <w:t xml:space="preserve">Revista de Derecho </w:t>
      </w:r>
      <w:proofErr w:type="spellStart"/>
      <w:r w:rsidRPr="00CE63DC">
        <w:rPr>
          <w:rFonts w:cstheme="minorHAnsi"/>
          <w:i/>
          <w:sz w:val="20"/>
          <w:szCs w:val="20"/>
        </w:rPr>
        <w:t>vLex</w:t>
      </w:r>
      <w:proofErr w:type="spellEnd"/>
      <w:r w:rsidRPr="00CE63DC">
        <w:rPr>
          <w:rFonts w:cstheme="minorHAnsi"/>
          <w:sz w:val="20"/>
          <w:szCs w:val="20"/>
        </w:rPr>
        <w:t xml:space="preserve">, Nº. 194,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Ballugera Gómez</w:t>
      </w:r>
      <w:r w:rsidRPr="00CE63DC">
        <w:rPr>
          <w:rFonts w:cstheme="minorHAnsi"/>
          <w:sz w:val="20"/>
          <w:szCs w:val="20"/>
        </w:rPr>
        <w:t xml:space="preserve">, C. “Novación de una cláusula suelo abusiva con renuncia de acciones. Comentario crítico y resumen de la STJUE de 9 julio 2020”: </w:t>
      </w:r>
      <w:r w:rsidRPr="00CE63DC">
        <w:rPr>
          <w:rFonts w:cstheme="minorHAnsi"/>
          <w:i/>
          <w:sz w:val="20"/>
          <w:szCs w:val="20"/>
        </w:rPr>
        <w:t xml:space="preserve">Revista de Derecho </w:t>
      </w:r>
      <w:proofErr w:type="spellStart"/>
      <w:r w:rsidRPr="00CE63DC">
        <w:rPr>
          <w:rFonts w:cstheme="minorHAnsi"/>
          <w:i/>
          <w:sz w:val="20"/>
          <w:szCs w:val="20"/>
        </w:rPr>
        <w:t>vLex</w:t>
      </w:r>
      <w:proofErr w:type="spellEnd"/>
      <w:r w:rsidRPr="00CE63DC">
        <w:rPr>
          <w:rFonts w:cstheme="minorHAnsi"/>
          <w:sz w:val="20"/>
          <w:szCs w:val="20"/>
        </w:rPr>
        <w:t>, Nº. 194,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sz w:val="20"/>
          <w:szCs w:val="20"/>
        </w:rPr>
        <w:t xml:space="preserve">BALLUGERA GÓMEZ, C. “Un banco defiende la rebaja, a favor de la persona consumidora, del interés de demora en la hipoteca. Comentario de urgencia de la resolución </w:t>
      </w:r>
      <w:proofErr w:type="spellStart"/>
      <w:r w:rsidRPr="00CE63DC">
        <w:rPr>
          <w:rFonts w:cstheme="minorHAnsi"/>
          <w:sz w:val="20"/>
          <w:szCs w:val="20"/>
        </w:rPr>
        <w:t>DGSJyFP</w:t>
      </w:r>
      <w:proofErr w:type="spellEnd"/>
      <w:r w:rsidRPr="00CE63DC">
        <w:rPr>
          <w:rFonts w:cstheme="minorHAnsi"/>
          <w:sz w:val="20"/>
          <w:szCs w:val="20"/>
        </w:rPr>
        <w:t xml:space="preserve"> de 5 abril 2020”: </w:t>
      </w:r>
      <w:r w:rsidRPr="00CE63DC">
        <w:rPr>
          <w:rFonts w:cstheme="minorHAnsi"/>
          <w:i/>
          <w:sz w:val="20"/>
          <w:szCs w:val="20"/>
        </w:rPr>
        <w:t xml:space="preserve">Revista de Derecho </w:t>
      </w:r>
      <w:proofErr w:type="spellStart"/>
      <w:r w:rsidRPr="00CE63DC">
        <w:rPr>
          <w:rFonts w:cstheme="minorHAnsi"/>
          <w:i/>
          <w:sz w:val="20"/>
          <w:szCs w:val="20"/>
        </w:rPr>
        <w:t>vLex</w:t>
      </w:r>
      <w:proofErr w:type="spellEnd"/>
      <w:r w:rsidRPr="00CE63DC">
        <w:rPr>
          <w:rFonts w:cstheme="minorHAnsi"/>
          <w:sz w:val="20"/>
          <w:szCs w:val="20"/>
        </w:rPr>
        <w:t xml:space="preserve">, Nº. 196,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Barreiro, K. M</w:t>
      </w:r>
      <w:r w:rsidRPr="00CE63DC">
        <w:rPr>
          <w:rFonts w:cstheme="minorHAnsi"/>
          <w:sz w:val="20"/>
          <w:szCs w:val="20"/>
        </w:rPr>
        <w:t xml:space="preserve">. “Coronavirus y la mayor crisis del turismo: Cancelaciones y responsabilidad de las empresas”: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7, 2020, págs. 28-35.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Bermúdez Ballesteros</w:t>
      </w:r>
      <w:r w:rsidRPr="00CE63DC">
        <w:rPr>
          <w:rFonts w:cstheme="minorHAnsi"/>
          <w:sz w:val="20"/>
          <w:szCs w:val="20"/>
        </w:rPr>
        <w:t xml:space="preserve">, M. S. “Desistimiento de una compra realizada por vía electrónica a través de Amazon: ¿se pueden cobrar los costes de devolución del bien?”: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923CBC">
      <w:pPr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Bernabéu Pérez, I. C.</w:t>
      </w:r>
      <w:r w:rsidRPr="00CE63DC">
        <w:rPr>
          <w:rFonts w:cstheme="minorHAnsi"/>
          <w:sz w:val="20"/>
          <w:szCs w:val="20"/>
        </w:rPr>
        <w:t xml:space="preserve"> “La indefensión material en las notificaciones llevadas a cabo en un procedimiento de ejecución hipotecaria y la sentencia del tribunal supremo de 6 de febrero de 2020”: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143, 2020, págs. 12-12.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Blanco,</w:t>
      </w:r>
      <w:r w:rsidRPr="00CE63DC">
        <w:rPr>
          <w:rFonts w:cstheme="minorHAnsi"/>
          <w:sz w:val="20"/>
          <w:szCs w:val="20"/>
        </w:rPr>
        <w:t xml:space="preserve"> J. L. “Respuesta europea respecto a la naturaleza jurídica de la comisión de apertura en los préstamos hipotecarios: ¿una enmienda al posicionamiento del Tribunal Supremo?”: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Bonato, Franco Raschetti, M. R</w:t>
      </w:r>
      <w:r w:rsidRPr="00CE63DC">
        <w:rPr>
          <w:rFonts w:cstheme="minorHAnsi"/>
          <w:sz w:val="20"/>
          <w:szCs w:val="20"/>
        </w:rPr>
        <w:t xml:space="preserve">. “Daños sufridos por pasajeros transportados en </w:t>
      </w:r>
      <w:proofErr w:type="spellStart"/>
      <w:r w:rsidRPr="00CE63DC">
        <w:rPr>
          <w:rFonts w:cstheme="minorHAnsi"/>
          <w:sz w:val="20"/>
          <w:szCs w:val="20"/>
        </w:rPr>
        <w:t>Uber</w:t>
      </w:r>
      <w:proofErr w:type="spellEnd"/>
      <w:r w:rsidRPr="00CE63DC">
        <w:rPr>
          <w:rFonts w:cstheme="minorHAnsi"/>
          <w:sz w:val="20"/>
          <w:szCs w:val="20"/>
        </w:rPr>
        <w:t xml:space="preserve"> y plataformas similares”: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21, Nº. 7, 2019, págs. 22-40.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Braquehais Conesa, L.; Alvarez Royo-Villanova, S</w:t>
      </w:r>
      <w:r w:rsidRPr="00CE63DC">
        <w:rPr>
          <w:rFonts w:cstheme="minorHAnsi"/>
          <w:sz w:val="20"/>
          <w:szCs w:val="20"/>
        </w:rPr>
        <w:t xml:space="preserve">. “Las moratorias legales y convencionales de préstamos tras el COVID. Recapitulación tras cuatro Reales Decretos-leyes (8/2020, 11/2020, 15/2020 y 19/2020)”: </w:t>
      </w:r>
      <w:r w:rsidRPr="00CE63DC">
        <w:rPr>
          <w:rFonts w:cstheme="minorHAnsi"/>
          <w:i/>
          <w:sz w:val="20"/>
          <w:szCs w:val="20"/>
        </w:rPr>
        <w:t>El notario del siglo XXI: revista del Colegio Notarial de Madrid</w:t>
      </w:r>
      <w:r w:rsidRPr="00CE63DC">
        <w:rPr>
          <w:rFonts w:cstheme="minorHAnsi"/>
          <w:sz w:val="20"/>
          <w:szCs w:val="20"/>
        </w:rPr>
        <w:t>, Nº. 91-92, 2020, págs. 22-27.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Cámara Lapuente</w:t>
      </w:r>
      <w:r w:rsidRPr="00CE63DC">
        <w:rPr>
          <w:rFonts w:cstheme="minorHAnsi"/>
          <w:sz w:val="20"/>
          <w:szCs w:val="20"/>
        </w:rPr>
        <w:t xml:space="preserve">, S. “¿Quién teme al control de incorporación (B2B)?”: </w:t>
      </w:r>
      <w:r w:rsidRPr="00CE63DC">
        <w:rPr>
          <w:rFonts w:cstheme="minorHAnsi"/>
          <w:i/>
          <w:sz w:val="20"/>
          <w:szCs w:val="20"/>
        </w:rPr>
        <w:t>Diario La Ley</w:t>
      </w:r>
      <w:r w:rsidRPr="00CE63DC">
        <w:rPr>
          <w:rFonts w:cstheme="minorHAnsi"/>
          <w:sz w:val="20"/>
          <w:szCs w:val="20"/>
        </w:rPr>
        <w:t>, Nº 9667,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Cancio, S. J</w:t>
      </w:r>
      <w:r w:rsidRPr="00CE63DC">
        <w:rPr>
          <w:rFonts w:cstheme="minorHAnsi"/>
          <w:sz w:val="20"/>
          <w:szCs w:val="20"/>
        </w:rPr>
        <w:t xml:space="preserve">.  “Comercio electrónico: la posición neutral de la plataforma y la negligencia del consumidor como eximentes de responsabilidad”: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1, 2020, págs. 42-47.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Cañizares Laso</w:t>
      </w:r>
      <w:r w:rsidRPr="00CE63DC">
        <w:rPr>
          <w:rFonts w:cstheme="minorHAnsi"/>
          <w:sz w:val="20"/>
          <w:szCs w:val="20"/>
        </w:rPr>
        <w:t xml:space="preserve">, A. “Cláusula abusiva de vencimiento anticipado en contrato de préstamo personal”: </w:t>
      </w:r>
      <w:r w:rsidRPr="00CE63DC">
        <w:rPr>
          <w:rFonts w:cstheme="minorHAnsi"/>
          <w:i/>
          <w:sz w:val="20"/>
          <w:szCs w:val="20"/>
        </w:rPr>
        <w:t>El notario del siglo XXI: revista del Colegio Notarial de Madrid</w:t>
      </w:r>
      <w:r w:rsidRPr="00CE63DC">
        <w:rPr>
          <w:rFonts w:cstheme="minorHAnsi"/>
          <w:sz w:val="20"/>
          <w:szCs w:val="20"/>
        </w:rPr>
        <w:t>, Nº. 91-92, 2020, págs. 62-67.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Carrasco Perera,</w:t>
      </w:r>
      <w:r w:rsidRPr="00CE63DC">
        <w:rPr>
          <w:rFonts w:cstheme="minorHAnsi"/>
          <w:sz w:val="20"/>
          <w:szCs w:val="20"/>
        </w:rPr>
        <w:t xml:space="preserve"> A. “¡¡Adiós y que usted lo pase bien, control de transparencia!! (al menos para las acciones colectivas, que ya es algo)”: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Carrasco Perera,</w:t>
      </w:r>
      <w:r w:rsidRPr="00CE63DC">
        <w:rPr>
          <w:rFonts w:cstheme="minorHAnsi"/>
          <w:sz w:val="20"/>
          <w:szCs w:val="20"/>
        </w:rPr>
        <w:t xml:space="preserve"> A. “La nueva </w:t>
      </w:r>
      <w:proofErr w:type="spellStart"/>
      <w:r w:rsidRPr="00CE63DC">
        <w:rPr>
          <w:rFonts w:cstheme="minorHAnsi"/>
          <w:sz w:val="20"/>
          <w:szCs w:val="20"/>
        </w:rPr>
        <w:t>litigiosidad</w:t>
      </w:r>
      <w:proofErr w:type="spellEnd"/>
      <w:r w:rsidRPr="00CE63DC">
        <w:rPr>
          <w:rFonts w:cstheme="minorHAnsi"/>
          <w:sz w:val="20"/>
          <w:szCs w:val="20"/>
        </w:rPr>
        <w:t xml:space="preserve"> en materia de adelantos de precio para la compraventa de viviendas”: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Carrasco Perera</w:t>
      </w:r>
      <w:r w:rsidRPr="00CE63DC">
        <w:rPr>
          <w:rFonts w:cstheme="minorHAnsi"/>
          <w:sz w:val="20"/>
          <w:szCs w:val="20"/>
        </w:rPr>
        <w:t xml:space="preserve">, A. “Sentencia europea </w:t>
      </w:r>
      <w:proofErr w:type="spellStart"/>
      <w:r w:rsidRPr="00CE63DC">
        <w:rPr>
          <w:rFonts w:cstheme="minorHAnsi"/>
          <w:sz w:val="20"/>
          <w:szCs w:val="20"/>
        </w:rPr>
        <w:t>intransparente</w:t>
      </w:r>
      <w:proofErr w:type="spellEnd"/>
      <w:r w:rsidRPr="00CE63DC">
        <w:rPr>
          <w:rFonts w:cstheme="minorHAnsi"/>
          <w:sz w:val="20"/>
          <w:szCs w:val="20"/>
        </w:rPr>
        <w:t xml:space="preserve"> sobre una transacción transparente de una cláusula suelo supuestamente </w:t>
      </w:r>
      <w:proofErr w:type="spellStart"/>
      <w:r w:rsidRPr="00CE63DC">
        <w:rPr>
          <w:rFonts w:cstheme="minorHAnsi"/>
          <w:sz w:val="20"/>
          <w:szCs w:val="20"/>
        </w:rPr>
        <w:t>intransparente</w:t>
      </w:r>
      <w:proofErr w:type="spellEnd"/>
      <w:r w:rsidRPr="00CE63DC">
        <w:rPr>
          <w:rFonts w:cstheme="minorHAnsi"/>
          <w:sz w:val="20"/>
          <w:szCs w:val="20"/>
        </w:rPr>
        <w:t xml:space="preserve">. La “jerga” de la STJUE 9 julio 2020”: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Cerdeira Bravo de Mansilla,</w:t>
      </w:r>
      <w:r w:rsidRPr="00CE63DC">
        <w:rPr>
          <w:rFonts w:cstheme="minorHAnsi"/>
          <w:sz w:val="20"/>
          <w:szCs w:val="20"/>
        </w:rPr>
        <w:t xml:space="preserve"> G. “Venta extrajudicial de finca hipotecada y dación en pago: una propuesta de reforma legislativa”: </w:t>
      </w:r>
      <w:r w:rsidRPr="00CE63DC">
        <w:rPr>
          <w:rFonts w:cstheme="minorHAnsi"/>
          <w:i/>
          <w:sz w:val="20"/>
          <w:szCs w:val="20"/>
        </w:rPr>
        <w:t>Anales de la Academia Matritense del Notariado</w:t>
      </w:r>
      <w:r w:rsidRPr="00CE63DC">
        <w:rPr>
          <w:rFonts w:cstheme="minorHAnsi"/>
          <w:sz w:val="20"/>
          <w:szCs w:val="20"/>
        </w:rPr>
        <w:t>, Tomo 59, 2019, págs. 13-66.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Cordero,</w:t>
      </w:r>
      <w:r w:rsidRPr="00CE63DC">
        <w:rPr>
          <w:rFonts w:cstheme="minorHAnsi"/>
          <w:sz w:val="20"/>
          <w:szCs w:val="20"/>
        </w:rPr>
        <w:t xml:space="preserve"> E. “¿Asunción de deuda vs subrogación hipotecaria? Sobre qué prohíbe exactamente el art. 89.3 b) TRLGDCU en las compraventas de vivienda”: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Cuartero Rubio,</w:t>
      </w:r>
      <w:r w:rsidRPr="00CE63DC">
        <w:rPr>
          <w:rFonts w:cstheme="minorHAnsi"/>
          <w:sz w:val="20"/>
          <w:szCs w:val="20"/>
        </w:rPr>
        <w:t xml:space="preserve"> M. V. “</w:t>
      </w:r>
      <w:proofErr w:type="spellStart"/>
      <w:r w:rsidRPr="00CE63DC">
        <w:rPr>
          <w:rFonts w:cstheme="minorHAnsi"/>
          <w:sz w:val="20"/>
          <w:szCs w:val="20"/>
        </w:rPr>
        <w:t>Dieselgate</w:t>
      </w:r>
      <w:proofErr w:type="spellEnd"/>
      <w:r w:rsidRPr="00CE63DC">
        <w:rPr>
          <w:rFonts w:cstheme="minorHAnsi"/>
          <w:sz w:val="20"/>
          <w:szCs w:val="20"/>
        </w:rPr>
        <w:t xml:space="preserve">: la cuestión de la competencia judicial internacional ante el TJUE”: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Cuartero Rubio,</w:t>
      </w:r>
      <w:r w:rsidRPr="00CE63DC">
        <w:rPr>
          <w:rFonts w:cstheme="minorHAnsi"/>
          <w:sz w:val="20"/>
          <w:szCs w:val="20"/>
        </w:rPr>
        <w:t xml:space="preserve"> M. V. “La protección de los consumidores por la autoridad administrativa y el concepto de “materia civil y mercantil” en el Reglamento Bruselas I bis (Asunto </w:t>
      </w:r>
      <w:proofErr w:type="spellStart"/>
      <w:r w:rsidRPr="00CE63DC">
        <w:rPr>
          <w:rFonts w:cstheme="minorHAnsi"/>
          <w:sz w:val="20"/>
          <w:szCs w:val="20"/>
        </w:rPr>
        <w:t>Movic</w:t>
      </w:r>
      <w:proofErr w:type="spellEnd"/>
      <w:r w:rsidRPr="00CE63DC">
        <w:rPr>
          <w:rFonts w:cstheme="minorHAnsi"/>
          <w:sz w:val="20"/>
          <w:szCs w:val="20"/>
        </w:rPr>
        <w:t xml:space="preserve">, C- 73/19)”: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  <w:bookmarkStart w:id="0" w:name="_GoBack"/>
      <w:bookmarkEnd w:id="0"/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Cubillo López, I. J</w:t>
      </w:r>
      <w:r w:rsidRPr="00CE63DC">
        <w:rPr>
          <w:rFonts w:cstheme="minorHAnsi"/>
          <w:sz w:val="20"/>
          <w:szCs w:val="20"/>
        </w:rPr>
        <w:t xml:space="preserve">. “Evolución de la doctrina jurisprudencial del TJUE y del TS relativa a las cláusulas de vencimiento anticipado: convergencias y divergencias”: </w:t>
      </w:r>
      <w:r w:rsidRPr="00CE63DC">
        <w:rPr>
          <w:rFonts w:cstheme="minorHAnsi"/>
          <w:i/>
          <w:sz w:val="20"/>
          <w:szCs w:val="20"/>
        </w:rPr>
        <w:t>Revista General de Derecho Procesal</w:t>
      </w:r>
      <w:r w:rsidRPr="00CE63DC">
        <w:rPr>
          <w:rFonts w:cstheme="minorHAnsi"/>
          <w:sz w:val="20"/>
          <w:szCs w:val="20"/>
        </w:rPr>
        <w:t>, Nº. 51,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Cuena Casas</w:t>
      </w:r>
      <w:r w:rsidRPr="00CE63DC">
        <w:rPr>
          <w:rFonts w:cstheme="minorHAnsi"/>
          <w:sz w:val="20"/>
          <w:szCs w:val="20"/>
        </w:rPr>
        <w:t xml:space="preserve">, M. “El régimen de segunda oportunidad en el Texto Refundido de la Ley Concursal. La exoneración del pasivo insatisfecho”: </w:t>
      </w:r>
      <w:r w:rsidRPr="00CE63DC">
        <w:rPr>
          <w:rFonts w:cstheme="minorHAnsi"/>
          <w:i/>
          <w:sz w:val="20"/>
          <w:szCs w:val="20"/>
        </w:rPr>
        <w:t>Diario La Ley</w:t>
      </w:r>
      <w:r w:rsidRPr="00CE63DC">
        <w:rPr>
          <w:rFonts w:cstheme="minorHAnsi"/>
          <w:sz w:val="20"/>
          <w:szCs w:val="20"/>
        </w:rPr>
        <w:t xml:space="preserve">, Nº 9669,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Dardelet, A</w:t>
      </w:r>
      <w:r w:rsidRPr="00CE63DC">
        <w:rPr>
          <w:rFonts w:cstheme="minorHAnsi"/>
          <w:sz w:val="20"/>
          <w:szCs w:val="20"/>
        </w:rPr>
        <w:t>. “</w:t>
      </w:r>
      <w:proofErr w:type="spellStart"/>
      <w:r w:rsidRPr="00CE63DC">
        <w:rPr>
          <w:rFonts w:cstheme="minorHAnsi"/>
          <w:sz w:val="20"/>
          <w:szCs w:val="20"/>
        </w:rPr>
        <w:t>MiFID</w:t>
      </w:r>
      <w:proofErr w:type="spellEnd"/>
      <w:r w:rsidRPr="00CE63DC">
        <w:rPr>
          <w:rFonts w:cstheme="minorHAnsi"/>
          <w:sz w:val="20"/>
          <w:szCs w:val="20"/>
        </w:rPr>
        <w:t xml:space="preserve"> II le </w:t>
      </w:r>
      <w:proofErr w:type="spellStart"/>
      <w:proofErr w:type="gramStart"/>
      <w:r w:rsidRPr="00CE63DC">
        <w:rPr>
          <w:rFonts w:cstheme="minorHAnsi"/>
          <w:sz w:val="20"/>
          <w:szCs w:val="20"/>
        </w:rPr>
        <w:t>retour</w:t>
      </w:r>
      <w:proofErr w:type="spellEnd"/>
      <w:r w:rsidRPr="00CE63DC">
        <w:rPr>
          <w:rFonts w:cstheme="minorHAnsi"/>
          <w:sz w:val="20"/>
          <w:szCs w:val="20"/>
        </w:rPr>
        <w:t xml:space="preserve"> :</w:t>
      </w:r>
      <w:proofErr w:type="gram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quand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protection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investisseurs</w:t>
      </w:r>
      <w:proofErr w:type="spellEnd"/>
      <w:r w:rsidRPr="00CE63DC">
        <w:rPr>
          <w:rFonts w:cstheme="minorHAnsi"/>
          <w:sz w:val="20"/>
          <w:szCs w:val="20"/>
        </w:rPr>
        <w:t xml:space="preserve"> rime </w:t>
      </w:r>
      <w:proofErr w:type="spellStart"/>
      <w:r w:rsidRPr="00CE63DC">
        <w:rPr>
          <w:rFonts w:cstheme="minorHAnsi"/>
          <w:sz w:val="20"/>
          <w:szCs w:val="20"/>
        </w:rPr>
        <w:t>avec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développement</w:t>
      </w:r>
      <w:proofErr w:type="spellEnd"/>
      <w:r w:rsidRPr="00CE63DC">
        <w:rPr>
          <w:rFonts w:cstheme="minorHAnsi"/>
          <w:sz w:val="20"/>
          <w:szCs w:val="20"/>
        </w:rPr>
        <w:t xml:space="preserve"> durable, </w:t>
      </w:r>
      <w:proofErr w:type="spellStart"/>
      <w:r w:rsidRPr="00CE63DC">
        <w:rPr>
          <w:rFonts w:cstheme="minorHAnsi"/>
          <w:sz w:val="20"/>
          <w:szCs w:val="20"/>
        </w:rPr>
        <w:t>état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lieux</w:t>
      </w:r>
      <w:proofErr w:type="spellEnd"/>
      <w:r w:rsidRPr="00CE63DC">
        <w:rPr>
          <w:rFonts w:cstheme="minorHAnsi"/>
          <w:sz w:val="20"/>
          <w:szCs w:val="20"/>
        </w:rPr>
        <w:t xml:space="preserve"> et </w:t>
      </w:r>
      <w:proofErr w:type="spellStart"/>
      <w:r w:rsidRPr="00CE63DC">
        <w:rPr>
          <w:rFonts w:cstheme="minorHAnsi"/>
          <w:sz w:val="20"/>
          <w:szCs w:val="20"/>
        </w:rPr>
        <w:t>perspectives</w:t>
      </w:r>
      <w:proofErr w:type="spellEnd"/>
      <w:r w:rsidRPr="00CE63DC">
        <w:rPr>
          <w:rFonts w:cstheme="minorHAnsi"/>
          <w:sz w:val="20"/>
          <w:szCs w:val="20"/>
        </w:rPr>
        <w:t xml:space="preserve"> sur </w:t>
      </w:r>
      <w:proofErr w:type="spellStart"/>
      <w:r w:rsidRPr="00CE63DC">
        <w:rPr>
          <w:rFonts w:cstheme="minorHAnsi"/>
          <w:sz w:val="20"/>
          <w:szCs w:val="20"/>
        </w:rPr>
        <w:t>l’intégration</w:t>
      </w:r>
      <w:proofErr w:type="spellEnd"/>
      <w:r w:rsidRPr="00CE63DC">
        <w:rPr>
          <w:rFonts w:cstheme="minorHAnsi"/>
          <w:sz w:val="20"/>
          <w:szCs w:val="20"/>
        </w:rPr>
        <w:t xml:space="preserve"> de la </w:t>
      </w:r>
      <w:proofErr w:type="spellStart"/>
      <w:r w:rsidRPr="00CE63DC">
        <w:rPr>
          <w:rFonts w:cstheme="minorHAnsi"/>
          <w:sz w:val="20"/>
          <w:szCs w:val="20"/>
        </w:rPr>
        <w:t>durabilité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dans</w:t>
      </w:r>
      <w:proofErr w:type="spellEnd"/>
      <w:r w:rsidRPr="00CE63DC">
        <w:rPr>
          <w:rFonts w:cstheme="minorHAnsi"/>
          <w:sz w:val="20"/>
          <w:szCs w:val="20"/>
        </w:rPr>
        <w:t xml:space="preserve"> la </w:t>
      </w:r>
      <w:proofErr w:type="spellStart"/>
      <w:r w:rsidRPr="00CE63DC">
        <w:rPr>
          <w:rFonts w:cstheme="minorHAnsi"/>
          <w:sz w:val="20"/>
          <w:szCs w:val="20"/>
        </w:rPr>
        <w:t>réglementation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européenne</w:t>
      </w:r>
      <w:proofErr w:type="spellEnd"/>
      <w:r w:rsidRPr="00CE63DC">
        <w:rPr>
          <w:rFonts w:cstheme="minorHAnsi"/>
          <w:sz w:val="20"/>
          <w:szCs w:val="20"/>
        </w:rPr>
        <w:t xml:space="preserve"> en </w:t>
      </w:r>
      <w:proofErr w:type="spellStart"/>
      <w:r w:rsidRPr="00CE63DC">
        <w:rPr>
          <w:rFonts w:cstheme="minorHAnsi"/>
          <w:sz w:val="20"/>
          <w:szCs w:val="20"/>
        </w:rPr>
        <w:t>matière</w:t>
      </w:r>
      <w:proofErr w:type="spellEnd"/>
      <w:r w:rsidRPr="00CE63DC">
        <w:rPr>
          <w:rFonts w:cstheme="minorHAnsi"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sz w:val="20"/>
          <w:szCs w:val="20"/>
        </w:rPr>
        <w:t>conseil</w:t>
      </w:r>
      <w:proofErr w:type="spellEnd"/>
      <w:r w:rsidRPr="00CE63DC">
        <w:rPr>
          <w:rFonts w:cstheme="minorHAnsi"/>
          <w:sz w:val="20"/>
          <w:szCs w:val="20"/>
        </w:rPr>
        <w:t xml:space="preserve"> en </w:t>
      </w:r>
      <w:proofErr w:type="spellStart"/>
      <w:r w:rsidRPr="00CE63DC">
        <w:rPr>
          <w:rFonts w:cstheme="minorHAnsi"/>
          <w:sz w:val="20"/>
          <w:szCs w:val="20"/>
        </w:rPr>
        <w:t>investissement</w:t>
      </w:r>
      <w:proofErr w:type="spellEnd"/>
      <w:r w:rsidRPr="00CE63DC">
        <w:rPr>
          <w:rFonts w:cstheme="minorHAnsi"/>
          <w:sz w:val="20"/>
          <w:szCs w:val="20"/>
        </w:rPr>
        <w:t xml:space="preserve"> et </w:t>
      </w:r>
      <w:proofErr w:type="spellStart"/>
      <w:r w:rsidRPr="00CE63DC">
        <w:rPr>
          <w:rFonts w:cstheme="minorHAnsi"/>
          <w:sz w:val="20"/>
          <w:szCs w:val="20"/>
        </w:rPr>
        <w:t>gestion</w:t>
      </w:r>
      <w:proofErr w:type="spellEnd"/>
      <w:r w:rsidRPr="00CE63DC">
        <w:rPr>
          <w:rFonts w:cstheme="minorHAnsi"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sz w:val="20"/>
          <w:szCs w:val="20"/>
        </w:rPr>
        <w:t>portefeuille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proofErr w:type="spellStart"/>
      <w:r w:rsidRPr="00CE63DC">
        <w:rPr>
          <w:rFonts w:cstheme="minorHAnsi"/>
          <w:i/>
          <w:sz w:val="20"/>
          <w:szCs w:val="20"/>
        </w:rPr>
        <w:t>Revue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des affaires </w:t>
      </w:r>
      <w:proofErr w:type="spellStart"/>
      <w:r w:rsidRPr="00CE63DC">
        <w:rPr>
          <w:rFonts w:cstheme="minorHAnsi"/>
          <w:i/>
          <w:sz w:val="20"/>
          <w:szCs w:val="20"/>
        </w:rPr>
        <w:t>europeennes</w:t>
      </w:r>
      <w:proofErr w:type="spellEnd"/>
      <w:r w:rsidRPr="00CE63DC">
        <w:rPr>
          <w:rFonts w:cstheme="minorHAnsi"/>
          <w:sz w:val="20"/>
          <w:szCs w:val="20"/>
        </w:rPr>
        <w:t>, Nº 3, 2019, págs. 571-584.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 la Torre, J.; Dávalos Alarcón,</w:t>
      </w:r>
      <w:r w:rsidRPr="00CE63DC">
        <w:rPr>
          <w:rFonts w:cstheme="minorHAnsi"/>
          <w:sz w:val="20"/>
          <w:szCs w:val="20"/>
        </w:rPr>
        <w:t xml:space="preserve"> V. “Análisis de la Sentencia del TJUE de 9 de julio de 2020 sobre acuerdos de cláusulas suelo (Cuestión prejudicial C.452/18)”: </w:t>
      </w:r>
      <w:r w:rsidRPr="00CE63DC">
        <w:rPr>
          <w:rFonts w:cstheme="minorHAnsi"/>
          <w:i/>
          <w:sz w:val="20"/>
          <w:szCs w:val="20"/>
        </w:rPr>
        <w:t>Revista Jurídica sobre Consumidores y Usuarios</w:t>
      </w:r>
      <w:r w:rsidRPr="00CE63DC">
        <w:rPr>
          <w:rFonts w:cstheme="minorHAnsi"/>
          <w:sz w:val="20"/>
          <w:szCs w:val="20"/>
        </w:rPr>
        <w:t>, Nº. Especial. Análisis de la Sentencia del TJUE de 9 de julio de 2020 sobre acuerdos novatorios de cláusulas abusivas y de la Sentencia del TJUE de 16 de julio de 2020, en relación a los gastos derivados de la hipoteca, Septiembre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del Águila Martínez</w:t>
      </w:r>
      <w:r w:rsidRPr="00CE63DC">
        <w:rPr>
          <w:rFonts w:cstheme="minorHAnsi"/>
          <w:sz w:val="20"/>
          <w:szCs w:val="20"/>
        </w:rPr>
        <w:t xml:space="preserve">, J. “La intermediación hipotecaria como alternativa a la ejecución de la vivienda habitual de los deudores hipotecarios. Especial referencia al Código de consumo de Cataluña”: </w:t>
      </w:r>
      <w:r w:rsidRPr="00CE63DC">
        <w:rPr>
          <w:rFonts w:cstheme="minorHAnsi"/>
          <w:i/>
          <w:sz w:val="20"/>
          <w:szCs w:val="20"/>
        </w:rPr>
        <w:t>Revista de Derecho Civil</w:t>
      </w:r>
      <w:r w:rsidRPr="00CE63DC">
        <w:rPr>
          <w:rFonts w:cstheme="minorHAnsi"/>
          <w:sz w:val="20"/>
          <w:szCs w:val="20"/>
        </w:rPr>
        <w:t xml:space="preserve">, Vol. 7, Nº. 3 (Abril-Junio), 2020, págs. 199-221.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del Aguila Martínez, J</w:t>
      </w:r>
      <w:r w:rsidRPr="00CE63DC">
        <w:rPr>
          <w:rFonts w:cstheme="minorHAnsi"/>
          <w:sz w:val="20"/>
          <w:szCs w:val="20"/>
        </w:rPr>
        <w:t xml:space="preserve">. “Problemas prácticos a la luz del Real Decreto Ley 1/2017, de medidas urgentes de protección de consumidores en materia de cláusulas suelo (1)”: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144, 2020, págs. 5-5.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del Carril, E</w:t>
      </w:r>
      <w:r w:rsidRPr="00CE63DC">
        <w:rPr>
          <w:rFonts w:cstheme="minorHAnsi"/>
          <w:sz w:val="20"/>
          <w:szCs w:val="20"/>
        </w:rPr>
        <w:t xml:space="preserve">. “Responsabilidad de los intermediarios en internet y neutralidad en la red”: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21, Nº. 7, 2019, págs. 41-51.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del Saz Domínguez</w:t>
      </w:r>
      <w:r w:rsidRPr="00CE63DC">
        <w:rPr>
          <w:rFonts w:cstheme="minorHAnsi"/>
          <w:sz w:val="20"/>
          <w:szCs w:val="20"/>
        </w:rPr>
        <w:t xml:space="preserve">, L. “Consulta sobre la posibilidad de reembolso del precio del seguro de viaje”: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del Saz Domínguez</w:t>
      </w:r>
      <w:r w:rsidRPr="00CE63DC">
        <w:rPr>
          <w:rFonts w:cstheme="minorHAnsi"/>
          <w:sz w:val="20"/>
          <w:szCs w:val="20"/>
        </w:rPr>
        <w:t xml:space="preserve">, L. “El deber precontractual de información sobre los honorarios del abogado”: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del Saz Domínguez,</w:t>
      </w:r>
      <w:r w:rsidRPr="00CE63DC">
        <w:rPr>
          <w:rFonts w:cstheme="minorHAnsi"/>
          <w:sz w:val="20"/>
          <w:szCs w:val="20"/>
        </w:rPr>
        <w:t xml:space="preserve"> L. “Medidas para viajes en avión tras la pandemia COVID-19”: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del Saz Domínguez</w:t>
      </w:r>
      <w:r w:rsidRPr="00CE63DC">
        <w:rPr>
          <w:rFonts w:cstheme="minorHAnsi"/>
          <w:sz w:val="20"/>
          <w:szCs w:val="20"/>
        </w:rPr>
        <w:t xml:space="preserve">, L. “Plazo de caducidad de vales de compra en tiempos de COVID”: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Octubre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Domínguez Martínez</w:t>
      </w:r>
      <w:r w:rsidRPr="00CE63DC">
        <w:rPr>
          <w:rFonts w:cstheme="minorHAnsi"/>
          <w:sz w:val="20"/>
          <w:szCs w:val="20"/>
        </w:rPr>
        <w:t xml:space="preserve">, P. “Acción contra la aseguradora en un seguro de caución por cantidades entregadas a cuenta en la compraventa de vivienda para uso residencial: el plazo de prescripción es el general del art. 1964 CC, no el de dos años del art. 23 LCS”: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Domínguez Martínez</w:t>
      </w:r>
      <w:r w:rsidRPr="00CE63DC">
        <w:rPr>
          <w:rFonts w:cstheme="minorHAnsi"/>
          <w:sz w:val="20"/>
          <w:szCs w:val="20"/>
        </w:rPr>
        <w:t xml:space="preserve">, P. “La cláusula que asigna el valor real al objeto asegurado frente al valor nuevo proclamado de forma general, es limitativa de los derechos del asegurado en un seguro </w:t>
      </w:r>
      <w:proofErr w:type="spellStart"/>
      <w:r w:rsidRPr="00CE63DC">
        <w:rPr>
          <w:rFonts w:cstheme="minorHAnsi"/>
          <w:sz w:val="20"/>
          <w:szCs w:val="20"/>
        </w:rPr>
        <w:t>multirriesgo</w:t>
      </w:r>
      <w:proofErr w:type="spellEnd"/>
      <w:r w:rsidRPr="00CE63DC">
        <w:rPr>
          <w:rFonts w:cstheme="minorHAnsi"/>
          <w:sz w:val="20"/>
          <w:szCs w:val="20"/>
        </w:rPr>
        <w:t xml:space="preserve"> del hogar”: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Domínguez Yamasaki, M. I</w:t>
      </w:r>
      <w:r w:rsidRPr="00CE63DC">
        <w:rPr>
          <w:rFonts w:cstheme="minorHAnsi"/>
          <w:sz w:val="20"/>
          <w:szCs w:val="20"/>
        </w:rPr>
        <w:t xml:space="preserve">. “El tratamiento de datos personales como prestación contractual. Gratuidad de contenidos y servicios digitales a elección del usuario”: </w:t>
      </w:r>
      <w:r w:rsidRPr="00CE63DC">
        <w:rPr>
          <w:rFonts w:cstheme="minorHAnsi"/>
          <w:i/>
          <w:sz w:val="20"/>
          <w:szCs w:val="20"/>
        </w:rPr>
        <w:t>Revista de derecho privado</w:t>
      </w:r>
      <w:r w:rsidRPr="00CE63DC">
        <w:rPr>
          <w:rFonts w:cstheme="minorHAnsi"/>
          <w:sz w:val="20"/>
          <w:szCs w:val="20"/>
        </w:rPr>
        <w:t>, Año nº 104, Mes 4, 2020, págs. 93-120.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Douville, T</w:t>
      </w:r>
      <w:r w:rsidRPr="00CE63DC">
        <w:rPr>
          <w:rFonts w:cstheme="minorHAnsi"/>
          <w:sz w:val="20"/>
          <w:szCs w:val="20"/>
        </w:rPr>
        <w:t>. “</w:t>
      </w:r>
      <w:proofErr w:type="spellStart"/>
      <w:r w:rsidRPr="00CE63DC">
        <w:rPr>
          <w:rFonts w:cstheme="minorHAnsi"/>
          <w:sz w:val="20"/>
          <w:szCs w:val="20"/>
        </w:rPr>
        <w:t>Directive</w:t>
      </w:r>
      <w:proofErr w:type="spellEnd"/>
      <w:r w:rsidRPr="00CE63DC">
        <w:rPr>
          <w:rFonts w:cstheme="minorHAnsi"/>
          <w:sz w:val="20"/>
          <w:szCs w:val="20"/>
        </w:rPr>
        <w:t xml:space="preserve"> (UE) 2019/1937 du 23 </w:t>
      </w:r>
      <w:proofErr w:type="spellStart"/>
      <w:r w:rsidRPr="00CE63DC">
        <w:rPr>
          <w:rFonts w:cstheme="minorHAnsi"/>
          <w:sz w:val="20"/>
          <w:szCs w:val="20"/>
        </w:rPr>
        <w:t>octobre</w:t>
      </w:r>
      <w:proofErr w:type="spellEnd"/>
      <w:r w:rsidRPr="00CE63DC">
        <w:rPr>
          <w:rFonts w:cstheme="minorHAnsi"/>
          <w:sz w:val="20"/>
          <w:szCs w:val="20"/>
        </w:rPr>
        <w:t xml:space="preserve"> 2019 sur la </w:t>
      </w:r>
      <w:proofErr w:type="spellStart"/>
      <w:r w:rsidRPr="00CE63DC">
        <w:rPr>
          <w:rFonts w:cstheme="minorHAnsi"/>
          <w:sz w:val="20"/>
          <w:szCs w:val="20"/>
        </w:rPr>
        <w:t>protection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personnes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qui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signalent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violations</w:t>
      </w:r>
      <w:proofErr w:type="spellEnd"/>
      <w:r w:rsidRPr="00CE63DC">
        <w:rPr>
          <w:rFonts w:cstheme="minorHAnsi"/>
          <w:sz w:val="20"/>
          <w:szCs w:val="20"/>
        </w:rPr>
        <w:t xml:space="preserve"> du </w:t>
      </w:r>
      <w:proofErr w:type="spellStart"/>
      <w:r w:rsidRPr="00CE63DC">
        <w:rPr>
          <w:rFonts w:cstheme="minorHAnsi"/>
          <w:sz w:val="20"/>
          <w:szCs w:val="20"/>
        </w:rPr>
        <w:t>droit</w:t>
      </w:r>
      <w:proofErr w:type="spellEnd"/>
      <w:r w:rsidRPr="00CE63DC">
        <w:rPr>
          <w:rFonts w:cstheme="minorHAnsi"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sz w:val="20"/>
          <w:szCs w:val="20"/>
        </w:rPr>
        <w:t>l’Union</w:t>
      </w:r>
      <w:proofErr w:type="spellEnd"/>
      <w:r w:rsidRPr="00CE63DC">
        <w:rPr>
          <w:rFonts w:cstheme="minorHAnsi"/>
          <w:sz w:val="20"/>
          <w:szCs w:val="20"/>
        </w:rPr>
        <w:t xml:space="preserve">. </w:t>
      </w:r>
      <w:proofErr w:type="spellStart"/>
      <w:r w:rsidRPr="00CE63DC">
        <w:rPr>
          <w:rFonts w:cstheme="minorHAnsi"/>
          <w:sz w:val="20"/>
          <w:szCs w:val="20"/>
        </w:rPr>
        <w:t>Aspects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relatifs</w:t>
      </w:r>
      <w:proofErr w:type="spellEnd"/>
      <w:r w:rsidRPr="00CE63DC">
        <w:rPr>
          <w:rFonts w:cstheme="minorHAnsi"/>
          <w:sz w:val="20"/>
          <w:szCs w:val="20"/>
        </w:rPr>
        <w:t xml:space="preserve"> à la </w:t>
      </w:r>
      <w:proofErr w:type="spellStart"/>
      <w:r w:rsidRPr="00CE63DC">
        <w:rPr>
          <w:rFonts w:cstheme="minorHAnsi"/>
          <w:sz w:val="20"/>
          <w:szCs w:val="20"/>
        </w:rPr>
        <w:t>protection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données</w:t>
      </w:r>
      <w:proofErr w:type="spellEnd"/>
      <w:r w:rsidRPr="00CE63DC">
        <w:rPr>
          <w:rFonts w:cstheme="minorHAnsi"/>
          <w:sz w:val="20"/>
          <w:szCs w:val="20"/>
        </w:rPr>
        <w:t xml:space="preserve"> à </w:t>
      </w:r>
      <w:proofErr w:type="spellStart"/>
      <w:r w:rsidRPr="00CE63DC">
        <w:rPr>
          <w:rFonts w:cstheme="minorHAnsi"/>
          <w:sz w:val="20"/>
          <w:szCs w:val="20"/>
        </w:rPr>
        <w:t>caractère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personne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proofErr w:type="spellStart"/>
      <w:r w:rsidRPr="00CE63DC">
        <w:rPr>
          <w:rFonts w:cstheme="minorHAnsi"/>
          <w:i/>
          <w:sz w:val="20"/>
          <w:szCs w:val="20"/>
        </w:rPr>
        <w:t>Revue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des affaires </w:t>
      </w:r>
      <w:proofErr w:type="spellStart"/>
      <w:r w:rsidRPr="00CE63DC">
        <w:rPr>
          <w:rFonts w:cstheme="minorHAnsi"/>
          <w:i/>
          <w:sz w:val="20"/>
          <w:szCs w:val="20"/>
        </w:rPr>
        <w:t>europeennes</w:t>
      </w:r>
      <w:proofErr w:type="spellEnd"/>
      <w:r w:rsidRPr="00CE63DC">
        <w:rPr>
          <w:rFonts w:cstheme="minorHAnsi"/>
          <w:sz w:val="20"/>
          <w:szCs w:val="20"/>
        </w:rPr>
        <w:t>, Nº 4, 2019, págs. 709-711.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Esquivias Jaramillo</w:t>
      </w:r>
      <w:r w:rsidRPr="00CE63DC">
        <w:rPr>
          <w:rFonts w:cstheme="minorHAnsi"/>
          <w:sz w:val="20"/>
          <w:szCs w:val="20"/>
        </w:rPr>
        <w:t xml:space="preserve">, J. I. “Consideración como usurario del interés de un crédito. contrato de tarjeta </w:t>
      </w:r>
      <w:proofErr w:type="spellStart"/>
      <w:r w:rsidRPr="00CE63DC">
        <w:rPr>
          <w:rFonts w:cstheme="minorHAnsi"/>
          <w:sz w:val="20"/>
          <w:szCs w:val="20"/>
        </w:rPr>
        <w:t>revolving</w:t>
      </w:r>
      <w:proofErr w:type="spellEnd"/>
      <w:r w:rsidRPr="00CE63DC">
        <w:rPr>
          <w:rFonts w:cstheme="minorHAnsi"/>
          <w:sz w:val="20"/>
          <w:szCs w:val="20"/>
        </w:rPr>
        <w:t xml:space="preserve"> (Comentario a la STS de 4 de marzo de 2020)”: </w:t>
      </w:r>
      <w:proofErr w:type="spellStart"/>
      <w:r w:rsidRPr="00CE63DC">
        <w:rPr>
          <w:rFonts w:cstheme="minorHAnsi"/>
          <w:i/>
          <w:sz w:val="20"/>
          <w:szCs w:val="20"/>
        </w:rPr>
        <w:t>CEFLegal</w:t>
      </w:r>
      <w:proofErr w:type="spellEnd"/>
      <w:r w:rsidRPr="00CE63DC">
        <w:rPr>
          <w:rFonts w:cstheme="minorHAnsi"/>
          <w:i/>
          <w:sz w:val="20"/>
          <w:szCs w:val="20"/>
        </w:rPr>
        <w:t>: revista práctica de derecho. Comentarios y casos prácticos</w:t>
      </w:r>
      <w:r w:rsidRPr="00CE63DC">
        <w:rPr>
          <w:rFonts w:cstheme="minorHAnsi"/>
          <w:sz w:val="20"/>
          <w:szCs w:val="20"/>
        </w:rPr>
        <w:t>, Nº. 232, 2020, págs. 73-80.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Esteban Ramos, L. M</w:t>
      </w:r>
      <w:r w:rsidRPr="00CE63DC">
        <w:rPr>
          <w:rFonts w:cstheme="minorHAnsi"/>
          <w:sz w:val="20"/>
          <w:szCs w:val="20"/>
        </w:rPr>
        <w:t xml:space="preserve">. “Segunda oportunidad: ahora más necesario que nunca”: </w:t>
      </w:r>
      <w:r w:rsidRPr="00CE63DC">
        <w:rPr>
          <w:rFonts w:cstheme="minorHAnsi"/>
          <w:i/>
          <w:sz w:val="20"/>
          <w:szCs w:val="20"/>
        </w:rPr>
        <w:t xml:space="preserve">Revista de derecho concursal y </w:t>
      </w:r>
      <w:proofErr w:type="spellStart"/>
      <w:r w:rsidRPr="00CE63DC">
        <w:rPr>
          <w:rFonts w:cstheme="minorHAnsi"/>
          <w:i/>
          <w:sz w:val="20"/>
          <w:szCs w:val="20"/>
        </w:rPr>
        <w:t>paraconcursal</w:t>
      </w:r>
      <w:proofErr w:type="spellEnd"/>
      <w:r w:rsidRPr="00CE63DC">
        <w:rPr>
          <w:rFonts w:cstheme="minorHAnsi"/>
          <w:i/>
          <w:sz w:val="20"/>
          <w:szCs w:val="20"/>
        </w:rPr>
        <w:t>: Anales de doctrina, praxis, jurisprudencia y legislación</w:t>
      </w:r>
      <w:r w:rsidRPr="00CE63DC">
        <w:rPr>
          <w:rFonts w:cstheme="minorHAnsi"/>
          <w:sz w:val="20"/>
          <w:szCs w:val="20"/>
        </w:rPr>
        <w:t>, Nº. 33, 2020, págs. 297-310.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Faliero, J. C</w:t>
      </w:r>
      <w:r w:rsidRPr="00CE63DC">
        <w:rPr>
          <w:rFonts w:cstheme="minorHAnsi"/>
          <w:sz w:val="20"/>
          <w:szCs w:val="20"/>
        </w:rPr>
        <w:t>. “Los "</w:t>
      </w:r>
      <w:proofErr w:type="spellStart"/>
      <w:r w:rsidRPr="00CE63DC">
        <w:rPr>
          <w:rFonts w:cstheme="minorHAnsi"/>
          <w:sz w:val="20"/>
          <w:szCs w:val="20"/>
        </w:rPr>
        <w:t>smart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contracts</w:t>
      </w:r>
      <w:proofErr w:type="spellEnd"/>
      <w:r w:rsidRPr="00CE63DC">
        <w:rPr>
          <w:rFonts w:cstheme="minorHAnsi"/>
          <w:sz w:val="20"/>
          <w:szCs w:val="20"/>
        </w:rPr>
        <w:t>" y los desafíos que representan para el consentimiento informado del "e-</w:t>
      </w:r>
      <w:proofErr w:type="spellStart"/>
      <w:r w:rsidRPr="00CE63DC">
        <w:rPr>
          <w:rFonts w:cstheme="minorHAnsi"/>
          <w:sz w:val="20"/>
          <w:szCs w:val="20"/>
        </w:rPr>
        <w:t>consumer</w:t>
      </w:r>
      <w:proofErr w:type="spellEnd"/>
      <w:r w:rsidRPr="00CE63DC">
        <w:rPr>
          <w:rFonts w:cstheme="minorHAnsi"/>
          <w:sz w:val="20"/>
          <w:szCs w:val="20"/>
        </w:rPr>
        <w:t xml:space="preserve">": contratación inteligente y asentimiento informado”: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5, 2020, págs. 28-35.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Fernández Alvarez,</w:t>
      </w:r>
      <w:r w:rsidRPr="00CE63DC">
        <w:rPr>
          <w:rFonts w:cstheme="minorHAnsi"/>
          <w:sz w:val="20"/>
          <w:szCs w:val="20"/>
        </w:rPr>
        <w:t xml:space="preserve"> J. “La aprobación del Texto Refundido de la Ley Concursal. El procedimiento y sus fases”: </w:t>
      </w:r>
      <w:r w:rsidRPr="00CE63DC">
        <w:rPr>
          <w:rFonts w:cstheme="minorHAnsi"/>
          <w:i/>
          <w:sz w:val="20"/>
          <w:szCs w:val="20"/>
        </w:rPr>
        <w:t xml:space="preserve">Revista de derecho concursal y </w:t>
      </w:r>
      <w:proofErr w:type="spellStart"/>
      <w:r w:rsidRPr="00CE63DC">
        <w:rPr>
          <w:rFonts w:cstheme="minorHAnsi"/>
          <w:i/>
          <w:sz w:val="20"/>
          <w:szCs w:val="20"/>
        </w:rPr>
        <w:t>paraconcursal</w:t>
      </w:r>
      <w:proofErr w:type="spellEnd"/>
      <w:r w:rsidRPr="00CE63DC">
        <w:rPr>
          <w:rFonts w:cstheme="minorHAnsi"/>
          <w:i/>
          <w:sz w:val="20"/>
          <w:szCs w:val="20"/>
        </w:rPr>
        <w:t>: Anales de doctrina, praxis, jurisprudencia y legislación</w:t>
      </w:r>
      <w:r w:rsidRPr="00CE63DC">
        <w:rPr>
          <w:rFonts w:cstheme="minorHAnsi"/>
          <w:sz w:val="20"/>
          <w:szCs w:val="20"/>
        </w:rPr>
        <w:t>, Nº. 33, 2020, págs. 17-26.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Fernández Larrea, I</w:t>
      </w:r>
      <w:r w:rsidRPr="00CE63DC">
        <w:rPr>
          <w:rFonts w:cstheme="minorHAnsi"/>
          <w:sz w:val="20"/>
          <w:szCs w:val="20"/>
        </w:rPr>
        <w:t xml:space="preserve">. “La (ardua) función notarial en el acuerdo extrajudicial de pagos (1ª parte)”: </w:t>
      </w:r>
      <w:r w:rsidRPr="00CE63DC">
        <w:rPr>
          <w:rFonts w:cstheme="minorHAnsi"/>
          <w:i/>
          <w:sz w:val="20"/>
          <w:szCs w:val="20"/>
        </w:rPr>
        <w:t>El notario del siglo XXI: revista del Colegio Notarial de Madrid</w:t>
      </w:r>
      <w:r w:rsidRPr="00CE63DC">
        <w:rPr>
          <w:rFonts w:cstheme="minorHAnsi"/>
          <w:sz w:val="20"/>
          <w:szCs w:val="20"/>
        </w:rPr>
        <w:t>, Nº. 91-92, 2020, págs. 56-61.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Fernández Seijo, J. M</w:t>
      </w:r>
      <w:r w:rsidRPr="00CE63DC">
        <w:rPr>
          <w:rFonts w:cstheme="minorHAnsi"/>
          <w:sz w:val="20"/>
          <w:szCs w:val="20"/>
        </w:rPr>
        <w:t xml:space="preserve">. “El acuerdo extrajudicial de pagos no tiene quien le escriba (Notas sobre el tratamiento del acuerdo extrajudicial de pagos en el Texto Refundido de la Ley Concursal)”: </w:t>
      </w:r>
      <w:r w:rsidRPr="00CE63DC">
        <w:rPr>
          <w:rFonts w:cstheme="minorHAnsi"/>
          <w:i/>
          <w:sz w:val="20"/>
          <w:szCs w:val="20"/>
        </w:rPr>
        <w:t xml:space="preserve">Revista de derecho concursal y </w:t>
      </w:r>
      <w:proofErr w:type="spellStart"/>
      <w:r w:rsidRPr="00CE63DC">
        <w:rPr>
          <w:rFonts w:cstheme="minorHAnsi"/>
          <w:i/>
          <w:sz w:val="20"/>
          <w:szCs w:val="20"/>
        </w:rPr>
        <w:t>paraconcursal</w:t>
      </w:r>
      <w:proofErr w:type="spellEnd"/>
      <w:r w:rsidRPr="00CE63DC">
        <w:rPr>
          <w:rFonts w:cstheme="minorHAnsi"/>
          <w:i/>
          <w:sz w:val="20"/>
          <w:szCs w:val="20"/>
        </w:rPr>
        <w:t>: Anales de doctrina, praxis, jurisprudencia y legislación</w:t>
      </w:r>
      <w:r w:rsidRPr="00CE63DC">
        <w:rPr>
          <w:rFonts w:cstheme="minorHAnsi"/>
          <w:sz w:val="20"/>
          <w:szCs w:val="20"/>
        </w:rPr>
        <w:t>, Nº. 33, 2020, págs. 91-116.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Fidalgo Gallardo, C.; Suárez Ramírez, P.</w:t>
      </w:r>
      <w:r w:rsidRPr="00CE63DC">
        <w:rPr>
          <w:rFonts w:cstheme="minorHAnsi"/>
          <w:sz w:val="20"/>
          <w:szCs w:val="20"/>
        </w:rPr>
        <w:t xml:space="preserve"> “Hacia la reforma del mecanismo de Segunda Oportunidad. Las propuestas de ASUFIN en la Consulta Pública sobre la Transposición de la Directiva (UE) 2019/1023 sobre Reestructuración e Insolvencia”: </w:t>
      </w:r>
      <w:r w:rsidRPr="00CE63DC">
        <w:rPr>
          <w:rFonts w:cstheme="minorHAnsi"/>
          <w:i/>
          <w:sz w:val="20"/>
          <w:szCs w:val="20"/>
        </w:rPr>
        <w:t>Diario La Ley</w:t>
      </w:r>
      <w:r w:rsidRPr="00CE63DC">
        <w:rPr>
          <w:rFonts w:cstheme="minorHAnsi"/>
          <w:sz w:val="20"/>
          <w:szCs w:val="20"/>
        </w:rPr>
        <w:t>, Nº 9693,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Frisicale, M. L</w:t>
      </w:r>
      <w:r w:rsidRPr="00CE63DC">
        <w:rPr>
          <w:rFonts w:cstheme="minorHAnsi"/>
          <w:sz w:val="20"/>
          <w:szCs w:val="20"/>
        </w:rPr>
        <w:t xml:space="preserve">. “La dificultad de la prueba en la responsabilidad por productos defectuosos: Reflexiones sobre el artículo 53 de la ley 24.240”: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7, 2020, págs. 76-83.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García Amorós, C.</w:t>
      </w:r>
      <w:r w:rsidRPr="00CE63DC">
        <w:rPr>
          <w:rFonts w:cstheme="minorHAnsi"/>
          <w:sz w:val="20"/>
          <w:szCs w:val="20"/>
        </w:rPr>
        <w:t xml:space="preserve"> “Contratos de crédito inmobiliario: adaptación del derecho español al comunitario”: </w:t>
      </w:r>
      <w:r w:rsidRPr="00CE63DC">
        <w:rPr>
          <w:rFonts w:cstheme="minorHAnsi"/>
          <w:i/>
          <w:sz w:val="20"/>
          <w:szCs w:val="20"/>
        </w:rPr>
        <w:t>Actualidad jurídica Aranzadi</w:t>
      </w:r>
      <w:r w:rsidRPr="00CE63DC">
        <w:rPr>
          <w:rFonts w:cstheme="minorHAnsi"/>
          <w:sz w:val="20"/>
          <w:szCs w:val="20"/>
        </w:rPr>
        <w:t>, Nº 961, 2020, pág. 12.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García Mayo, M</w:t>
      </w:r>
      <w:r w:rsidRPr="00CE63DC">
        <w:rPr>
          <w:rFonts w:cstheme="minorHAnsi"/>
          <w:sz w:val="20"/>
          <w:szCs w:val="20"/>
        </w:rPr>
        <w:t xml:space="preserve">. “Responsabilidad del anfitrión por los efectos introducidos en las viviendas de uso turístico”: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1487-1529.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Garrido Cordobera, L. M. R</w:t>
      </w:r>
      <w:r w:rsidRPr="00CE63DC">
        <w:rPr>
          <w:rFonts w:cstheme="minorHAnsi"/>
          <w:sz w:val="20"/>
          <w:szCs w:val="20"/>
        </w:rPr>
        <w:t xml:space="preserve">. “Los contratos frente a la pandemia: ¿existen otros remedios además de la extinción por caso fortuito o fuerza mayor en el Derecho argentino?”: </w:t>
      </w:r>
      <w:r w:rsidRPr="00CE63DC">
        <w:rPr>
          <w:rFonts w:cstheme="minorHAnsi"/>
          <w:i/>
          <w:sz w:val="20"/>
          <w:szCs w:val="20"/>
        </w:rPr>
        <w:t>Revista general de legislación y jurisprudencia</w:t>
      </w:r>
      <w:r w:rsidRPr="00CE63DC">
        <w:rPr>
          <w:rFonts w:cstheme="minorHAnsi"/>
          <w:sz w:val="20"/>
          <w:szCs w:val="20"/>
        </w:rPr>
        <w:t>, Nº 2, 2020, págs. 233-249.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Gómez Amigo, L</w:t>
      </w:r>
      <w:r w:rsidRPr="00CE63DC">
        <w:rPr>
          <w:rFonts w:cstheme="minorHAnsi"/>
          <w:sz w:val="20"/>
          <w:szCs w:val="20"/>
        </w:rPr>
        <w:t xml:space="preserve">. “La doctrina del TJUE en el caso </w:t>
      </w:r>
      <w:proofErr w:type="spellStart"/>
      <w:r w:rsidRPr="00CE63DC">
        <w:rPr>
          <w:rFonts w:cstheme="minorHAnsi"/>
          <w:sz w:val="20"/>
          <w:szCs w:val="20"/>
        </w:rPr>
        <w:t>Bondora</w:t>
      </w:r>
      <w:proofErr w:type="spellEnd"/>
      <w:r w:rsidRPr="00CE63DC">
        <w:rPr>
          <w:rFonts w:cstheme="minorHAnsi"/>
          <w:sz w:val="20"/>
          <w:szCs w:val="20"/>
        </w:rPr>
        <w:t xml:space="preserve">: ¿hacia el declive del proceso monitorio europeo?”: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144, 2020, págs. 6-6.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González Carrasco</w:t>
      </w:r>
      <w:r w:rsidRPr="00CE63DC">
        <w:rPr>
          <w:rFonts w:cstheme="minorHAnsi"/>
          <w:sz w:val="20"/>
          <w:szCs w:val="20"/>
        </w:rPr>
        <w:t xml:space="preserve">, M. C. “¿Subsiste la obligación de informar sobre la cesión de viviendas con fines turísticos?”: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Octubre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González García, S</w:t>
      </w:r>
      <w:r w:rsidRPr="00CE63DC">
        <w:rPr>
          <w:rFonts w:cstheme="minorHAnsi"/>
          <w:sz w:val="20"/>
          <w:szCs w:val="20"/>
        </w:rPr>
        <w:t xml:space="preserve">. “La tutela de los consumidores y usuarios en la preparación del proceso: las diligencias preliminares, problemas presentes y propuestas de futuro”: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143, 2020, págs. 7-7.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Hernando Cebriá, L</w:t>
      </w:r>
      <w:r w:rsidRPr="00CE63DC">
        <w:rPr>
          <w:rFonts w:cstheme="minorHAnsi"/>
          <w:sz w:val="20"/>
          <w:szCs w:val="20"/>
        </w:rPr>
        <w:t xml:space="preserve">. “Responsabilidad contractual del adquiriente del negocio o empresa frente a los clientes y las doctrinas de la confianza legítima y de la protección del crédito dentro del orden público económico: la progenie jurisprudencial del caso </w:t>
      </w:r>
      <w:proofErr w:type="spellStart"/>
      <w:r w:rsidRPr="00CE63DC">
        <w:rPr>
          <w:rFonts w:cstheme="minorHAnsi"/>
          <w:sz w:val="20"/>
          <w:szCs w:val="20"/>
        </w:rPr>
        <w:t>Caixabank-Pimebank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r w:rsidRPr="00CE63DC">
        <w:rPr>
          <w:rFonts w:cstheme="minorHAnsi"/>
          <w:i/>
          <w:sz w:val="20"/>
          <w:szCs w:val="20"/>
        </w:rPr>
        <w:t>Cuadernos de derecho y comercio</w:t>
      </w:r>
      <w:r w:rsidRPr="00CE63DC">
        <w:rPr>
          <w:rFonts w:cstheme="minorHAnsi"/>
          <w:sz w:val="20"/>
          <w:szCs w:val="20"/>
        </w:rPr>
        <w:t>, Nº 72, 2019, págs. 255-284.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Horcajo León</w:t>
      </w:r>
      <w:r w:rsidRPr="00CE63DC">
        <w:rPr>
          <w:rFonts w:cstheme="minorHAnsi"/>
          <w:sz w:val="20"/>
          <w:szCs w:val="20"/>
        </w:rPr>
        <w:t xml:space="preserve">, M. “Los servicios de </w:t>
      </w:r>
      <w:proofErr w:type="spellStart"/>
      <w:r w:rsidRPr="00CE63DC">
        <w:rPr>
          <w:rFonts w:cstheme="minorHAnsi"/>
          <w:sz w:val="20"/>
          <w:szCs w:val="20"/>
        </w:rPr>
        <w:t>dirimencias</w:t>
      </w:r>
      <w:proofErr w:type="spellEnd"/>
      <w:r w:rsidRPr="00CE63DC">
        <w:rPr>
          <w:rFonts w:cstheme="minorHAnsi"/>
          <w:sz w:val="20"/>
          <w:szCs w:val="20"/>
        </w:rPr>
        <w:t xml:space="preserve"> como instrumento de resolución de conflictos interbancarios”: </w:t>
      </w:r>
      <w:proofErr w:type="spellStart"/>
      <w:r w:rsidRPr="00CE63DC">
        <w:rPr>
          <w:rFonts w:cstheme="minorHAnsi"/>
          <w:i/>
          <w:sz w:val="20"/>
          <w:szCs w:val="20"/>
        </w:rPr>
        <w:t>CEFLegal</w:t>
      </w:r>
      <w:proofErr w:type="spellEnd"/>
      <w:r w:rsidRPr="00CE63DC">
        <w:rPr>
          <w:rFonts w:cstheme="minorHAnsi"/>
          <w:i/>
          <w:sz w:val="20"/>
          <w:szCs w:val="20"/>
        </w:rPr>
        <w:t>: revista práctica de derecho. Comentarios y casos prácticos</w:t>
      </w:r>
      <w:r w:rsidRPr="00CE63DC">
        <w:rPr>
          <w:rFonts w:cstheme="minorHAnsi"/>
          <w:sz w:val="20"/>
          <w:szCs w:val="20"/>
        </w:rPr>
        <w:t xml:space="preserve">, Nº. 233, 2020, págs. 39-70.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Izquierdo Grau, G</w:t>
      </w:r>
      <w:r w:rsidRPr="00CE63DC">
        <w:rPr>
          <w:rFonts w:cstheme="minorHAnsi"/>
          <w:sz w:val="20"/>
          <w:szCs w:val="20"/>
        </w:rPr>
        <w:t xml:space="preserve">.  “Análisis de los remedios de la Directiva (UE) 2019/771, de 20 de mayo de 2019”: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1591-1645.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Lemo, L</w:t>
      </w:r>
      <w:r w:rsidRPr="00CE63DC">
        <w:rPr>
          <w:rFonts w:cstheme="minorHAnsi"/>
          <w:sz w:val="20"/>
          <w:szCs w:val="20"/>
        </w:rPr>
        <w:t xml:space="preserve">. “La </w:t>
      </w:r>
      <w:proofErr w:type="spellStart"/>
      <w:r w:rsidRPr="00CE63DC">
        <w:rPr>
          <w:rFonts w:cstheme="minorHAnsi"/>
          <w:sz w:val="20"/>
          <w:szCs w:val="20"/>
        </w:rPr>
        <w:t>pénalisation</w:t>
      </w:r>
      <w:proofErr w:type="spellEnd"/>
      <w:r w:rsidRPr="00CE63DC">
        <w:rPr>
          <w:rFonts w:cstheme="minorHAnsi"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sz w:val="20"/>
          <w:szCs w:val="20"/>
        </w:rPr>
        <w:t>l’inexécution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obligations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contractuelles</w:t>
      </w:r>
      <w:proofErr w:type="spellEnd"/>
      <w:r w:rsidRPr="00CE63DC">
        <w:rPr>
          <w:rFonts w:cstheme="minorHAnsi"/>
          <w:sz w:val="20"/>
          <w:szCs w:val="20"/>
        </w:rPr>
        <w:t xml:space="preserve"> — </w:t>
      </w:r>
      <w:proofErr w:type="spellStart"/>
      <w:r w:rsidRPr="00CE63DC">
        <w:rPr>
          <w:rFonts w:cstheme="minorHAnsi"/>
          <w:sz w:val="20"/>
          <w:szCs w:val="20"/>
        </w:rPr>
        <w:t>Contribution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au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débat</w:t>
      </w:r>
      <w:proofErr w:type="spellEnd"/>
      <w:r w:rsidRPr="00CE63DC">
        <w:rPr>
          <w:rFonts w:cstheme="minorHAnsi"/>
          <w:sz w:val="20"/>
          <w:szCs w:val="20"/>
        </w:rPr>
        <w:t xml:space="preserve"> à </w:t>
      </w:r>
      <w:proofErr w:type="spellStart"/>
      <w:r w:rsidRPr="00CE63DC">
        <w:rPr>
          <w:rFonts w:cstheme="minorHAnsi"/>
          <w:sz w:val="20"/>
          <w:szCs w:val="20"/>
        </w:rPr>
        <w:t>propos</w:t>
      </w:r>
      <w:proofErr w:type="spellEnd"/>
      <w:r w:rsidRPr="00CE63DC">
        <w:rPr>
          <w:rFonts w:cstheme="minorHAnsi"/>
          <w:sz w:val="20"/>
          <w:szCs w:val="20"/>
        </w:rPr>
        <w:t xml:space="preserve"> de la </w:t>
      </w:r>
      <w:proofErr w:type="spellStart"/>
      <w:r w:rsidRPr="00CE63DC">
        <w:rPr>
          <w:rFonts w:cstheme="minorHAnsi"/>
          <w:sz w:val="20"/>
          <w:szCs w:val="20"/>
        </w:rPr>
        <w:t>filouterie</w:t>
      </w:r>
      <w:proofErr w:type="spellEnd"/>
      <w:r w:rsidRPr="00CE63DC">
        <w:rPr>
          <w:rFonts w:cstheme="minorHAnsi"/>
          <w:sz w:val="20"/>
          <w:szCs w:val="20"/>
        </w:rPr>
        <w:t xml:space="preserve"> des </w:t>
      </w:r>
      <w:proofErr w:type="spellStart"/>
      <w:r w:rsidRPr="00CE63DC">
        <w:rPr>
          <w:rFonts w:cstheme="minorHAnsi"/>
          <w:sz w:val="20"/>
          <w:szCs w:val="20"/>
        </w:rPr>
        <w:t>loyers</w:t>
      </w:r>
      <w:proofErr w:type="spellEnd"/>
      <w:r w:rsidRPr="00CE63DC">
        <w:rPr>
          <w:rFonts w:cstheme="minorHAnsi"/>
          <w:sz w:val="20"/>
          <w:szCs w:val="20"/>
        </w:rPr>
        <w:t xml:space="preserve"> en </w:t>
      </w:r>
      <w:proofErr w:type="spellStart"/>
      <w:r w:rsidRPr="00CE63DC">
        <w:rPr>
          <w:rFonts w:cstheme="minorHAnsi"/>
          <w:sz w:val="20"/>
          <w:szCs w:val="20"/>
        </w:rPr>
        <w:t>droit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camerounais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proofErr w:type="spellStart"/>
      <w:r w:rsidRPr="00CE63DC">
        <w:rPr>
          <w:rFonts w:cstheme="minorHAnsi"/>
          <w:i/>
          <w:sz w:val="20"/>
          <w:szCs w:val="20"/>
        </w:rPr>
        <w:t>Revue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i/>
          <w:sz w:val="20"/>
          <w:szCs w:val="20"/>
        </w:rPr>
        <w:t>droit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i/>
          <w:sz w:val="20"/>
          <w:szCs w:val="20"/>
        </w:rPr>
        <w:t>international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et de </w:t>
      </w:r>
      <w:proofErr w:type="spellStart"/>
      <w:r w:rsidRPr="00CE63DC">
        <w:rPr>
          <w:rFonts w:cstheme="minorHAnsi"/>
          <w:i/>
          <w:sz w:val="20"/>
          <w:szCs w:val="20"/>
        </w:rPr>
        <w:t>droit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comparé</w:t>
      </w:r>
      <w:r w:rsidRPr="00CE63DC">
        <w:rPr>
          <w:rFonts w:cstheme="minorHAnsi"/>
          <w:sz w:val="20"/>
          <w:szCs w:val="20"/>
        </w:rPr>
        <w:t>, Vol. 97, Nº. 2, 2020, págs. 201-242.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Lilén Sánchez, M.</w:t>
      </w:r>
      <w:r w:rsidRPr="00CE63DC">
        <w:rPr>
          <w:rFonts w:cstheme="minorHAnsi"/>
          <w:sz w:val="20"/>
          <w:szCs w:val="20"/>
        </w:rPr>
        <w:t xml:space="preserve"> “El seguro de asistencia al viajero y el deber de información”: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21, Nº. 6, 2019, págs. 219-225.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Llorente San Segundo, I</w:t>
      </w:r>
      <w:r w:rsidRPr="00CE63DC">
        <w:rPr>
          <w:rFonts w:cstheme="minorHAnsi"/>
          <w:sz w:val="20"/>
          <w:szCs w:val="20"/>
        </w:rPr>
        <w:t xml:space="preserve">. “Segunda oportunidad del deudor persona natural y consorcio conyugal aragonés. La extensión de la exoneración al cónyuge del concursado”: </w:t>
      </w:r>
      <w:r w:rsidRPr="00CE63DC">
        <w:rPr>
          <w:rFonts w:cstheme="minorHAnsi"/>
          <w:i/>
          <w:sz w:val="20"/>
          <w:szCs w:val="20"/>
        </w:rPr>
        <w:t>Revista de derecho civil aragonés</w:t>
      </w:r>
      <w:r w:rsidRPr="00CE63DC">
        <w:rPr>
          <w:rFonts w:cstheme="minorHAnsi"/>
          <w:sz w:val="20"/>
          <w:szCs w:val="20"/>
        </w:rPr>
        <w:t>, Nº 25, 2019, págs. 157-197.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Lorente Howell, J. L.</w:t>
      </w:r>
      <w:r w:rsidRPr="00CE63DC">
        <w:rPr>
          <w:rFonts w:cstheme="minorHAnsi"/>
          <w:sz w:val="20"/>
          <w:szCs w:val="20"/>
        </w:rPr>
        <w:t xml:space="preserve"> “Moratoria para el pago de las deudas hipotecarias con ocasión del COVID-19”: </w:t>
      </w:r>
      <w:r w:rsidRPr="00CE63DC">
        <w:rPr>
          <w:rFonts w:cstheme="minorHAnsi"/>
          <w:i/>
          <w:sz w:val="20"/>
          <w:szCs w:val="20"/>
        </w:rPr>
        <w:t>Actualidad jurídica Aranzadi</w:t>
      </w:r>
      <w:r w:rsidRPr="00CE63DC">
        <w:rPr>
          <w:rFonts w:cstheme="minorHAnsi"/>
          <w:sz w:val="20"/>
          <w:szCs w:val="20"/>
        </w:rPr>
        <w:t>, Nº 962,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Lozano Gago, M</w:t>
      </w:r>
      <w:r w:rsidRPr="00CE63DC">
        <w:rPr>
          <w:rFonts w:cstheme="minorHAnsi"/>
          <w:sz w:val="20"/>
          <w:szCs w:val="20"/>
        </w:rPr>
        <w:t xml:space="preserve">. “Los consumidores y usuarios como «perjudicados» por la vía del art. 15 LEC”: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144, 2020, págs. 3-3.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Luft, M. E</w:t>
      </w:r>
      <w:r w:rsidRPr="00CE63DC">
        <w:rPr>
          <w:rFonts w:cstheme="minorHAnsi"/>
          <w:sz w:val="20"/>
          <w:szCs w:val="20"/>
        </w:rPr>
        <w:t xml:space="preserve">. “Actualización del derecho a la salud en los contratos de consumo: El estado de vulnerabilidad del consumidor al contratar. Normativa, jurisprudencia y doctrina imperante en la materia”: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4, 2020, págs. 28-39.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Marín López</w:t>
      </w:r>
      <w:r w:rsidRPr="00CE63DC">
        <w:rPr>
          <w:rFonts w:cstheme="minorHAnsi"/>
          <w:sz w:val="20"/>
          <w:szCs w:val="20"/>
        </w:rPr>
        <w:t xml:space="preserve">, M. J. “La STJUE de 9 de julio de 2020 relativa a la validez del acuerdo novatorio sobre la cláusula suelo, ¿corrige la doctrina sentada en la STS de 11 de abril de 2018?”: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 Faba,</w:t>
      </w:r>
      <w:r w:rsidRPr="00CE63DC">
        <w:rPr>
          <w:rFonts w:cstheme="minorHAnsi"/>
          <w:sz w:val="20"/>
          <w:szCs w:val="20"/>
        </w:rPr>
        <w:t xml:space="preserve"> J. M. “¿Cómo formular la demanda cuando solo se puede pedir el cobro de las deudas vencidas, pero resulta evidente que van a dejar de pagarse cuotas durante el proceso?”: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 Faba</w:t>
      </w:r>
      <w:r w:rsidRPr="00CE63DC">
        <w:rPr>
          <w:rFonts w:cstheme="minorHAnsi"/>
          <w:sz w:val="20"/>
          <w:szCs w:val="20"/>
        </w:rPr>
        <w:t xml:space="preserve">, J. M. “Sobre la falsa historia que cuenta que un sujeto afortunado se libró de la hipoteca por la cara y se quedó con la casa”: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Julio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Calvo, J.</w:t>
      </w:r>
      <w:r w:rsidRPr="00CE63DC">
        <w:rPr>
          <w:rFonts w:cstheme="minorHAnsi"/>
          <w:sz w:val="20"/>
          <w:szCs w:val="20"/>
        </w:rPr>
        <w:t xml:space="preserve"> “La hipoteca sobre varias fincas en garantía de un único crédito: distribución de responsabilidad, cancelación parcial y ejecución”: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1649-1682.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de Santos, A</w:t>
      </w:r>
      <w:r w:rsidRPr="00CE63DC">
        <w:rPr>
          <w:rFonts w:cstheme="minorHAnsi"/>
          <w:sz w:val="20"/>
          <w:szCs w:val="20"/>
        </w:rPr>
        <w:t xml:space="preserve">. “La liquidación de los desperfectos posterior al lanzamiento del inmueble”: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143, 2020, págs. 14-14.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de Santos, A</w:t>
      </w:r>
      <w:r w:rsidRPr="00CE63DC">
        <w:rPr>
          <w:rFonts w:cstheme="minorHAnsi"/>
          <w:sz w:val="20"/>
          <w:szCs w:val="20"/>
        </w:rPr>
        <w:t xml:space="preserve">. “Los motivos de oposición por defectos procesales en la ejecución de un título judicial”: </w:t>
      </w:r>
      <w:r w:rsidRPr="00CE63DC">
        <w:rPr>
          <w:rFonts w:cstheme="minorHAnsi"/>
          <w:i/>
          <w:sz w:val="20"/>
          <w:szCs w:val="20"/>
        </w:rPr>
        <w:t>Práctica de tribunales: revista de derecho procesal civil y mercantil</w:t>
      </w:r>
      <w:r w:rsidRPr="00CE63DC">
        <w:rPr>
          <w:rFonts w:cstheme="minorHAnsi"/>
          <w:sz w:val="20"/>
          <w:szCs w:val="20"/>
        </w:rPr>
        <w:t>, Nº. 143, 2020, págs. 15-15.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Espín</w:t>
      </w:r>
      <w:r w:rsidRPr="00CE63DC">
        <w:rPr>
          <w:rFonts w:cstheme="minorHAnsi"/>
          <w:sz w:val="20"/>
          <w:szCs w:val="20"/>
        </w:rPr>
        <w:t xml:space="preserve">, P. “El nuevo procedimiento administrativo de reclamación en el transporte aéreo”: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Martínez Gómez,</w:t>
      </w:r>
      <w:r w:rsidRPr="00CE63DC">
        <w:rPr>
          <w:rFonts w:cstheme="minorHAnsi"/>
          <w:sz w:val="20"/>
          <w:szCs w:val="20"/>
        </w:rPr>
        <w:t xml:space="preserve"> S. “El TJUE vuelve a pronunciarse sobre los préstamos denominados en divisa extranjera: no puede ser objeto de control de transparencia la cláusula que recoge el principio del nominalismo monetario”: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Gómez, S.</w:t>
      </w:r>
      <w:r w:rsidRPr="00CE63DC">
        <w:rPr>
          <w:rFonts w:cstheme="minorHAnsi"/>
          <w:sz w:val="20"/>
          <w:szCs w:val="20"/>
        </w:rPr>
        <w:t xml:space="preserve"> “Las «preferentes» de </w:t>
      </w:r>
      <w:proofErr w:type="spellStart"/>
      <w:r w:rsidRPr="00CE63DC">
        <w:rPr>
          <w:rFonts w:cstheme="minorHAnsi"/>
          <w:sz w:val="20"/>
          <w:szCs w:val="20"/>
        </w:rPr>
        <w:t>Eroski</w:t>
      </w:r>
      <w:proofErr w:type="spellEnd"/>
      <w:r w:rsidRPr="00CE63DC">
        <w:rPr>
          <w:rFonts w:cstheme="minorHAnsi"/>
          <w:sz w:val="20"/>
          <w:szCs w:val="20"/>
        </w:rPr>
        <w:t xml:space="preserve">, una inversión perpetua no apta para inversores no cualificados”: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Gómez</w:t>
      </w:r>
      <w:r w:rsidRPr="00CE63DC">
        <w:rPr>
          <w:rFonts w:cstheme="minorHAnsi"/>
          <w:sz w:val="20"/>
          <w:szCs w:val="20"/>
        </w:rPr>
        <w:t xml:space="preserve">, S. “Las expectativas de recuperación del 100% de los gastos hipotecarios, generadas por la STJUE 16.07.2020 y la SAP de Las Palmas de 21.07.2020, han caído en saco roto tras ratificar el TS su doctrina sobre el reparto de los gastos”: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>, Septiembre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Martínez Gómez</w:t>
      </w:r>
      <w:r w:rsidRPr="00CE63DC">
        <w:rPr>
          <w:rFonts w:cstheme="minorHAnsi"/>
          <w:sz w:val="20"/>
          <w:szCs w:val="20"/>
        </w:rPr>
        <w:t xml:space="preserve">, S. “Nulidad de la transacción sobre la cláusula suelo por falta de transparencia. Comentario y crítica a la SAP de Las Palmas de 15 de julio de 2020”: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Maza Gazmuri</w:t>
      </w:r>
      <w:r w:rsidRPr="00CE63DC">
        <w:rPr>
          <w:rFonts w:cstheme="minorHAnsi"/>
          <w:sz w:val="20"/>
          <w:szCs w:val="20"/>
        </w:rPr>
        <w:t xml:space="preserve">, I. A.; de la Vidal Olivares, A. “Los efectos del incumplimiento contractual causado por caso fortuito en tiempos de pandemia CoViD-19”: </w:t>
      </w:r>
      <w:r w:rsidRPr="00CE63DC">
        <w:rPr>
          <w:rFonts w:cstheme="minorHAnsi"/>
          <w:i/>
          <w:sz w:val="20"/>
          <w:szCs w:val="20"/>
        </w:rPr>
        <w:t>Revista de Derecho Civil</w:t>
      </w:r>
      <w:r w:rsidRPr="00CE63DC">
        <w:rPr>
          <w:rFonts w:cstheme="minorHAnsi"/>
          <w:sz w:val="20"/>
          <w:szCs w:val="20"/>
        </w:rPr>
        <w:t xml:space="preserve">, Vol. 7, Nº. 3 (Abril-Junio), 2020, págs. 123-161.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Medrano Aranguren</w:t>
      </w:r>
      <w:r w:rsidRPr="00CE63DC">
        <w:rPr>
          <w:rFonts w:cstheme="minorHAnsi"/>
          <w:sz w:val="20"/>
          <w:szCs w:val="20"/>
        </w:rPr>
        <w:t xml:space="preserve">, A. “Nulidad de cláusula suelo y crédito litigioso”: </w:t>
      </w:r>
      <w:proofErr w:type="spellStart"/>
      <w:r w:rsidRPr="00CE63DC">
        <w:rPr>
          <w:rFonts w:cstheme="minorHAnsi"/>
          <w:i/>
          <w:sz w:val="20"/>
          <w:szCs w:val="20"/>
        </w:rPr>
        <w:t>CEFLegal</w:t>
      </w:r>
      <w:proofErr w:type="spellEnd"/>
      <w:r w:rsidRPr="00CE63DC">
        <w:rPr>
          <w:rFonts w:cstheme="minorHAnsi"/>
          <w:i/>
          <w:sz w:val="20"/>
          <w:szCs w:val="20"/>
        </w:rPr>
        <w:t>: revista práctica de derecho. Comentarios y casos prácticos</w:t>
      </w:r>
      <w:r w:rsidRPr="00CE63DC">
        <w:rPr>
          <w:rFonts w:cstheme="minorHAnsi"/>
          <w:sz w:val="20"/>
          <w:szCs w:val="20"/>
        </w:rPr>
        <w:t xml:space="preserve">, Nº. 233, 2020, págs. 121-129.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Moia, A. L</w:t>
      </w:r>
      <w:r w:rsidRPr="00CE63DC">
        <w:rPr>
          <w:rFonts w:cstheme="minorHAnsi"/>
          <w:sz w:val="20"/>
          <w:szCs w:val="20"/>
        </w:rPr>
        <w:t xml:space="preserve">. “Los intereses y las facultades judiciales para su revisión: una propuesta de determinación”: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21, Nº. 6, 2019, págs. 71-81.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Muñoz García, C</w:t>
      </w:r>
      <w:r w:rsidRPr="00CE63DC">
        <w:rPr>
          <w:rFonts w:cstheme="minorHAnsi"/>
          <w:sz w:val="20"/>
          <w:szCs w:val="20"/>
        </w:rPr>
        <w:t xml:space="preserve">. “La renuncia a la acción de nulidad. Eficacia de la transacción frente a posibles cláusulas abusivas”: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1947-1967.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Muñoz, M. O.</w:t>
      </w:r>
      <w:r w:rsidRPr="00CE63DC">
        <w:rPr>
          <w:rFonts w:cstheme="minorHAnsi"/>
          <w:sz w:val="20"/>
          <w:szCs w:val="20"/>
        </w:rPr>
        <w:t xml:space="preserve"> “El orden público efectivo en el derecho del consumidor”: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5, 2020, págs. 52-55.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Nájera Pascual, A</w:t>
      </w:r>
      <w:r w:rsidRPr="00CE63DC">
        <w:rPr>
          <w:rFonts w:cstheme="minorHAnsi"/>
          <w:sz w:val="20"/>
          <w:szCs w:val="20"/>
        </w:rPr>
        <w:t xml:space="preserve">. “Refinanciaciones y línea ICO avales COVID-19: ¿son compatibles?”: </w:t>
      </w:r>
      <w:r w:rsidRPr="00CE63DC">
        <w:rPr>
          <w:rFonts w:cstheme="minorHAnsi"/>
          <w:i/>
          <w:sz w:val="20"/>
          <w:szCs w:val="20"/>
        </w:rPr>
        <w:t>Actualidad jurídica Aranzadi</w:t>
      </w:r>
      <w:r w:rsidRPr="00CE63DC">
        <w:rPr>
          <w:rFonts w:cstheme="minorHAnsi"/>
          <w:sz w:val="20"/>
          <w:szCs w:val="20"/>
        </w:rPr>
        <w:t>, Nº 963,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Navas Navarro, S</w:t>
      </w:r>
      <w:r w:rsidRPr="00CE63DC">
        <w:rPr>
          <w:rFonts w:cstheme="minorHAnsi"/>
          <w:sz w:val="20"/>
          <w:szCs w:val="20"/>
        </w:rPr>
        <w:t xml:space="preserve">. “El uso de herramientas </w:t>
      </w:r>
      <w:proofErr w:type="spellStart"/>
      <w:r w:rsidRPr="00CE63DC">
        <w:rPr>
          <w:rFonts w:cstheme="minorHAnsi"/>
          <w:sz w:val="20"/>
          <w:szCs w:val="20"/>
        </w:rPr>
        <w:t>LawTech</w:t>
      </w:r>
      <w:proofErr w:type="spellEnd"/>
      <w:r w:rsidRPr="00CE63DC">
        <w:rPr>
          <w:rFonts w:cstheme="minorHAnsi"/>
          <w:sz w:val="20"/>
          <w:szCs w:val="20"/>
        </w:rPr>
        <w:t xml:space="preserve"> en la prestación de servicios jurídicos a los consumidores. Aproximación desde la Directiva (UE) 2019/770, sobre contratos de suministro de contenidos y servicios digitales”: </w:t>
      </w:r>
      <w:r w:rsidRPr="00CE63DC">
        <w:rPr>
          <w:rFonts w:cstheme="minorHAnsi"/>
          <w:i/>
          <w:sz w:val="20"/>
          <w:szCs w:val="20"/>
        </w:rPr>
        <w:t>Revista general de legislación y jurisprudencia</w:t>
      </w:r>
      <w:r w:rsidRPr="00CE63DC">
        <w:rPr>
          <w:rFonts w:cstheme="minorHAnsi"/>
          <w:sz w:val="20"/>
          <w:szCs w:val="20"/>
        </w:rPr>
        <w:t>, Nº 2, 2020, págs. 251-286.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Nieto Delgado, C.</w:t>
      </w:r>
      <w:r w:rsidRPr="00CE63DC">
        <w:rPr>
          <w:rFonts w:cstheme="minorHAnsi"/>
          <w:sz w:val="20"/>
          <w:szCs w:val="20"/>
        </w:rPr>
        <w:t xml:space="preserve"> “Comunicación de negociaciones en el Texto Refundido de la Ley Concursal”: </w:t>
      </w:r>
      <w:r w:rsidRPr="00CE63DC">
        <w:rPr>
          <w:rFonts w:cstheme="minorHAnsi"/>
          <w:i/>
          <w:sz w:val="20"/>
          <w:szCs w:val="20"/>
        </w:rPr>
        <w:t xml:space="preserve">Revista de derecho concursal y </w:t>
      </w:r>
      <w:proofErr w:type="spellStart"/>
      <w:r w:rsidRPr="00CE63DC">
        <w:rPr>
          <w:rFonts w:cstheme="minorHAnsi"/>
          <w:i/>
          <w:sz w:val="20"/>
          <w:szCs w:val="20"/>
        </w:rPr>
        <w:t>paraconcursal</w:t>
      </w:r>
      <w:proofErr w:type="spellEnd"/>
      <w:r w:rsidRPr="00CE63DC">
        <w:rPr>
          <w:rFonts w:cstheme="minorHAnsi"/>
          <w:i/>
          <w:sz w:val="20"/>
          <w:szCs w:val="20"/>
        </w:rPr>
        <w:t>: Anales de doctrina, praxis, jurisprudencia y legislación</w:t>
      </w:r>
      <w:r w:rsidRPr="00CE63DC">
        <w:rPr>
          <w:rFonts w:cstheme="minorHAnsi"/>
          <w:sz w:val="20"/>
          <w:szCs w:val="20"/>
        </w:rPr>
        <w:t>, Nº. 33, 2020, págs. 117-126.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Ohsawa, A</w:t>
      </w:r>
      <w:r w:rsidRPr="00CE63DC">
        <w:rPr>
          <w:rFonts w:cstheme="minorHAnsi"/>
          <w:sz w:val="20"/>
          <w:szCs w:val="20"/>
        </w:rPr>
        <w:t xml:space="preserve">. “La </w:t>
      </w:r>
      <w:proofErr w:type="spellStart"/>
      <w:r w:rsidRPr="00CE63DC">
        <w:rPr>
          <w:rFonts w:cstheme="minorHAnsi"/>
          <w:sz w:val="20"/>
          <w:szCs w:val="20"/>
        </w:rPr>
        <w:t>réforme</w:t>
      </w:r>
      <w:proofErr w:type="spellEnd"/>
      <w:r w:rsidRPr="00CE63DC">
        <w:rPr>
          <w:rFonts w:cstheme="minorHAnsi"/>
          <w:sz w:val="20"/>
          <w:szCs w:val="20"/>
        </w:rPr>
        <w:t xml:space="preserve"> de la </w:t>
      </w:r>
      <w:proofErr w:type="spellStart"/>
      <w:r w:rsidRPr="00CE63DC">
        <w:rPr>
          <w:rFonts w:cstheme="minorHAnsi"/>
          <w:sz w:val="20"/>
          <w:szCs w:val="20"/>
        </w:rPr>
        <w:t>loi</w:t>
      </w:r>
      <w:proofErr w:type="spellEnd"/>
      <w:r w:rsidRPr="00CE63DC">
        <w:rPr>
          <w:rFonts w:cstheme="minorHAnsi"/>
          <w:sz w:val="20"/>
          <w:szCs w:val="20"/>
        </w:rPr>
        <w:t xml:space="preserve"> sur les </w:t>
      </w:r>
      <w:proofErr w:type="spellStart"/>
      <w:r w:rsidRPr="00CE63DC">
        <w:rPr>
          <w:rFonts w:cstheme="minorHAnsi"/>
          <w:sz w:val="20"/>
          <w:szCs w:val="20"/>
        </w:rPr>
        <w:t>contrats</w:t>
      </w:r>
      <w:proofErr w:type="spellEnd"/>
      <w:r w:rsidRPr="00CE63DC">
        <w:rPr>
          <w:rFonts w:cstheme="minorHAnsi"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sz w:val="20"/>
          <w:szCs w:val="20"/>
        </w:rPr>
        <w:t>consommation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au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Japon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proofErr w:type="spellStart"/>
      <w:r w:rsidRPr="00CE63DC">
        <w:rPr>
          <w:rFonts w:cstheme="minorHAnsi"/>
          <w:i/>
          <w:sz w:val="20"/>
          <w:szCs w:val="20"/>
        </w:rPr>
        <w:t>Revue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i/>
          <w:sz w:val="20"/>
          <w:szCs w:val="20"/>
        </w:rPr>
        <w:t>internationale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de </w:t>
      </w:r>
      <w:proofErr w:type="spellStart"/>
      <w:r w:rsidRPr="00CE63DC">
        <w:rPr>
          <w:rFonts w:cstheme="minorHAnsi"/>
          <w:i/>
          <w:sz w:val="20"/>
          <w:szCs w:val="20"/>
        </w:rPr>
        <w:t>droit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comparé</w:t>
      </w:r>
      <w:r w:rsidRPr="00CE63DC">
        <w:rPr>
          <w:rFonts w:cstheme="minorHAnsi"/>
          <w:sz w:val="20"/>
          <w:szCs w:val="20"/>
        </w:rPr>
        <w:t>, Nº. 2, 2020, págs. 523-546.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Parra Membrilla,</w:t>
      </w:r>
      <w:r w:rsidRPr="00CE63DC">
        <w:rPr>
          <w:rFonts w:cstheme="minorHAnsi"/>
          <w:sz w:val="20"/>
          <w:szCs w:val="20"/>
        </w:rPr>
        <w:t xml:space="preserve"> L. “¿Y porque no aprovechar el Big Data para prevenir enfermedades?”: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Parra Membrilla</w:t>
      </w:r>
      <w:r w:rsidRPr="00CE63DC">
        <w:rPr>
          <w:rFonts w:cstheme="minorHAnsi"/>
          <w:sz w:val="20"/>
          <w:szCs w:val="20"/>
        </w:rPr>
        <w:t xml:space="preserve">, L. “Las CCAA no tienen competencia sobre la aplicación del art.13 LCS: a vueltas con la rebaja de las primas en COVID-19”: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Pazos Castro, R.</w:t>
      </w:r>
      <w:r w:rsidRPr="00CE63DC">
        <w:rPr>
          <w:rFonts w:cstheme="minorHAnsi"/>
          <w:sz w:val="20"/>
          <w:szCs w:val="20"/>
        </w:rPr>
        <w:t xml:space="preserve"> “El nuevo derecho a la portabilidad de los datos personales en el Reglamento (UE) 2016/679, de 27 de abril de 2016”: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1531-1588.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Pérez de Prada, M. M.; de Prada Rodríguez, M.; Núñez Sanz, M. T</w:t>
      </w:r>
      <w:r w:rsidRPr="00CE63DC">
        <w:rPr>
          <w:rFonts w:cstheme="minorHAnsi"/>
          <w:sz w:val="20"/>
          <w:szCs w:val="20"/>
        </w:rPr>
        <w:t xml:space="preserve">. “El tribunal supremo invierte la carga de la prueba y favorece a los consumidores en los contratos de cajas de seguridad”: </w:t>
      </w:r>
      <w:proofErr w:type="spellStart"/>
      <w:r w:rsidRPr="00CE63DC">
        <w:rPr>
          <w:rFonts w:cstheme="minorHAnsi"/>
          <w:i/>
          <w:sz w:val="20"/>
          <w:szCs w:val="20"/>
        </w:rPr>
        <w:t>CEFLegal</w:t>
      </w:r>
      <w:proofErr w:type="spellEnd"/>
      <w:r w:rsidRPr="00CE63DC">
        <w:rPr>
          <w:rFonts w:cstheme="minorHAnsi"/>
          <w:i/>
          <w:sz w:val="20"/>
          <w:szCs w:val="20"/>
        </w:rPr>
        <w:t>: revista práctica de derecho. Comentarios y casos prácticos</w:t>
      </w:r>
      <w:r w:rsidRPr="00CE63DC">
        <w:rPr>
          <w:rFonts w:cstheme="minorHAnsi"/>
          <w:sz w:val="20"/>
          <w:szCs w:val="20"/>
        </w:rPr>
        <w:t xml:space="preserve">, Nº. 232, 2020, págs. 37-66.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Pérez Hereza,</w:t>
      </w:r>
      <w:r w:rsidRPr="00CE63DC">
        <w:rPr>
          <w:rFonts w:cstheme="minorHAnsi"/>
          <w:sz w:val="20"/>
          <w:szCs w:val="20"/>
        </w:rPr>
        <w:t xml:space="preserve"> J. “¿Puede un contrato de préstamo de larga duración subsistir sin cláusula de vencimiento anticipado cuando esta ha sido declarada nula por abusiva?”: </w:t>
      </w:r>
      <w:r w:rsidRPr="00CE63DC">
        <w:rPr>
          <w:rFonts w:cstheme="minorHAnsi"/>
          <w:i/>
          <w:sz w:val="20"/>
          <w:szCs w:val="20"/>
        </w:rPr>
        <w:t>El notario del siglo XXI: revista del Colegio Notarial de Madrid</w:t>
      </w:r>
      <w:r w:rsidRPr="00CE63DC">
        <w:rPr>
          <w:rFonts w:cstheme="minorHAnsi"/>
          <w:sz w:val="20"/>
          <w:szCs w:val="20"/>
        </w:rPr>
        <w:t>, Nº. 91-92, 2020, págs. 68-73.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Perriaux, E. J</w:t>
      </w:r>
      <w:r w:rsidRPr="00CE63DC">
        <w:rPr>
          <w:rFonts w:cstheme="minorHAnsi"/>
          <w:sz w:val="20"/>
          <w:szCs w:val="20"/>
        </w:rPr>
        <w:t xml:space="preserve">. “El valor de la apariencia en las relaciones de consumo”: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21, Nº. 8, 2019, págs. 61-69.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Picod, N</w:t>
      </w:r>
      <w:r w:rsidRPr="00CE63DC">
        <w:rPr>
          <w:rFonts w:cstheme="minorHAnsi"/>
          <w:sz w:val="20"/>
          <w:szCs w:val="20"/>
        </w:rPr>
        <w:t xml:space="preserve">. “La </w:t>
      </w:r>
      <w:proofErr w:type="spellStart"/>
      <w:r w:rsidRPr="00CE63DC">
        <w:rPr>
          <w:rFonts w:cstheme="minorHAnsi"/>
          <w:sz w:val="20"/>
          <w:szCs w:val="20"/>
        </w:rPr>
        <w:t>directive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Restructuration</w:t>
      </w:r>
      <w:proofErr w:type="spellEnd"/>
      <w:r w:rsidRPr="00CE63DC">
        <w:rPr>
          <w:rFonts w:cstheme="minorHAnsi"/>
          <w:sz w:val="20"/>
          <w:szCs w:val="20"/>
        </w:rPr>
        <w:t xml:space="preserve"> et </w:t>
      </w:r>
      <w:proofErr w:type="spellStart"/>
      <w:r w:rsidRPr="00CE63DC">
        <w:rPr>
          <w:rFonts w:cstheme="minorHAnsi"/>
          <w:sz w:val="20"/>
          <w:szCs w:val="20"/>
        </w:rPr>
        <w:t>insolvabilité</w:t>
      </w:r>
      <w:proofErr w:type="spellEnd"/>
      <w:r w:rsidRPr="00CE63DC">
        <w:rPr>
          <w:rFonts w:cstheme="minorHAnsi"/>
          <w:sz w:val="20"/>
          <w:szCs w:val="20"/>
        </w:rPr>
        <w:t xml:space="preserve"> du 6 </w:t>
      </w:r>
      <w:proofErr w:type="spellStart"/>
      <w:r w:rsidRPr="00CE63DC">
        <w:rPr>
          <w:rFonts w:cstheme="minorHAnsi"/>
          <w:sz w:val="20"/>
          <w:szCs w:val="20"/>
        </w:rPr>
        <w:t>juin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gramStart"/>
      <w:r w:rsidRPr="00CE63DC">
        <w:rPr>
          <w:rFonts w:cstheme="minorHAnsi"/>
          <w:sz w:val="20"/>
          <w:szCs w:val="20"/>
        </w:rPr>
        <w:t>2019 :</w:t>
      </w:r>
      <w:proofErr w:type="gram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tout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changer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pour</w:t>
      </w:r>
      <w:proofErr w:type="spellEnd"/>
      <w:r w:rsidRPr="00CE63DC">
        <w:rPr>
          <w:rFonts w:cstheme="minorHAnsi"/>
          <w:sz w:val="20"/>
          <w:szCs w:val="20"/>
        </w:rPr>
        <w:t xml:space="preserve"> que </w:t>
      </w:r>
      <w:proofErr w:type="spellStart"/>
      <w:r w:rsidRPr="00CE63DC">
        <w:rPr>
          <w:rFonts w:cstheme="minorHAnsi"/>
          <w:sz w:val="20"/>
          <w:szCs w:val="20"/>
        </w:rPr>
        <w:t>rien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ne</w:t>
      </w:r>
      <w:proofErr w:type="spellEnd"/>
      <w:r w:rsidRPr="00CE63DC">
        <w:rPr>
          <w:rFonts w:cstheme="minorHAnsi"/>
          <w:sz w:val="20"/>
          <w:szCs w:val="20"/>
        </w:rPr>
        <w:t xml:space="preserve"> </w:t>
      </w:r>
      <w:proofErr w:type="spellStart"/>
      <w:r w:rsidRPr="00CE63DC">
        <w:rPr>
          <w:rFonts w:cstheme="minorHAnsi"/>
          <w:sz w:val="20"/>
          <w:szCs w:val="20"/>
        </w:rPr>
        <w:t>change</w:t>
      </w:r>
      <w:proofErr w:type="spellEnd"/>
      <w:r w:rsidRPr="00CE63DC">
        <w:rPr>
          <w:rFonts w:cstheme="minorHAnsi"/>
          <w:sz w:val="20"/>
          <w:szCs w:val="20"/>
        </w:rPr>
        <w:t xml:space="preserve">...”: </w:t>
      </w:r>
      <w:proofErr w:type="spellStart"/>
      <w:r w:rsidRPr="00CE63DC">
        <w:rPr>
          <w:rFonts w:cstheme="minorHAnsi"/>
          <w:i/>
          <w:sz w:val="20"/>
          <w:szCs w:val="20"/>
        </w:rPr>
        <w:t>Revue</w:t>
      </w:r>
      <w:proofErr w:type="spellEnd"/>
      <w:r w:rsidRPr="00CE63DC">
        <w:rPr>
          <w:rFonts w:cstheme="minorHAnsi"/>
          <w:i/>
          <w:sz w:val="20"/>
          <w:szCs w:val="20"/>
        </w:rPr>
        <w:t xml:space="preserve"> des affaires </w:t>
      </w:r>
      <w:proofErr w:type="spellStart"/>
      <w:r w:rsidRPr="00CE63DC">
        <w:rPr>
          <w:rFonts w:cstheme="minorHAnsi"/>
          <w:i/>
          <w:sz w:val="20"/>
          <w:szCs w:val="20"/>
        </w:rPr>
        <w:t>europeennes</w:t>
      </w:r>
      <w:proofErr w:type="spellEnd"/>
      <w:r w:rsidRPr="00CE63DC">
        <w:rPr>
          <w:rFonts w:cstheme="minorHAnsi"/>
          <w:sz w:val="20"/>
          <w:szCs w:val="20"/>
        </w:rPr>
        <w:t>, Nº 3, 2019, págs. 585-595.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Piñel López, E.</w:t>
      </w:r>
      <w:r w:rsidRPr="00CE63DC">
        <w:rPr>
          <w:rFonts w:cstheme="minorHAnsi"/>
          <w:sz w:val="20"/>
          <w:szCs w:val="20"/>
        </w:rPr>
        <w:t xml:space="preserve"> “Elaboración y alcance del Texto refundido de la Ley Concursal”: </w:t>
      </w:r>
      <w:r w:rsidRPr="00CE63DC">
        <w:rPr>
          <w:rFonts w:cstheme="minorHAnsi"/>
          <w:i/>
          <w:sz w:val="20"/>
          <w:szCs w:val="20"/>
        </w:rPr>
        <w:t xml:space="preserve">Revista de derecho concursal y </w:t>
      </w:r>
      <w:proofErr w:type="spellStart"/>
      <w:r w:rsidRPr="00CE63DC">
        <w:rPr>
          <w:rFonts w:cstheme="minorHAnsi"/>
          <w:i/>
          <w:sz w:val="20"/>
          <w:szCs w:val="20"/>
        </w:rPr>
        <w:t>paraconcursal</w:t>
      </w:r>
      <w:proofErr w:type="spellEnd"/>
      <w:r w:rsidRPr="00CE63DC">
        <w:rPr>
          <w:rFonts w:cstheme="minorHAnsi"/>
          <w:i/>
          <w:sz w:val="20"/>
          <w:szCs w:val="20"/>
        </w:rPr>
        <w:t>: Anales de doctrina, praxis, jurisprudencia y legislación</w:t>
      </w:r>
      <w:r w:rsidRPr="00CE63DC">
        <w:rPr>
          <w:rFonts w:cstheme="minorHAnsi"/>
          <w:sz w:val="20"/>
          <w:szCs w:val="20"/>
        </w:rPr>
        <w:t>, Nº. 33, 2020, págs. 27-36.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Raluca Stroie,</w:t>
      </w:r>
      <w:r w:rsidRPr="00CE63DC">
        <w:rPr>
          <w:rFonts w:cstheme="minorHAnsi"/>
          <w:sz w:val="20"/>
          <w:szCs w:val="20"/>
        </w:rPr>
        <w:t xml:space="preserve"> I. “La actividad de las agencias inmobiliarias: ¿es legal que cobren comisiones al comprador y al vendedor?”: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Raluca Stroie, I.</w:t>
      </w:r>
      <w:r w:rsidRPr="00CE63DC">
        <w:rPr>
          <w:rFonts w:cstheme="minorHAnsi"/>
          <w:sz w:val="20"/>
          <w:szCs w:val="20"/>
        </w:rPr>
        <w:t xml:space="preserve"> “No se pueden solicitar los datos sobre inmunidad a la COVID-19 por parte de las empresas, pero ¿los candidatos tampoco los pueden facilitar explícitamente?”: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Rodríguez de Almeida, M. G</w:t>
      </w:r>
      <w:r w:rsidRPr="00CE63DC">
        <w:rPr>
          <w:rFonts w:cstheme="minorHAnsi"/>
          <w:sz w:val="20"/>
          <w:szCs w:val="20"/>
        </w:rPr>
        <w:t xml:space="preserve">. “Revisión jurisprudencial del índice IRPH en los préstamos hipotecarios”: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1801-1821.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Ruiz de Lara, M.</w:t>
      </w:r>
      <w:r w:rsidRPr="00CE63DC">
        <w:rPr>
          <w:rFonts w:cstheme="minorHAnsi"/>
          <w:sz w:val="20"/>
          <w:szCs w:val="20"/>
        </w:rPr>
        <w:t xml:space="preserve"> “Comentario sobre Sentencia del TJUE de 16 de julio de 2020, sobre gastos hipoteca y sobre la STJUE de 9 de julio de 2020, sobre acuerdos novatorios”: </w:t>
      </w:r>
      <w:r w:rsidRPr="00CE63DC">
        <w:rPr>
          <w:rFonts w:cstheme="minorHAnsi"/>
          <w:i/>
          <w:sz w:val="20"/>
          <w:szCs w:val="20"/>
        </w:rPr>
        <w:t>Revista Jurídica sobre Consumidores y Usuarios</w:t>
      </w:r>
      <w:r w:rsidRPr="00CE63DC">
        <w:rPr>
          <w:rFonts w:cstheme="minorHAnsi"/>
          <w:sz w:val="20"/>
          <w:szCs w:val="20"/>
        </w:rPr>
        <w:t xml:space="preserve">, Nº. Especial. Análisis de la Sentencia del TJUE de 9 de julio de 2020 sobre acuerdos novatorios de cláusulas abusivas y de la Sentencia del TJUE de 16 de julio de 2020, en relación a los gastos derivados de la hipoteca,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Sáenz de Jubera Higuero</w:t>
      </w:r>
      <w:r w:rsidRPr="00CE63DC">
        <w:rPr>
          <w:rFonts w:cstheme="minorHAnsi"/>
          <w:sz w:val="20"/>
          <w:szCs w:val="20"/>
        </w:rPr>
        <w:t xml:space="preserve">, B. “Cláusula IRPH en préstamos hipotecarios”: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>, Año nº 96, Nº 779, 2020, págs. 1837-1855.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Sáez, R</w:t>
      </w:r>
      <w:r w:rsidRPr="00CE63DC">
        <w:rPr>
          <w:rFonts w:cstheme="minorHAnsi"/>
          <w:sz w:val="20"/>
          <w:szCs w:val="20"/>
        </w:rPr>
        <w:t xml:space="preserve">. “El nuevo marco legal de la distribución de seguros privados: transposición de la IDD al ordenamiento jurídico español”: </w:t>
      </w:r>
      <w:r w:rsidRPr="00CE63DC">
        <w:rPr>
          <w:rFonts w:cstheme="minorHAnsi"/>
          <w:i/>
          <w:sz w:val="20"/>
          <w:szCs w:val="20"/>
        </w:rPr>
        <w:t>Actualidad jurídica Aranzadi</w:t>
      </w:r>
      <w:r w:rsidRPr="00CE63DC">
        <w:rPr>
          <w:rFonts w:cstheme="minorHAnsi"/>
          <w:sz w:val="20"/>
          <w:szCs w:val="20"/>
        </w:rPr>
        <w:t>, Nº 961, 2020, pág. 9.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Sánchez Gamborino</w:t>
      </w:r>
      <w:r w:rsidRPr="00CE63DC">
        <w:rPr>
          <w:rFonts w:cstheme="minorHAnsi"/>
          <w:sz w:val="20"/>
          <w:szCs w:val="20"/>
        </w:rPr>
        <w:t xml:space="preserve">, F. J. “Las cláusulas limitativas de derechos en los seguros de transporte terrestre. El dolo y la culpa”: </w:t>
      </w:r>
      <w:r w:rsidRPr="00CE63DC">
        <w:rPr>
          <w:rFonts w:cstheme="minorHAnsi"/>
          <w:i/>
          <w:sz w:val="20"/>
          <w:szCs w:val="20"/>
        </w:rPr>
        <w:t>Revista española de seguros: Publicación doctrinal de Derecho y Economía de los Seguros privados</w:t>
      </w:r>
      <w:r w:rsidRPr="00CE63DC">
        <w:rPr>
          <w:rFonts w:cstheme="minorHAnsi"/>
          <w:sz w:val="20"/>
          <w:szCs w:val="20"/>
        </w:rPr>
        <w:t xml:space="preserve">, Nº. 181, 2020, págs. 141-151.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Sanchez Garcia, J.</w:t>
      </w:r>
      <w:r w:rsidRPr="00CE63DC">
        <w:rPr>
          <w:rFonts w:cstheme="minorHAnsi"/>
          <w:sz w:val="20"/>
          <w:szCs w:val="20"/>
        </w:rPr>
        <w:t xml:space="preserve"> M. “El interés normal del dinero de los créditos </w:t>
      </w:r>
      <w:proofErr w:type="spellStart"/>
      <w:r w:rsidRPr="00CE63DC">
        <w:rPr>
          <w:rFonts w:cstheme="minorHAnsi"/>
          <w:sz w:val="20"/>
          <w:szCs w:val="20"/>
        </w:rPr>
        <w:t>revolving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r w:rsidRPr="00CE63DC">
        <w:rPr>
          <w:rFonts w:cstheme="minorHAnsi"/>
          <w:i/>
          <w:sz w:val="20"/>
          <w:szCs w:val="20"/>
        </w:rPr>
        <w:t xml:space="preserve">Revista de Derecho </w:t>
      </w:r>
      <w:proofErr w:type="spellStart"/>
      <w:r w:rsidRPr="00CE63DC">
        <w:rPr>
          <w:rFonts w:cstheme="minorHAnsi"/>
          <w:i/>
          <w:sz w:val="20"/>
          <w:szCs w:val="20"/>
        </w:rPr>
        <w:t>vLex</w:t>
      </w:r>
      <w:proofErr w:type="spellEnd"/>
      <w:r w:rsidRPr="00CE63DC">
        <w:rPr>
          <w:rFonts w:cstheme="minorHAnsi"/>
          <w:sz w:val="20"/>
          <w:szCs w:val="20"/>
        </w:rPr>
        <w:t>, Nº. 196, Septiembre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Sánchez García, J. M.; Vallejo Ros, C.</w:t>
      </w:r>
      <w:r w:rsidRPr="00CE63DC">
        <w:rPr>
          <w:rFonts w:cstheme="minorHAnsi"/>
          <w:sz w:val="20"/>
          <w:szCs w:val="20"/>
        </w:rPr>
        <w:t xml:space="preserve"> “La Sentencia del TJUE de 16 de julio de 2020 y la prescripción de la acción de restitución de una cláusula contractual declarada abusiva”: </w:t>
      </w:r>
      <w:r w:rsidRPr="00CE63DC">
        <w:rPr>
          <w:rFonts w:cstheme="minorHAnsi"/>
          <w:i/>
          <w:sz w:val="20"/>
          <w:szCs w:val="20"/>
        </w:rPr>
        <w:t>Revista Jurídica sobre Consumidores y Usuarios</w:t>
      </w:r>
      <w:r w:rsidRPr="00CE63DC">
        <w:rPr>
          <w:rFonts w:cstheme="minorHAnsi"/>
          <w:sz w:val="20"/>
          <w:szCs w:val="20"/>
        </w:rPr>
        <w:t xml:space="preserve">, Nº. Especial. Análisis de la Sentencia del TJUE de 9 de julio de 2020 sobre acuerdos novatorios de cláusulas abusivas y de la Sentencia del TJUE de 16 de julio de 2020, en relación a los gastos derivados de la hipoteca,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Sánchez Jordán</w:t>
      </w:r>
      <w:r w:rsidRPr="00CE63DC">
        <w:rPr>
          <w:rFonts w:cstheme="minorHAnsi"/>
          <w:sz w:val="20"/>
          <w:szCs w:val="20"/>
        </w:rPr>
        <w:t xml:space="preserve">, M. E. “La transmisión de la propiedad del bien hipotecado al acreedor con efectos extintivos de la obligación. Reflexiones a propósito de la Ley de contratos de crédito inmobiliario”: </w:t>
      </w:r>
      <w:r w:rsidRPr="00CE63DC">
        <w:rPr>
          <w:rFonts w:cstheme="minorHAnsi"/>
          <w:i/>
          <w:sz w:val="20"/>
          <w:szCs w:val="20"/>
        </w:rPr>
        <w:t>Revista de Derecho Civil</w:t>
      </w:r>
      <w:r w:rsidRPr="00CE63DC">
        <w:rPr>
          <w:rFonts w:cstheme="minorHAnsi"/>
          <w:sz w:val="20"/>
          <w:szCs w:val="20"/>
        </w:rPr>
        <w:t xml:space="preserve">, Vol. 7, Nº. 3 (Abril-Junio), 2020, págs. 35-69.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Sánchez Lería</w:t>
      </w:r>
      <w:r w:rsidRPr="00CE63DC">
        <w:rPr>
          <w:rFonts w:cstheme="minorHAnsi"/>
          <w:sz w:val="20"/>
          <w:szCs w:val="20"/>
        </w:rPr>
        <w:t xml:space="preserve">, R. “Plataformas de alojamiento y contenidos ilícitos en Internet. Reflexiones a propósito de la nueva Directiva 2019/790 sobre derechos de autor en el mercado digital”: </w:t>
      </w:r>
      <w:r w:rsidRPr="00CE63DC">
        <w:rPr>
          <w:rFonts w:cstheme="minorHAnsi"/>
          <w:i/>
          <w:sz w:val="20"/>
          <w:szCs w:val="20"/>
        </w:rPr>
        <w:t>Revista de Derecho Civil</w:t>
      </w:r>
      <w:r w:rsidRPr="00CE63DC">
        <w:rPr>
          <w:rFonts w:cstheme="minorHAnsi"/>
          <w:sz w:val="20"/>
          <w:szCs w:val="20"/>
        </w:rPr>
        <w:t xml:space="preserve">, Vol. 7, Nº. 3 (Abril-Junio), 2020, págs. 163-198.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Santodomingo González, A. L</w:t>
      </w:r>
      <w:r w:rsidRPr="00CE63DC">
        <w:rPr>
          <w:rFonts w:cstheme="minorHAnsi"/>
          <w:sz w:val="20"/>
          <w:szCs w:val="20"/>
        </w:rPr>
        <w:t xml:space="preserve">. “Los créditos públicos en el proceso concursal tras la sentencia del Tribunal Supremo 381/2019”: </w:t>
      </w:r>
      <w:r w:rsidRPr="00CE63DC">
        <w:rPr>
          <w:rFonts w:cstheme="minorHAnsi"/>
          <w:i/>
          <w:sz w:val="20"/>
          <w:szCs w:val="20"/>
        </w:rPr>
        <w:t>Actualidad administrativa</w:t>
      </w:r>
      <w:r w:rsidRPr="00CE63DC">
        <w:rPr>
          <w:rFonts w:cstheme="minorHAnsi"/>
          <w:sz w:val="20"/>
          <w:szCs w:val="20"/>
        </w:rPr>
        <w:t>, Nº 9, 2020.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Sendra Albiñana,</w:t>
      </w:r>
      <w:r w:rsidRPr="00CE63DC">
        <w:rPr>
          <w:rFonts w:cstheme="minorHAnsi"/>
          <w:sz w:val="20"/>
          <w:szCs w:val="20"/>
        </w:rPr>
        <w:t xml:space="preserve"> A. “Novación y </w:t>
      </w:r>
      <w:proofErr w:type="spellStart"/>
      <w:r w:rsidRPr="00CE63DC">
        <w:rPr>
          <w:rFonts w:cstheme="minorHAnsi"/>
          <w:sz w:val="20"/>
          <w:szCs w:val="20"/>
        </w:rPr>
        <w:t>abusividad</w:t>
      </w:r>
      <w:proofErr w:type="spellEnd"/>
      <w:r w:rsidRPr="00CE63DC">
        <w:rPr>
          <w:rFonts w:cstheme="minorHAnsi"/>
          <w:sz w:val="20"/>
          <w:szCs w:val="20"/>
        </w:rPr>
        <w:t xml:space="preserve"> de cláusulas. Comentario a la STJUE de 9 de julio de 2020; caso XZ vs IBERCAJA BANCO, S.A.”: </w:t>
      </w:r>
      <w:r w:rsidRPr="00CE63DC">
        <w:rPr>
          <w:rFonts w:cstheme="minorHAnsi"/>
          <w:i/>
          <w:sz w:val="20"/>
          <w:szCs w:val="20"/>
        </w:rPr>
        <w:t>Revista Jurídica sobre Consumidores y Usuarios</w:t>
      </w:r>
      <w:r w:rsidRPr="00CE63DC">
        <w:rPr>
          <w:rFonts w:cstheme="minorHAnsi"/>
          <w:sz w:val="20"/>
          <w:szCs w:val="20"/>
        </w:rPr>
        <w:t xml:space="preserve">, Nº. Especial. Análisis de la Sentencia del TJUE de 9 de julio de 2020 sobre acuerdos novatorios de cláusulas abusivas y de la Sentencia del TJUE de 16 de julio de 2020, en relación a los gastos derivados de la hipoteca,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Silva Coutinho, K. A.; Veggi Moreira, R.; Boechat Cabral, H. L. T</w:t>
      </w:r>
      <w:r w:rsidRPr="00CE63DC">
        <w:rPr>
          <w:rFonts w:cstheme="minorHAnsi"/>
          <w:sz w:val="20"/>
          <w:szCs w:val="20"/>
        </w:rPr>
        <w:t xml:space="preserve">. “El derecho al olvido y la protección de la intimidad en el entorno virtual”: </w:t>
      </w:r>
      <w:r w:rsidRPr="00CE63DC">
        <w:rPr>
          <w:rFonts w:cstheme="minorHAnsi"/>
          <w:i/>
          <w:sz w:val="20"/>
          <w:szCs w:val="20"/>
        </w:rPr>
        <w:t>Derecho y Cambio Social</w:t>
      </w:r>
      <w:r w:rsidRPr="00CE63DC">
        <w:rPr>
          <w:rFonts w:cstheme="minorHAnsi"/>
          <w:sz w:val="20"/>
          <w:szCs w:val="20"/>
        </w:rPr>
        <w:t xml:space="preserve">, Nº. 61, 2020, págs. 141-163.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Simón Marco</w:t>
      </w:r>
      <w:r w:rsidRPr="00CE63DC">
        <w:rPr>
          <w:rFonts w:cstheme="minorHAnsi"/>
          <w:sz w:val="20"/>
          <w:szCs w:val="20"/>
        </w:rPr>
        <w:t xml:space="preserve">, J. “Evolución del derecho a la protección de datos y disrupción tecnológica: ¿Estamos vallando el campo?”: </w:t>
      </w:r>
      <w:proofErr w:type="spellStart"/>
      <w:r w:rsidRPr="00CE63DC">
        <w:rPr>
          <w:rFonts w:cstheme="minorHAnsi"/>
          <w:i/>
          <w:sz w:val="20"/>
          <w:szCs w:val="20"/>
        </w:rPr>
        <w:t>CEFLegal</w:t>
      </w:r>
      <w:proofErr w:type="spellEnd"/>
      <w:r w:rsidRPr="00CE63DC">
        <w:rPr>
          <w:rFonts w:cstheme="minorHAnsi"/>
          <w:i/>
          <w:sz w:val="20"/>
          <w:szCs w:val="20"/>
        </w:rPr>
        <w:t>: revista práctica de derecho. Comentarios y casos prácticos</w:t>
      </w:r>
      <w:r w:rsidRPr="00CE63DC">
        <w:rPr>
          <w:rFonts w:cstheme="minorHAnsi"/>
          <w:sz w:val="20"/>
          <w:szCs w:val="20"/>
        </w:rPr>
        <w:t>, Nº. 233, 2020, págs. 89-120.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Trebucq, F. J</w:t>
      </w:r>
      <w:r w:rsidRPr="00CE63DC">
        <w:rPr>
          <w:rFonts w:cstheme="minorHAnsi"/>
          <w:sz w:val="20"/>
          <w:szCs w:val="20"/>
        </w:rPr>
        <w:t xml:space="preserve">. “Imprevisión: la onerosidad como alteración de valor o costo de la prestación”: </w:t>
      </w:r>
      <w:r w:rsidRPr="00CE63DC">
        <w:rPr>
          <w:rFonts w:cstheme="minorHAnsi"/>
          <w:i/>
          <w:sz w:val="20"/>
          <w:szCs w:val="20"/>
        </w:rPr>
        <w:t>Revista de responsabilidad civil y seguros: publicación mensual de doctrina, jurisprudencia y legislación</w:t>
      </w:r>
      <w:r w:rsidRPr="00CE63DC">
        <w:rPr>
          <w:rFonts w:cstheme="minorHAnsi"/>
          <w:sz w:val="20"/>
          <w:szCs w:val="20"/>
        </w:rPr>
        <w:t>, Año 22, Nº. 7, 2020, págs. 3-27.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Trujillo Villamor, E</w:t>
      </w:r>
      <w:r w:rsidRPr="00CE63DC">
        <w:rPr>
          <w:rFonts w:cstheme="minorHAnsi"/>
          <w:sz w:val="20"/>
          <w:szCs w:val="20"/>
        </w:rPr>
        <w:t xml:space="preserve">.  “Consulta sobre la condicionalidad de la garantía. Garantía legal y garantía comercial”: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lastRenderedPageBreak/>
        <w:t>Trujillo Villamor, E</w:t>
      </w:r>
      <w:r w:rsidRPr="00CE63DC">
        <w:rPr>
          <w:rFonts w:cstheme="minorHAnsi"/>
          <w:sz w:val="20"/>
          <w:szCs w:val="20"/>
        </w:rPr>
        <w:t xml:space="preserve">. “La Orden ETD/699/2020 refuerza y amplía la información que tiene derecho a recibir el cliente en los créditos </w:t>
      </w:r>
      <w:proofErr w:type="spellStart"/>
      <w:r w:rsidRPr="00CE63DC">
        <w:rPr>
          <w:rFonts w:cstheme="minorHAnsi"/>
          <w:sz w:val="20"/>
          <w:szCs w:val="20"/>
        </w:rPr>
        <w:t>revolving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Septiembre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Trujillo Villamor, T.</w:t>
      </w:r>
      <w:r w:rsidRPr="00CE63DC">
        <w:rPr>
          <w:rFonts w:cstheme="minorHAnsi"/>
          <w:sz w:val="20"/>
          <w:szCs w:val="20"/>
        </w:rPr>
        <w:t xml:space="preserve"> “Las hipotecas tranquilidad seguirán comercializándose según la Audiencia Provincial de Madrid”: </w:t>
      </w:r>
      <w:r w:rsidRPr="00CE63DC">
        <w:rPr>
          <w:rFonts w:cstheme="minorHAnsi"/>
          <w:i/>
          <w:sz w:val="20"/>
          <w:szCs w:val="20"/>
        </w:rPr>
        <w:t>Publicaciones jurídicas. Centro de Estudios de Consumo</w:t>
      </w:r>
      <w:r w:rsidRPr="00CE63DC">
        <w:rPr>
          <w:rFonts w:cstheme="minorHAnsi"/>
          <w:sz w:val="20"/>
          <w:szCs w:val="20"/>
        </w:rPr>
        <w:t xml:space="preserve">, Julio 2020.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Vela Torres, P. J</w:t>
      </w:r>
      <w:r w:rsidRPr="00CE63DC">
        <w:rPr>
          <w:rFonts w:cstheme="minorHAnsi"/>
          <w:sz w:val="20"/>
          <w:szCs w:val="20"/>
        </w:rPr>
        <w:t xml:space="preserve">. “Configuración jurisprudencial de los controles de incorporación, transparencia y </w:t>
      </w:r>
      <w:proofErr w:type="spellStart"/>
      <w:r w:rsidRPr="00CE63DC">
        <w:rPr>
          <w:rFonts w:cstheme="minorHAnsi"/>
          <w:sz w:val="20"/>
          <w:szCs w:val="20"/>
        </w:rPr>
        <w:t>abusividad</w:t>
      </w:r>
      <w:proofErr w:type="spellEnd"/>
      <w:r w:rsidRPr="00CE63DC">
        <w:rPr>
          <w:rFonts w:cstheme="minorHAnsi"/>
          <w:sz w:val="20"/>
          <w:szCs w:val="20"/>
        </w:rPr>
        <w:t xml:space="preserve">”: </w:t>
      </w:r>
      <w:r w:rsidRPr="00CE63DC">
        <w:rPr>
          <w:rFonts w:cstheme="minorHAnsi"/>
          <w:i/>
          <w:sz w:val="20"/>
          <w:szCs w:val="20"/>
        </w:rPr>
        <w:t>Responsabilidad civil, seguro y trafico: cuaderno jurídico</w:t>
      </w:r>
      <w:r w:rsidRPr="00CE63DC">
        <w:rPr>
          <w:rFonts w:cstheme="minorHAnsi"/>
          <w:sz w:val="20"/>
          <w:szCs w:val="20"/>
        </w:rPr>
        <w:t>, Nº. 71, 2020, págs. 14-23.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Villanueva Lupión</w:t>
      </w:r>
      <w:r w:rsidRPr="00CE63DC">
        <w:rPr>
          <w:rFonts w:cstheme="minorHAnsi"/>
          <w:sz w:val="20"/>
          <w:szCs w:val="20"/>
        </w:rPr>
        <w:t xml:space="preserve">, C. “Asesoramiento profesional en la Ley de contratos de crédito inmobiliario y su desarrollo normativo. Consideraciones críticas”: </w:t>
      </w:r>
      <w:r w:rsidRPr="00CE63DC">
        <w:rPr>
          <w:rFonts w:cstheme="minorHAnsi"/>
          <w:i/>
          <w:sz w:val="20"/>
          <w:szCs w:val="20"/>
        </w:rPr>
        <w:t>Revista de Derecho Civil</w:t>
      </w:r>
      <w:r w:rsidRPr="00CE63DC">
        <w:rPr>
          <w:rFonts w:cstheme="minorHAnsi"/>
          <w:sz w:val="20"/>
          <w:szCs w:val="20"/>
        </w:rPr>
        <w:t xml:space="preserve">, Vol. 7, Nº. 3 (Abril-Junio), 2020, págs. 71-121. </w:t>
      </w:r>
    </w:p>
    <w:p w:rsidR="00CE63DC" w:rsidRPr="00CE63DC" w:rsidRDefault="00CE63DC" w:rsidP="00CE63DC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numPr>
          <w:ilvl w:val="0"/>
          <w:numId w:val="3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CE63DC">
        <w:rPr>
          <w:rFonts w:cstheme="minorHAnsi"/>
          <w:caps/>
          <w:sz w:val="20"/>
          <w:szCs w:val="20"/>
        </w:rPr>
        <w:t>Vivas Tesón,</w:t>
      </w:r>
      <w:r w:rsidRPr="00CE63DC">
        <w:rPr>
          <w:rFonts w:cstheme="minorHAnsi"/>
          <w:sz w:val="20"/>
          <w:szCs w:val="20"/>
        </w:rPr>
        <w:t xml:space="preserve"> I.  “El resarcimiento de daños morales por cláusulas abusivas en contratos bancarios con consumidores: presente y ¿futuro?”: </w:t>
      </w:r>
      <w:r w:rsidRPr="00CE63DC">
        <w:rPr>
          <w:rFonts w:cstheme="minorHAnsi"/>
          <w:i/>
          <w:sz w:val="20"/>
          <w:szCs w:val="20"/>
        </w:rPr>
        <w:t>Revista Crítica de Derecho Inmobiliario</w:t>
      </w:r>
      <w:r w:rsidRPr="00CE63DC">
        <w:rPr>
          <w:rFonts w:cstheme="minorHAnsi"/>
          <w:sz w:val="20"/>
          <w:szCs w:val="20"/>
        </w:rPr>
        <w:t xml:space="preserve">, Nº. 780, Julio 2020, págs. 2410-2429. </w:t>
      </w: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CE63DC">
      <w:pPr>
        <w:rPr>
          <w:rFonts w:cstheme="minorHAnsi"/>
          <w:sz w:val="20"/>
          <w:szCs w:val="20"/>
        </w:rPr>
      </w:pPr>
    </w:p>
    <w:p w:rsidR="00CE63DC" w:rsidRPr="00CE63DC" w:rsidRDefault="00CE63DC" w:rsidP="00CE63DC">
      <w:pPr>
        <w:rPr>
          <w:rFonts w:cstheme="minorHAnsi"/>
          <w:sz w:val="20"/>
          <w:szCs w:val="20"/>
        </w:rPr>
      </w:pPr>
    </w:p>
    <w:p w:rsidR="00CE63DC" w:rsidRDefault="00CE63DC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1E3" w:rsidRDefault="008251E3" w:rsidP="000562B1">
      <w:pPr>
        <w:spacing w:after="0" w:line="240" w:lineRule="auto"/>
      </w:pPr>
      <w:r>
        <w:separator/>
      </w:r>
    </w:p>
  </w:endnote>
  <w:endnote w:type="continuationSeparator" w:id="0">
    <w:p w:rsidR="008251E3" w:rsidRDefault="008251E3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FA6DED">
          <w:rPr>
            <w:rFonts w:cstheme="minorHAnsi"/>
            <w:noProof/>
          </w:rPr>
          <w:t>10</w:t>
        </w:r>
        <w:r w:rsidRPr="000562B1">
          <w:rPr>
            <w:rFonts w:cstheme="minorHAnsi"/>
          </w:rPr>
          <w:fldChar w:fldCharType="end"/>
        </w:r>
      </w:p>
    </w:sdtContent>
  </w:sdt>
  <w:p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1E3" w:rsidRDefault="008251E3" w:rsidP="000562B1">
      <w:pPr>
        <w:spacing w:after="0" w:line="240" w:lineRule="auto"/>
      </w:pPr>
      <w:r>
        <w:separator/>
      </w:r>
    </w:p>
  </w:footnote>
  <w:footnote w:type="continuationSeparator" w:id="0">
    <w:p w:rsidR="008251E3" w:rsidRDefault="008251E3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562B1"/>
    <w:rsid w:val="0012310A"/>
    <w:rsid w:val="001342BF"/>
    <w:rsid w:val="0017035A"/>
    <w:rsid w:val="00181687"/>
    <w:rsid w:val="001B39D6"/>
    <w:rsid w:val="001E467C"/>
    <w:rsid w:val="00226C2F"/>
    <w:rsid w:val="00326C94"/>
    <w:rsid w:val="003662F8"/>
    <w:rsid w:val="003C7E66"/>
    <w:rsid w:val="003E66AA"/>
    <w:rsid w:val="003F49BB"/>
    <w:rsid w:val="003F4BCA"/>
    <w:rsid w:val="00410FE1"/>
    <w:rsid w:val="004158D3"/>
    <w:rsid w:val="00474518"/>
    <w:rsid w:val="004D794A"/>
    <w:rsid w:val="0051297C"/>
    <w:rsid w:val="005527B0"/>
    <w:rsid w:val="005B7019"/>
    <w:rsid w:val="005E340F"/>
    <w:rsid w:val="005F0DEC"/>
    <w:rsid w:val="005F1DFB"/>
    <w:rsid w:val="005F3752"/>
    <w:rsid w:val="00656A1A"/>
    <w:rsid w:val="006B172C"/>
    <w:rsid w:val="007C2FE3"/>
    <w:rsid w:val="008251E3"/>
    <w:rsid w:val="00827C04"/>
    <w:rsid w:val="00846866"/>
    <w:rsid w:val="008D6849"/>
    <w:rsid w:val="00916F83"/>
    <w:rsid w:val="00923CBC"/>
    <w:rsid w:val="009432D4"/>
    <w:rsid w:val="00952BF5"/>
    <w:rsid w:val="009E7932"/>
    <w:rsid w:val="00A00862"/>
    <w:rsid w:val="00A178D6"/>
    <w:rsid w:val="00A21DDE"/>
    <w:rsid w:val="00A535EC"/>
    <w:rsid w:val="00A95CE0"/>
    <w:rsid w:val="00B03532"/>
    <w:rsid w:val="00B065EF"/>
    <w:rsid w:val="00B42623"/>
    <w:rsid w:val="00B917BF"/>
    <w:rsid w:val="00BE3615"/>
    <w:rsid w:val="00C45C39"/>
    <w:rsid w:val="00C660D0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618E3"/>
    <w:rsid w:val="00E86324"/>
    <w:rsid w:val="00EE05FD"/>
    <w:rsid w:val="00FA6DED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FA3E7-2B08-43A8-B0F1-AF27A3897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4249</Words>
  <Characters>23370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13</cp:revision>
  <cp:lastPrinted>2020-10-10T10:02:00Z</cp:lastPrinted>
  <dcterms:created xsi:type="dcterms:W3CDTF">2020-10-10T09:56:00Z</dcterms:created>
  <dcterms:modified xsi:type="dcterms:W3CDTF">2020-10-10T10:03:00Z</dcterms:modified>
</cp:coreProperties>
</file>