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D5E329" w14:textId="77777777" w:rsidR="00656A1A" w:rsidRDefault="00DA30E6" w:rsidP="00656A1A">
      <w:pPr>
        <w:spacing w:beforeLines="100" w:before="240" w:afterLines="100" w:after="240"/>
        <w:jc w:val="center"/>
        <w:rPr>
          <w:noProof/>
          <w:lang w:eastAsia="es-ES"/>
        </w:rPr>
      </w:pPr>
      <w:r>
        <w:rPr>
          <w:noProof/>
          <w:lang w:eastAsia="es-ES"/>
        </w:rPr>
        <w:drawing>
          <wp:anchor distT="0" distB="0" distL="114300" distR="114300" simplePos="0" relativeHeight="251666432" behindDoc="1" locked="0" layoutInCell="1" allowOverlap="1" wp14:anchorId="471A90E6" wp14:editId="6135A164">
            <wp:simplePos x="0" y="0"/>
            <wp:positionH relativeFrom="column">
              <wp:posOffset>-1080135</wp:posOffset>
            </wp:positionH>
            <wp:positionV relativeFrom="paragraph">
              <wp:posOffset>-899795</wp:posOffset>
            </wp:positionV>
            <wp:extent cx="7560860" cy="10708052"/>
            <wp:effectExtent l="0" t="0" r="2540" b="0"/>
            <wp:wrapNone/>
            <wp:docPr id="2" name="Imagen 2" descr="C:\Users\Jesus\Downloads\Red and Grayscale Corporate Company Annual Repor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us\Downloads\Red and Grayscale Corporate Company Annual Report (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7988" cy="107181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86F4B" w14:textId="77777777" w:rsidR="00D37249" w:rsidRDefault="00D37249" w:rsidP="00656A1A">
      <w:pPr>
        <w:spacing w:beforeLines="100" w:before="240" w:afterLines="100" w:after="240"/>
        <w:jc w:val="center"/>
        <w:rPr>
          <w:noProof/>
          <w:lang w:eastAsia="es-ES"/>
        </w:rPr>
      </w:pPr>
    </w:p>
    <w:p w14:paraId="5E524A17" w14:textId="77777777" w:rsidR="00D37249" w:rsidRDefault="00D37249" w:rsidP="00656A1A">
      <w:pPr>
        <w:spacing w:beforeLines="100" w:before="240" w:afterLines="100" w:after="240"/>
        <w:jc w:val="center"/>
        <w:rPr>
          <w:noProof/>
          <w:lang w:eastAsia="es-ES"/>
        </w:rPr>
      </w:pPr>
    </w:p>
    <w:p w14:paraId="15F136E4" w14:textId="77777777" w:rsidR="00D37249" w:rsidRDefault="00D37249" w:rsidP="00656A1A">
      <w:pPr>
        <w:spacing w:beforeLines="100" w:before="240" w:afterLines="100" w:after="240"/>
        <w:jc w:val="center"/>
        <w:rPr>
          <w:noProof/>
          <w:lang w:eastAsia="es-ES"/>
        </w:rPr>
      </w:pPr>
    </w:p>
    <w:p w14:paraId="61D376D5" w14:textId="77777777" w:rsidR="00D37249" w:rsidRDefault="00D37249" w:rsidP="00656A1A">
      <w:pPr>
        <w:spacing w:beforeLines="100" w:before="240" w:afterLines="100" w:after="240"/>
        <w:jc w:val="center"/>
        <w:rPr>
          <w:noProof/>
          <w:lang w:eastAsia="es-ES"/>
        </w:rPr>
      </w:pPr>
    </w:p>
    <w:p w14:paraId="0882B774" w14:textId="77777777" w:rsidR="00D37249" w:rsidRDefault="00D37249" w:rsidP="00656A1A">
      <w:pPr>
        <w:spacing w:beforeLines="100" w:before="240" w:afterLines="100" w:after="240"/>
        <w:jc w:val="center"/>
        <w:rPr>
          <w:noProof/>
          <w:lang w:eastAsia="es-ES"/>
        </w:rPr>
      </w:pPr>
    </w:p>
    <w:p w14:paraId="19C48A1A" w14:textId="77777777" w:rsidR="00D37249" w:rsidRDefault="00D37249" w:rsidP="00656A1A">
      <w:pPr>
        <w:spacing w:beforeLines="100" w:before="240" w:afterLines="100" w:after="240"/>
        <w:jc w:val="center"/>
        <w:rPr>
          <w:noProof/>
          <w:lang w:eastAsia="es-ES"/>
        </w:rPr>
      </w:pPr>
    </w:p>
    <w:p w14:paraId="23F2BA53" w14:textId="77777777" w:rsidR="00D37249" w:rsidRDefault="00D37249" w:rsidP="00656A1A">
      <w:pPr>
        <w:spacing w:beforeLines="100" w:before="240" w:afterLines="100" w:after="240"/>
        <w:jc w:val="center"/>
        <w:rPr>
          <w:noProof/>
          <w:lang w:eastAsia="es-ES"/>
        </w:rPr>
      </w:pPr>
    </w:p>
    <w:p w14:paraId="31E2C271" w14:textId="77777777" w:rsidR="00D37249" w:rsidRDefault="00D37249"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59264" behindDoc="0" locked="0" layoutInCell="1" allowOverlap="1" wp14:anchorId="617D715D" wp14:editId="2472D62D">
                <wp:simplePos x="0" y="0"/>
                <wp:positionH relativeFrom="column">
                  <wp:posOffset>-697998</wp:posOffset>
                </wp:positionH>
                <wp:positionV relativeFrom="paragraph">
                  <wp:posOffset>76427</wp:posOffset>
                </wp:positionV>
                <wp:extent cx="6236970" cy="5117911"/>
                <wp:effectExtent l="0" t="0" r="0" b="6985"/>
                <wp:wrapNone/>
                <wp:docPr id="4" name="4 Cuadro de texto"/>
                <wp:cNvGraphicFramePr/>
                <a:graphic xmlns:a="http://schemas.openxmlformats.org/drawingml/2006/main">
                  <a:graphicData uri="http://schemas.microsoft.com/office/word/2010/wordprocessingShape">
                    <wps:wsp>
                      <wps:cNvSpPr txBox="1"/>
                      <wps:spPr>
                        <a:xfrm>
                          <a:off x="0" y="0"/>
                          <a:ext cx="6236970" cy="51179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36CF4" w14:textId="77777777" w:rsidR="00827C04" w:rsidRDefault="00B40032">
                            <w:pPr>
                              <w:rPr>
                                <w:rFonts w:ascii="Segoe UI" w:hAnsi="Segoe UI" w:cs="Segoe UI"/>
                                <w:b/>
                                <w:color w:val="FFFFFF" w:themeColor="background1"/>
                                <w:sz w:val="36"/>
                                <w:szCs w:val="36"/>
                              </w:rPr>
                            </w:pPr>
                            <w:r>
                              <w:rPr>
                                <w:rFonts w:ascii="Segoe UI" w:hAnsi="Segoe UI" w:cs="Segoe UI"/>
                                <w:b/>
                                <w:color w:val="FFFFFF" w:themeColor="background1"/>
                                <w:sz w:val="36"/>
                                <w:szCs w:val="36"/>
                              </w:rPr>
                              <w:t>Octubre-Diciembre</w:t>
                            </w:r>
                            <w:r w:rsidR="00827C04" w:rsidRPr="00D37249">
                              <w:rPr>
                                <w:rFonts w:ascii="Segoe UI" w:hAnsi="Segoe UI" w:cs="Segoe UI"/>
                                <w:b/>
                                <w:color w:val="FFFFFF" w:themeColor="background1"/>
                                <w:sz w:val="36"/>
                                <w:szCs w:val="36"/>
                              </w:rPr>
                              <w:t xml:space="preserve"> 2020</w:t>
                            </w:r>
                          </w:p>
                          <w:p w14:paraId="2EB7BD8F" w14:textId="77777777" w:rsidR="00827C04" w:rsidRPr="00D37249" w:rsidRDefault="00827C04">
                            <w:pPr>
                              <w:rPr>
                                <w:rFonts w:ascii="Segoe UI" w:hAnsi="Segoe UI" w:cs="Segoe UI"/>
                                <w:b/>
                                <w:color w:val="FFFFFF" w:themeColor="background1"/>
                                <w:sz w:val="36"/>
                                <w:szCs w:val="36"/>
                              </w:rPr>
                            </w:pPr>
                          </w:p>
                          <w:p w14:paraId="59EFE686" w14:textId="77777777" w:rsidR="00827C04" w:rsidRPr="00D37249" w:rsidRDefault="00827C04" w:rsidP="005F1DFB">
                            <w:pPr>
                              <w:spacing w:after="0" w:line="240" w:lineRule="auto"/>
                              <w:rPr>
                                <w:rFonts w:ascii="Segoe UI" w:hAnsi="Segoe UI" w:cs="Segoe UI"/>
                                <w:b/>
                                <w:color w:val="FFFFFF" w:themeColor="background1"/>
                                <w:sz w:val="96"/>
                                <w:szCs w:val="96"/>
                              </w:rPr>
                            </w:pPr>
                            <w:r w:rsidRPr="00D37249">
                              <w:rPr>
                                <w:rFonts w:ascii="Segoe UI" w:hAnsi="Segoe UI" w:cs="Segoe UI"/>
                                <w:b/>
                                <w:color w:val="FFFFFF" w:themeColor="background1"/>
                                <w:sz w:val="96"/>
                                <w:szCs w:val="96"/>
                              </w:rPr>
                              <w:t>INFORME</w:t>
                            </w:r>
                          </w:p>
                          <w:p w14:paraId="636B78C5" w14:textId="77777777" w:rsidR="00827C04" w:rsidRPr="005F1DFB" w:rsidRDefault="00827C04" w:rsidP="005F1DFB">
                            <w:pPr>
                              <w:spacing w:after="0" w:line="240" w:lineRule="auto"/>
                              <w:rPr>
                                <w:rFonts w:ascii="Segoe UI" w:hAnsi="Segoe UI" w:cs="Segoe UI"/>
                                <w:b/>
                                <w:sz w:val="36"/>
                                <w:szCs w:val="36"/>
                              </w:rPr>
                            </w:pPr>
                            <w:r>
                              <w:rPr>
                                <w:rFonts w:ascii="Segoe UI" w:hAnsi="Segoe UI" w:cs="Segoe UI"/>
                                <w:b/>
                                <w:sz w:val="36"/>
                                <w:szCs w:val="36"/>
                              </w:rPr>
                              <w:t>DERECHO Y CONSUMO (BIBLIOGRAFÍ</w:t>
                            </w:r>
                            <w:r w:rsidRPr="005F1DFB">
                              <w:rPr>
                                <w:rFonts w:ascii="Segoe UI" w:hAnsi="Segoe UI" w:cs="Segoe UI"/>
                                <w:b/>
                                <w:sz w:val="36"/>
                                <w:szCs w:val="36"/>
                              </w:rPr>
                              <w:t>A)</w:t>
                            </w:r>
                          </w:p>
                          <w:p w14:paraId="2D051275" w14:textId="77777777" w:rsidR="00827C04" w:rsidRDefault="00827C04" w:rsidP="005F1DFB">
                            <w:pPr>
                              <w:spacing w:after="0" w:line="240" w:lineRule="auto"/>
                              <w:rPr>
                                <w:rFonts w:ascii="Segoe UI" w:hAnsi="Segoe UI" w:cs="Segoe UI"/>
                                <w:b/>
                                <w:color w:val="FFFFFF" w:themeColor="background1"/>
                                <w:sz w:val="36"/>
                                <w:szCs w:val="36"/>
                              </w:rPr>
                            </w:pPr>
                          </w:p>
                          <w:p w14:paraId="36A1D3C4" w14:textId="77777777" w:rsidR="00827C04" w:rsidRDefault="00827C04" w:rsidP="005F1DFB">
                            <w:pPr>
                              <w:spacing w:after="0" w:line="240" w:lineRule="auto"/>
                              <w:rPr>
                                <w:rFonts w:ascii="Segoe UI" w:hAnsi="Segoe UI" w:cs="Segoe UI"/>
                                <w:b/>
                                <w:color w:val="FFFFFF" w:themeColor="background1"/>
                                <w:sz w:val="36"/>
                                <w:szCs w:val="36"/>
                              </w:rPr>
                            </w:pPr>
                          </w:p>
                          <w:p w14:paraId="7945E80E" w14:textId="77777777" w:rsidR="00827C04" w:rsidRDefault="00827C04" w:rsidP="005F1DFB">
                            <w:pPr>
                              <w:spacing w:after="0" w:line="240" w:lineRule="auto"/>
                              <w:rPr>
                                <w:rFonts w:ascii="Segoe UI" w:hAnsi="Segoe UI" w:cs="Segoe UI"/>
                                <w:b/>
                                <w:color w:val="FFFFFF" w:themeColor="background1"/>
                              </w:rPr>
                            </w:pPr>
                          </w:p>
                          <w:p w14:paraId="09E469D5" w14:textId="77777777" w:rsidR="00827C04" w:rsidRDefault="00827C04" w:rsidP="005F1DFB">
                            <w:pPr>
                              <w:spacing w:after="0" w:line="240" w:lineRule="auto"/>
                              <w:rPr>
                                <w:rFonts w:ascii="Segoe UI" w:hAnsi="Segoe UI" w:cs="Segoe UI"/>
                                <w:b/>
                                <w:color w:val="FFFFFF" w:themeColor="background1"/>
                              </w:rPr>
                            </w:pPr>
                          </w:p>
                          <w:p w14:paraId="1ABCD6E4" w14:textId="77777777" w:rsidR="00827C04" w:rsidRDefault="00827C04" w:rsidP="005F1DFB">
                            <w:pPr>
                              <w:spacing w:after="0" w:line="240" w:lineRule="auto"/>
                              <w:rPr>
                                <w:rFonts w:ascii="Segoe UI" w:hAnsi="Segoe UI" w:cs="Segoe UI"/>
                                <w:b/>
                                <w:color w:val="FFFFFF" w:themeColor="background1"/>
                              </w:rPr>
                            </w:pPr>
                          </w:p>
                          <w:p w14:paraId="598C9961" w14:textId="77777777" w:rsidR="00827C04" w:rsidRDefault="00827C04" w:rsidP="005F1DFB">
                            <w:pPr>
                              <w:spacing w:after="0" w:line="240" w:lineRule="auto"/>
                              <w:rPr>
                                <w:rFonts w:ascii="Segoe UI" w:hAnsi="Segoe UI" w:cs="Segoe UI"/>
                                <w:b/>
                                <w:color w:val="FFFFFF" w:themeColor="background1"/>
                              </w:rPr>
                            </w:pPr>
                          </w:p>
                          <w:p w14:paraId="01E5130E" w14:textId="77777777" w:rsidR="00827C04" w:rsidRDefault="00827C04" w:rsidP="005F1DFB">
                            <w:pPr>
                              <w:spacing w:after="0" w:line="240" w:lineRule="auto"/>
                              <w:rPr>
                                <w:rFonts w:ascii="Segoe UI" w:hAnsi="Segoe UI" w:cs="Segoe UI"/>
                                <w:b/>
                                <w:color w:val="FFFFFF" w:themeColor="background1"/>
                              </w:rPr>
                            </w:pPr>
                          </w:p>
                          <w:p w14:paraId="4C18BA61" w14:textId="77777777" w:rsidR="00827C04" w:rsidRDefault="00827C04" w:rsidP="005F1DFB">
                            <w:pPr>
                              <w:spacing w:after="0" w:line="240" w:lineRule="auto"/>
                              <w:rPr>
                                <w:rFonts w:ascii="Segoe UI" w:hAnsi="Segoe UI" w:cs="Segoe UI"/>
                                <w:b/>
                                <w:color w:val="FFFFFF" w:themeColor="background1"/>
                              </w:rPr>
                            </w:pPr>
                          </w:p>
                          <w:p w14:paraId="6BB30137" w14:textId="77777777" w:rsidR="00827C04" w:rsidRDefault="00827C04" w:rsidP="005F1DFB">
                            <w:pPr>
                              <w:spacing w:after="0" w:line="240" w:lineRule="auto"/>
                              <w:rPr>
                                <w:rFonts w:ascii="Segoe UI" w:hAnsi="Segoe UI" w:cs="Segoe UI"/>
                                <w:b/>
                                <w:color w:val="FFFFFF" w:themeColor="background1"/>
                              </w:rPr>
                            </w:pPr>
                          </w:p>
                          <w:p w14:paraId="4D4293FD" w14:textId="77777777" w:rsidR="00827C04" w:rsidRDefault="00827C04" w:rsidP="005F1DFB">
                            <w:pPr>
                              <w:spacing w:after="0" w:line="240" w:lineRule="auto"/>
                              <w:rPr>
                                <w:rFonts w:ascii="Segoe UI" w:hAnsi="Segoe UI" w:cs="Segoe UI"/>
                                <w:b/>
                                <w:color w:val="FFFFFF" w:themeColor="background1"/>
                              </w:rPr>
                            </w:pPr>
                          </w:p>
                          <w:p w14:paraId="0E34383D" w14:textId="77777777" w:rsidR="00827C04" w:rsidRDefault="00827C04" w:rsidP="005F1DFB">
                            <w:pPr>
                              <w:spacing w:after="0" w:line="240" w:lineRule="auto"/>
                              <w:rPr>
                                <w:rFonts w:ascii="Segoe UI" w:hAnsi="Segoe UI" w:cs="Segoe UI"/>
                                <w:b/>
                              </w:rPr>
                            </w:pPr>
                          </w:p>
                          <w:p w14:paraId="045E4226" w14:textId="77777777" w:rsidR="00827C04" w:rsidRPr="00EE05FD" w:rsidRDefault="00827C04" w:rsidP="005F1DFB">
                            <w:pPr>
                              <w:spacing w:after="0" w:line="240" w:lineRule="auto"/>
                              <w:rPr>
                                <w:rFonts w:ascii="Segoe UI" w:hAnsi="Segoe UI" w:cs="Segoe UI"/>
                                <w:sz w:val="20"/>
                                <w:szCs w:val="20"/>
                              </w:rPr>
                            </w:pPr>
                            <w:r w:rsidRPr="00EE05FD">
                              <w:rPr>
                                <w:rFonts w:ascii="Segoe UI" w:hAnsi="Segoe UI" w:cs="Segoe UI"/>
                                <w:sz w:val="20"/>
                                <w:szCs w:val="20"/>
                              </w:rPr>
                              <w:t>Víctor Bastante Granell</w:t>
                            </w:r>
                            <w:r>
                              <w:rPr>
                                <w:rFonts w:ascii="Segoe UI" w:hAnsi="Segoe UI" w:cs="Segoe UI"/>
                                <w:sz w:val="20"/>
                                <w:szCs w:val="20"/>
                              </w:rPr>
                              <w:t xml:space="preserve">. </w:t>
                            </w:r>
                          </w:p>
                          <w:p w14:paraId="2F1C51F2" w14:textId="77777777" w:rsidR="00827C04" w:rsidRPr="00EE05FD" w:rsidRDefault="00827C04" w:rsidP="005F1DFB">
                            <w:pPr>
                              <w:spacing w:after="0" w:line="240" w:lineRule="auto"/>
                              <w:rPr>
                                <w:rFonts w:ascii="Segoe UI" w:hAnsi="Segoe UI" w:cs="Segoe UI"/>
                                <w:sz w:val="20"/>
                                <w:szCs w:val="20"/>
                              </w:rPr>
                            </w:pPr>
                            <w:r w:rsidRPr="00EE05FD">
                              <w:rPr>
                                <w:rFonts w:ascii="Segoe UI" w:hAnsi="Segoe UI" w:cs="Segoe UI"/>
                                <w:sz w:val="20"/>
                                <w:szCs w:val="20"/>
                              </w:rPr>
                              <w:t xml:space="preserve">Profesor Ayudante Doctor. </w:t>
                            </w:r>
                          </w:p>
                          <w:p w14:paraId="6C8075D8" w14:textId="77777777" w:rsidR="00827C04" w:rsidRDefault="00827C04" w:rsidP="005F1DFB">
                            <w:pPr>
                              <w:spacing w:after="0" w:line="240" w:lineRule="auto"/>
                              <w:rPr>
                                <w:rFonts w:ascii="Segoe UI" w:hAnsi="Segoe UI" w:cs="Segoe UI"/>
                                <w:sz w:val="20"/>
                                <w:szCs w:val="20"/>
                              </w:rPr>
                            </w:pPr>
                            <w:r w:rsidRPr="00EE05FD">
                              <w:rPr>
                                <w:rFonts w:ascii="Segoe UI" w:hAnsi="Segoe UI" w:cs="Segoe UI"/>
                                <w:sz w:val="20"/>
                                <w:szCs w:val="20"/>
                              </w:rPr>
                              <w:t>Universidad de Almería.</w:t>
                            </w:r>
                          </w:p>
                          <w:p w14:paraId="1735E3DF" w14:textId="77777777" w:rsidR="00827C04" w:rsidRPr="003F49BB" w:rsidRDefault="00827C04" w:rsidP="005F1DFB">
                            <w:pPr>
                              <w:spacing w:after="0" w:line="240" w:lineRule="auto"/>
                              <w:rPr>
                                <w:rFonts w:ascii="Segoe UI" w:hAnsi="Segoe UI" w:cs="Segoe UI"/>
                                <w:i/>
                                <w:sz w:val="20"/>
                                <w:szCs w:val="20"/>
                              </w:rPr>
                            </w:pPr>
                            <w:r w:rsidRPr="003F49BB">
                              <w:rPr>
                                <w:rFonts w:ascii="Segoe UI" w:hAnsi="Segoe UI" w:cs="Segoe UI"/>
                                <w:i/>
                                <w:sz w:val="20"/>
                                <w:szCs w:val="20"/>
                              </w:rPr>
                              <w:t>vbg415@ual.es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7D715D" id="_x0000_t202" coordsize="21600,21600" o:spt="202" path="m,l,21600r21600,l21600,xe">
                <v:stroke joinstyle="miter"/>
                <v:path gradientshapeok="t" o:connecttype="rect"/>
              </v:shapetype>
              <v:shape id="4 Cuadro de texto" o:spid="_x0000_s1026" type="#_x0000_t202" style="position:absolute;left:0;text-align:left;margin-left:-54.95pt;margin-top:6pt;width:491.1pt;height:4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" filled="f" stroked="f" strokeweight=".5pt">
                <v:textbox>
                  <w:txbxContent>
                    <w:p w14:paraId="4D436CF4" w14:textId="77777777" w:rsidR="00827C04" w:rsidRDefault="00B40032">
                      <w:pPr>
                        <w:rPr>
                          <w:rFonts w:ascii="Segoe UI" w:hAnsi="Segoe UI" w:cs="Segoe UI"/>
                          <w:b/>
                          <w:color w:val="FFFFFF" w:themeColor="background1"/>
                          <w:sz w:val="36"/>
                          <w:szCs w:val="36"/>
                        </w:rPr>
                      </w:pPr>
                      <w:r>
                        <w:rPr>
                          <w:rFonts w:ascii="Segoe UI" w:hAnsi="Segoe UI" w:cs="Segoe UI"/>
                          <w:b/>
                          <w:color w:val="FFFFFF" w:themeColor="background1"/>
                          <w:sz w:val="36"/>
                          <w:szCs w:val="36"/>
                        </w:rPr>
                        <w:t>Octubre-Diciembre</w:t>
                      </w:r>
                      <w:r w:rsidR="00827C04" w:rsidRPr="00D37249">
                        <w:rPr>
                          <w:rFonts w:ascii="Segoe UI" w:hAnsi="Segoe UI" w:cs="Segoe UI"/>
                          <w:b/>
                          <w:color w:val="FFFFFF" w:themeColor="background1"/>
                          <w:sz w:val="36"/>
                          <w:szCs w:val="36"/>
                        </w:rPr>
                        <w:t xml:space="preserve"> 2020</w:t>
                      </w:r>
                    </w:p>
                    <w:p w14:paraId="2EB7BD8F" w14:textId="77777777" w:rsidR="00827C04" w:rsidRPr="00D37249" w:rsidRDefault="00827C04">
                      <w:pPr>
                        <w:rPr>
                          <w:rFonts w:ascii="Segoe UI" w:hAnsi="Segoe UI" w:cs="Segoe UI"/>
                          <w:b/>
                          <w:color w:val="FFFFFF" w:themeColor="background1"/>
                          <w:sz w:val="36"/>
                          <w:szCs w:val="36"/>
                        </w:rPr>
                      </w:pPr>
                    </w:p>
                    <w:p w14:paraId="59EFE686" w14:textId="77777777" w:rsidR="00827C04" w:rsidRPr="00D37249" w:rsidRDefault="00827C04" w:rsidP="005F1DFB">
                      <w:pPr>
                        <w:spacing w:after="0" w:line="240" w:lineRule="auto"/>
                        <w:rPr>
                          <w:rFonts w:ascii="Segoe UI" w:hAnsi="Segoe UI" w:cs="Segoe UI"/>
                          <w:b/>
                          <w:color w:val="FFFFFF" w:themeColor="background1"/>
                          <w:sz w:val="96"/>
                          <w:szCs w:val="96"/>
                        </w:rPr>
                      </w:pPr>
                      <w:r w:rsidRPr="00D37249">
                        <w:rPr>
                          <w:rFonts w:ascii="Segoe UI" w:hAnsi="Segoe UI" w:cs="Segoe UI"/>
                          <w:b/>
                          <w:color w:val="FFFFFF" w:themeColor="background1"/>
                          <w:sz w:val="96"/>
                          <w:szCs w:val="96"/>
                        </w:rPr>
                        <w:t>INFORME</w:t>
                      </w:r>
                    </w:p>
                    <w:p w14:paraId="636B78C5" w14:textId="77777777" w:rsidR="00827C04" w:rsidRPr="005F1DFB" w:rsidRDefault="00827C04" w:rsidP="005F1DFB">
                      <w:pPr>
                        <w:spacing w:after="0" w:line="240" w:lineRule="auto"/>
                        <w:rPr>
                          <w:rFonts w:ascii="Segoe UI" w:hAnsi="Segoe UI" w:cs="Segoe UI"/>
                          <w:b/>
                          <w:sz w:val="36"/>
                          <w:szCs w:val="36"/>
                        </w:rPr>
                      </w:pPr>
                      <w:r>
                        <w:rPr>
                          <w:rFonts w:ascii="Segoe UI" w:hAnsi="Segoe UI" w:cs="Segoe UI"/>
                          <w:b/>
                          <w:sz w:val="36"/>
                          <w:szCs w:val="36"/>
                        </w:rPr>
                        <w:t>DERECHO Y CONSUMO (BIBLIOGRAFÍ</w:t>
                      </w:r>
                      <w:r w:rsidRPr="005F1DFB">
                        <w:rPr>
                          <w:rFonts w:ascii="Segoe UI" w:hAnsi="Segoe UI" w:cs="Segoe UI"/>
                          <w:b/>
                          <w:sz w:val="36"/>
                          <w:szCs w:val="36"/>
                        </w:rPr>
                        <w:t>A)</w:t>
                      </w:r>
                    </w:p>
                    <w:p w14:paraId="2D051275" w14:textId="77777777" w:rsidR="00827C04" w:rsidRDefault="00827C04" w:rsidP="005F1DFB">
                      <w:pPr>
                        <w:spacing w:after="0" w:line="240" w:lineRule="auto"/>
                        <w:rPr>
                          <w:rFonts w:ascii="Segoe UI" w:hAnsi="Segoe UI" w:cs="Segoe UI"/>
                          <w:b/>
                          <w:color w:val="FFFFFF" w:themeColor="background1"/>
                          <w:sz w:val="36"/>
                          <w:szCs w:val="36"/>
                        </w:rPr>
                      </w:pPr>
                    </w:p>
                    <w:p w14:paraId="36A1D3C4" w14:textId="77777777" w:rsidR="00827C04" w:rsidRDefault="00827C04" w:rsidP="005F1DFB">
                      <w:pPr>
                        <w:spacing w:after="0" w:line="240" w:lineRule="auto"/>
                        <w:rPr>
                          <w:rFonts w:ascii="Segoe UI" w:hAnsi="Segoe UI" w:cs="Segoe UI"/>
                          <w:b/>
                          <w:color w:val="FFFFFF" w:themeColor="background1"/>
                          <w:sz w:val="36"/>
                          <w:szCs w:val="36"/>
                        </w:rPr>
                      </w:pPr>
                    </w:p>
                    <w:p w14:paraId="7945E80E" w14:textId="77777777" w:rsidR="00827C04" w:rsidRDefault="00827C04" w:rsidP="005F1DFB">
                      <w:pPr>
                        <w:spacing w:after="0" w:line="240" w:lineRule="auto"/>
                        <w:rPr>
                          <w:rFonts w:ascii="Segoe UI" w:hAnsi="Segoe UI" w:cs="Segoe UI"/>
                          <w:b/>
                          <w:color w:val="FFFFFF" w:themeColor="background1"/>
                        </w:rPr>
                      </w:pPr>
                    </w:p>
                    <w:p w14:paraId="09E469D5" w14:textId="77777777" w:rsidR="00827C04" w:rsidRDefault="00827C04" w:rsidP="005F1DFB">
                      <w:pPr>
                        <w:spacing w:after="0" w:line="240" w:lineRule="auto"/>
                        <w:rPr>
                          <w:rFonts w:ascii="Segoe UI" w:hAnsi="Segoe UI" w:cs="Segoe UI"/>
                          <w:b/>
                          <w:color w:val="FFFFFF" w:themeColor="background1"/>
                        </w:rPr>
                      </w:pPr>
                    </w:p>
                    <w:p w14:paraId="1ABCD6E4" w14:textId="77777777" w:rsidR="00827C04" w:rsidRDefault="00827C04" w:rsidP="005F1DFB">
                      <w:pPr>
                        <w:spacing w:after="0" w:line="240" w:lineRule="auto"/>
                        <w:rPr>
                          <w:rFonts w:ascii="Segoe UI" w:hAnsi="Segoe UI" w:cs="Segoe UI"/>
                          <w:b/>
                          <w:color w:val="FFFFFF" w:themeColor="background1"/>
                        </w:rPr>
                      </w:pPr>
                    </w:p>
                    <w:p w14:paraId="598C9961" w14:textId="77777777" w:rsidR="00827C04" w:rsidRDefault="00827C04" w:rsidP="005F1DFB">
                      <w:pPr>
                        <w:spacing w:after="0" w:line="240" w:lineRule="auto"/>
                        <w:rPr>
                          <w:rFonts w:ascii="Segoe UI" w:hAnsi="Segoe UI" w:cs="Segoe UI"/>
                          <w:b/>
                          <w:color w:val="FFFFFF" w:themeColor="background1"/>
                        </w:rPr>
                      </w:pPr>
                    </w:p>
                    <w:p w14:paraId="01E5130E" w14:textId="77777777" w:rsidR="00827C04" w:rsidRDefault="00827C04" w:rsidP="005F1DFB">
                      <w:pPr>
                        <w:spacing w:after="0" w:line="240" w:lineRule="auto"/>
                        <w:rPr>
                          <w:rFonts w:ascii="Segoe UI" w:hAnsi="Segoe UI" w:cs="Segoe UI"/>
                          <w:b/>
                          <w:color w:val="FFFFFF" w:themeColor="background1"/>
                        </w:rPr>
                      </w:pPr>
                    </w:p>
                    <w:p w14:paraId="4C18BA61" w14:textId="77777777" w:rsidR="00827C04" w:rsidRDefault="00827C04" w:rsidP="005F1DFB">
                      <w:pPr>
                        <w:spacing w:after="0" w:line="240" w:lineRule="auto"/>
                        <w:rPr>
                          <w:rFonts w:ascii="Segoe UI" w:hAnsi="Segoe UI" w:cs="Segoe UI"/>
                          <w:b/>
                          <w:color w:val="FFFFFF" w:themeColor="background1"/>
                        </w:rPr>
                      </w:pPr>
                    </w:p>
                    <w:p w14:paraId="6BB30137" w14:textId="77777777" w:rsidR="00827C04" w:rsidRDefault="00827C04" w:rsidP="005F1DFB">
                      <w:pPr>
                        <w:spacing w:after="0" w:line="240" w:lineRule="auto"/>
                        <w:rPr>
                          <w:rFonts w:ascii="Segoe UI" w:hAnsi="Segoe UI" w:cs="Segoe UI"/>
                          <w:b/>
                          <w:color w:val="FFFFFF" w:themeColor="background1"/>
                        </w:rPr>
                      </w:pPr>
                    </w:p>
                    <w:p w14:paraId="4D4293FD" w14:textId="77777777" w:rsidR="00827C04" w:rsidRDefault="00827C04" w:rsidP="005F1DFB">
                      <w:pPr>
                        <w:spacing w:after="0" w:line="240" w:lineRule="auto"/>
                        <w:rPr>
                          <w:rFonts w:ascii="Segoe UI" w:hAnsi="Segoe UI" w:cs="Segoe UI"/>
                          <w:b/>
                          <w:color w:val="FFFFFF" w:themeColor="background1"/>
                        </w:rPr>
                      </w:pPr>
                    </w:p>
                    <w:p w14:paraId="0E34383D" w14:textId="77777777" w:rsidR="00827C04" w:rsidRDefault="00827C04" w:rsidP="005F1DFB">
                      <w:pPr>
                        <w:spacing w:after="0" w:line="240" w:lineRule="auto"/>
                        <w:rPr>
                          <w:rFonts w:ascii="Segoe UI" w:hAnsi="Segoe UI" w:cs="Segoe UI"/>
                          <w:b/>
                        </w:rPr>
                      </w:pPr>
                    </w:p>
                    <w:p w14:paraId="045E4226" w14:textId="77777777" w:rsidR="00827C04" w:rsidRPr="00EE05FD" w:rsidRDefault="00827C04" w:rsidP="005F1DFB">
                      <w:pPr>
                        <w:spacing w:after="0" w:line="240" w:lineRule="auto"/>
                        <w:rPr>
                          <w:rFonts w:ascii="Segoe UI" w:hAnsi="Segoe UI" w:cs="Segoe UI"/>
                          <w:sz w:val="20"/>
                          <w:szCs w:val="20"/>
                        </w:rPr>
                      </w:pPr>
                      <w:r w:rsidRPr="00EE05FD">
                        <w:rPr>
                          <w:rFonts w:ascii="Segoe UI" w:hAnsi="Segoe UI" w:cs="Segoe UI"/>
                          <w:sz w:val="20"/>
                          <w:szCs w:val="20"/>
                        </w:rPr>
                        <w:t>Víctor Bastante Granell</w:t>
                      </w:r>
                      <w:r>
                        <w:rPr>
                          <w:rFonts w:ascii="Segoe UI" w:hAnsi="Segoe UI" w:cs="Segoe UI"/>
                          <w:sz w:val="20"/>
                          <w:szCs w:val="20"/>
                        </w:rPr>
                        <w:t xml:space="preserve">. </w:t>
                      </w:r>
                    </w:p>
                    <w:p w14:paraId="2F1C51F2" w14:textId="77777777" w:rsidR="00827C04" w:rsidRPr="00EE05FD" w:rsidRDefault="00827C04" w:rsidP="005F1DFB">
                      <w:pPr>
                        <w:spacing w:after="0" w:line="240" w:lineRule="auto"/>
                        <w:rPr>
                          <w:rFonts w:ascii="Segoe UI" w:hAnsi="Segoe UI" w:cs="Segoe UI"/>
                          <w:sz w:val="20"/>
                          <w:szCs w:val="20"/>
                        </w:rPr>
                      </w:pPr>
                      <w:r w:rsidRPr="00EE05FD">
                        <w:rPr>
                          <w:rFonts w:ascii="Segoe UI" w:hAnsi="Segoe UI" w:cs="Segoe UI"/>
                          <w:sz w:val="20"/>
                          <w:szCs w:val="20"/>
                        </w:rPr>
                        <w:t xml:space="preserve">Profesor Ayudante Doctor. </w:t>
                      </w:r>
                    </w:p>
                    <w:p w14:paraId="6C8075D8" w14:textId="77777777" w:rsidR="00827C04" w:rsidRDefault="00827C04" w:rsidP="005F1DFB">
                      <w:pPr>
                        <w:spacing w:after="0" w:line="240" w:lineRule="auto"/>
                        <w:rPr>
                          <w:rFonts w:ascii="Segoe UI" w:hAnsi="Segoe UI" w:cs="Segoe UI"/>
                          <w:sz w:val="20"/>
                          <w:szCs w:val="20"/>
                        </w:rPr>
                      </w:pPr>
                      <w:r w:rsidRPr="00EE05FD">
                        <w:rPr>
                          <w:rFonts w:ascii="Segoe UI" w:hAnsi="Segoe UI" w:cs="Segoe UI"/>
                          <w:sz w:val="20"/>
                          <w:szCs w:val="20"/>
                        </w:rPr>
                        <w:t>Universidad de Almería.</w:t>
                      </w:r>
                    </w:p>
                    <w:p w14:paraId="1735E3DF" w14:textId="77777777" w:rsidR="00827C04" w:rsidRPr="003F49BB" w:rsidRDefault="00827C04" w:rsidP="005F1DFB">
                      <w:pPr>
                        <w:spacing w:after="0" w:line="240" w:lineRule="auto"/>
                        <w:rPr>
                          <w:rFonts w:ascii="Segoe UI" w:hAnsi="Segoe UI" w:cs="Segoe UI"/>
                          <w:i/>
                          <w:sz w:val="20"/>
                          <w:szCs w:val="20"/>
                        </w:rPr>
                      </w:pPr>
                      <w:r w:rsidRPr="003F49BB">
                        <w:rPr>
                          <w:rFonts w:ascii="Segoe UI" w:hAnsi="Segoe UI" w:cs="Segoe UI"/>
                          <w:i/>
                          <w:sz w:val="20"/>
                          <w:szCs w:val="20"/>
                        </w:rPr>
                        <w:t>vbg415@ual.es</w:t>
                      </w:r>
                    </w:p>
                  </w:txbxContent>
                </v:textbox>
              </v:shape>
            </w:pict>
          </mc:Fallback>
        </mc:AlternateContent>
      </w:r>
    </w:p>
    <w:p w14:paraId="634A3D0B" w14:textId="77777777" w:rsidR="00D37249" w:rsidRDefault="00D37249" w:rsidP="00656A1A">
      <w:pPr>
        <w:spacing w:beforeLines="100" w:before="240" w:afterLines="100" w:after="240"/>
        <w:jc w:val="center"/>
        <w:rPr>
          <w:noProof/>
          <w:lang w:eastAsia="es-ES"/>
        </w:rPr>
      </w:pPr>
    </w:p>
    <w:p w14:paraId="3214C097" w14:textId="77777777" w:rsidR="00D37249" w:rsidRDefault="00D37249" w:rsidP="00656A1A">
      <w:pPr>
        <w:spacing w:beforeLines="100" w:before="240" w:afterLines="100" w:after="240"/>
        <w:jc w:val="center"/>
        <w:rPr>
          <w:noProof/>
          <w:lang w:eastAsia="es-ES"/>
        </w:rPr>
      </w:pPr>
    </w:p>
    <w:p w14:paraId="612D226B" w14:textId="77777777" w:rsidR="00D37249" w:rsidRDefault="00D37249" w:rsidP="00656A1A">
      <w:pPr>
        <w:spacing w:beforeLines="100" w:before="240" w:afterLines="100" w:after="240"/>
        <w:jc w:val="center"/>
        <w:rPr>
          <w:noProof/>
          <w:lang w:eastAsia="es-ES"/>
        </w:rPr>
      </w:pPr>
    </w:p>
    <w:p w14:paraId="1B8E3A3D" w14:textId="77777777" w:rsidR="00D37249" w:rsidRDefault="00D37249" w:rsidP="00656A1A">
      <w:pPr>
        <w:spacing w:beforeLines="100" w:before="240" w:afterLines="100" w:after="240"/>
        <w:jc w:val="center"/>
        <w:rPr>
          <w:noProof/>
          <w:lang w:eastAsia="es-ES"/>
        </w:rPr>
      </w:pPr>
    </w:p>
    <w:p w14:paraId="3A5D080F" w14:textId="77777777" w:rsidR="00D37249" w:rsidRDefault="00D37249" w:rsidP="00656A1A">
      <w:pPr>
        <w:spacing w:beforeLines="100" w:before="240" w:afterLines="100" w:after="240"/>
        <w:jc w:val="center"/>
        <w:rPr>
          <w:noProof/>
          <w:lang w:eastAsia="es-ES"/>
        </w:rPr>
      </w:pPr>
    </w:p>
    <w:p w14:paraId="1E0AEF62" w14:textId="77777777" w:rsidR="00D37249" w:rsidRDefault="00D37249" w:rsidP="00656A1A">
      <w:pPr>
        <w:spacing w:beforeLines="100" w:before="240" w:afterLines="100" w:after="240"/>
        <w:jc w:val="center"/>
        <w:rPr>
          <w:noProof/>
          <w:lang w:eastAsia="es-ES"/>
        </w:rPr>
      </w:pPr>
    </w:p>
    <w:p w14:paraId="248E4477" w14:textId="77777777" w:rsidR="00D37249" w:rsidRDefault="00D37249" w:rsidP="00656A1A">
      <w:pPr>
        <w:spacing w:beforeLines="100" w:before="240" w:afterLines="100" w:after="240"/>
        <w:jc w:val="center"/>
        <w:rPr>
          <w:noProof/>
          <w:lang w:eastAsia="es-ES"/>
        </w:rPr>
      </w:pPr>
    </w:p>
    <w:p w14:paraId="00E5561C" w14:textId="77777777" w:rsidR="00D37249" w:rsidRDefault="00D37249" w:rsidP="00656A1A">
      <w:pPr>
        <w:spacing w:beforeLines="100" w:before="240" w:afterLines="100" w:after="240"/>
        <w:jc w:val="center"/>
        <w:rPr>
          <w:noProof/>
          <w:lang w:eastAsia="es-ES"/>
        </w:rPr>
      </w:pPr>
    </w:p>
    <w:p w14:paraId="79253195" w14:textId="77777777" w:rsidR="00D37249" w:rsidRDefault="00D37249" w:rsidP="00656A1A">
      <w:pPr>
        <w:spacing w:beforeLines="100" w:before="240" w:afterLines="100" w:after="240"/>
        <w:jc w:val="center"/>
        <w:rPr>
          <w:noProof/>
          <w:lang w:eastAsia="es-ES"/>
        </w:rPr>
      </w:pPr>
    </w:p>
    <w:p w14:paraId="22EC10ED" w14:textId="77777777" w:rsidR="00D37249" w:rsidRDefault="00D37249" w:rsidP="00656A1A">
      <w:pPr>
        <w:spacing w:beforeLines="100" w:before="240" w:afterLines="100" w:after="240"/>
        <w:jc w:val="center"/>
        <w:rPr>
          <w:noProof/>
          <w:lang w:eastAsia="es-ES"/>
        </w:rPr>
      </w:pPr>
    </w:p>
    <w:p w14:paraId="55521369" w14:textId="77777777" w:rsidR="00D37249" w:rsidRDefault="00D37249" w:rsidP="00656A1A">
      <w:pPr>
        <w:spacing w:beforeLines="100" w:before="240" w:afterLines="100" w:after="240"/>
        <w:jc w:val="center"/>
        <w:rPr>
          <w:noProof/>
          <w:lang w:eastAsia="es-ES"/>
        </w:rPr>
      </w:pPr>
    </w:p>
    <w:p w14:paraId="48BF8FA4" w14:textId="77777777" w:rsidR="00D37249" w:rsidRDefault="00D37249" w:rsidP="00656A1A">
      <w:pPr>
        <w:spacing w:beforeLines="100" w:before="240" w:afterLines="100" w:after="240"/>
        <w:jc w:val="center"/>
        <w:rPr>
          <w:noProof/>
          <w:lang w:eastAsia="es-ES"/>
        </w:rPr>
      </w:pPr>
    </w:p>
    <w:p w14:paraId="77F66103" w14:textId="77777777" w:rsidR="00D37249" w:rsidRDefault="00D37249" w:rsidP="00656A1A">
      <w:pPr>
        <w:spacing w:beforeLines="100" w:before="240" w:afterLines="100" w:after="240"/>
        <w:jc w:val="center"/>
        <w:rPr>
          <w:noProof/>
          <w:lang w:eastAsia="es-ES"/>
        </w:rPr>
      </w:pPr>
    </w:p>
    <w:p w14:paraId="41F4B982" w14:textId="77777777" w:rsidR="00D37249" w:rsidRDefault="00D37249" w:rsidP="00656A1A">
      <w:pPr>
        <w:spacing w:beforeLines="100" w:before="240" w:afterLines="100" w:after="240"/>
        <w:jc w:val="center"/>
        <w:rPr>
          <w:noProof/>
          <w:lang w:eastAsia="es-ES"/>
        </w:rPr>
      </w:pPr>
    </w:p>
    <w:p w14:paraId="647D8F29" w14:textId="77777777" w:rsidR="00D37249" w:rsidRDefault="00D37249" w:rsidP="00656A1A">
      <w:pPr>
        <w:spacing w:beforeLines="100" w:before="240" w:afterLines="100" w:after="240"/>
        <w:jc w:val="center"/>
        <w:rPr>
          <w:noProof/>
          <w:lang w:eastAsia="es-ES"/>
        </w:rPr>
      </w:pPr>
    </w:p>
    <w:p w14:paraId="3FE9F70E" w14:textId="77777777" w:rsidR="00D37249" w:rsidRDefault="005F0DEC"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60288" behindDoc="0" locked="0" layoutInCell="1" allowOverlap="1" wp14:anchorId="648F4A92" wp14:editId="682CB527">
                <wp:simplePos x="0" y="0"/>
                <wp:positionH relativeFrom="column">
                  <wp:posOffset>5288354</wp:posOffset>
                </wp:positionH>
                <wp:positionV relativeFrom="paragraph">
                  <wp:posOffset>504175</wp:posOffset>
                </wp:positionV>
                <wp:extent cx="1190360" cy="786396"/>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190360" cy="786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130AB" w14:textId="77777777" w:rsidR="00827C04" w:rsidRPr="005F0DEC" w:rsidRDefault="00827C04">
                            <w:pPr>
                              <w:rPr>
                                <w:rFonts w:ascii="Monotype Corsiva" w:hAnsi="Monotype Corsiva"/>
                                <w:b/>
                                <w:color w:val="FFFFFF" w:themeColor="background1"/>
                                <w:sz w:val="72"/>
                                <w:szCs w:val="72"/>
                              </w:rPr>
                            </w:pPr>
                            <w:proofErr w:type="spellStart"/>
                            <w:r w:rsidRPr="005F0DEC">
                              <w:rPr>
                                <w:rFonts w:ascii="Monotype Corsiva" w:hAnsi="Monotype Corsiva"/>
                                <w:b/>
                                <w:color w:val="FFFFFF" w:themeColor="background1"/>
                                <w:sz w:val="72"/>
                                <w:szCs w:val="72"/>
                              </w:rPr>
                              <w:t>NyR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F4A92" id="1 Cuadro de texto" o:spid="_x0000_s1027" type="#_x0000_t202" style="position:absolute;left:0;text-align:left;margin-left:416.4pt;margin-top:39.7pt;width:93.75pt;height:6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" filled="f" stroked="f" strokeweight=".5pt">
                <v:textbox>
                  <w:txbxContent>
                    <w:p w14:paraId="320130AB" w14:textId="77777777" w:rsidR="00827C04" w:rsidRPr="005F0DEC" w:rsidRDefault="00827C04">
                      <w:pPr>
                        <w:rPr>
                          <w:rFonts w:ascii="Monotype Corsiva" w:hAnsi="Monotype Corsiva"/>
                          <w:b/>
                          <w:color w:val="FFFFFF" w:themeColor="background1"/>
                          <w:sz w:val="72"/>
                          <w:szCs w:val="72"/>
                        </w:rPr>
                      </w:pPr>
                      <w:proofErr w:type="spellStart"/>
                      <w:r w:rsidRPr="005F0DEC">
                        <w:rPr>
                          <w:rFonts w:ascii="Monotype Corsiva" w:hAnsi="Monotype Corsiva"/>
                          <w:b/>
                          <w:color w:val="FFFFFF" w:themeColor="background1"/>
                          <w:sz w:val="72"/>
                          <w:szCs w:val="72"/>
                        </w:rPr>
                        <w:t>NyR</w:t>
                      </w:r>
                      <w:proofErr w:type="spellEnd"/>
                    </w:p>
                  </w:txbxContent>
                </v:textbox>
              </v:shape>
            </w:pict>
          </mc:Fallback>
        </mc:AlternateContent>
      </w:r>
    </w:p>
    <w:p w14:paraId="0DB7A1CA" w14:textId="77777777" w:rsidR="00C660D0" w:rsidRDefault="000562B1" w:rsidP="00226C2F">
      <w:pPr>
        <w:spacing w:after="0" w:line="240" w:lineRule="auto"/>
        <w:jc w:val="center"/>
        <w:rPr>
          <w:rFonts w:cstheme="minorHAnsi"/>
          <w:b/>
          <w:color w:val="FFFFFF" w:themeColor="background1"/>
          <w:sz w:val="32"/>
          <w:szCs w:val="32"/>
        </w:rPr>
      </w:pPr>
      <w:r w:rsidRPr="00226C2F">
        <w:rPr>
          <w:rFonts w:cstheme="minorHAnsi"/>
          <w:b/>
          <w:noProof/>
          <w:color w:val="FFFFFF" w:themeColor="background1"/>
          <w:sz w:val="32"/>
          <w:szCs w:val="32"/>
          <w:lang w:eastAsia="es-ES"/>
        </w:rPr>
        <w:lastRenderedPageBreak/>
        <w:drawing>
          <wp:anchor distT="0" distB="0" distL="114300" distR="114300" simplePos="0" relativeHeight="251662336" behindDoc="1" locked="0" layoutInCell="1" allowOverlap="1" wp14:anchorId="162E8B83" wp14:editId="12AADB1D">
            <wp:simplePos x="0" y="0"/>
            <wp:positionH relativeFrom="column">
              <wp:posOffset>-1048237</wp:posOffset>
            </wp:positionH>
            <wp:positionV relativeFrom="paragraph">
              <wp:posOffset>-889162</wp:posOffset>
            </wp:positionV>
            <wp:extent cx="7549116" cy="9803218"/>
            <wp:effectExtent l="0" t="0" r="0" b="7620"/>
            <wp:wrapNone/>
            <wp:docPr id="7" name="Imagen 7" descr="C:\Users\Jesus\Downloads\Red and Grayscale Corporate Company Annual Repor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sus\Downloads\Red and Grayscale Corporate Company Annual Report (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9116" cy="9803218"/>
                    </a:xfrm>
                    <a:prstGeom prst="rect">
                      <a:avLst/>
                    </a:prstGeom>
                    <a:noFill/>
                    <a:ln>
                      <a:noFill/>
                    </a:ln>
                  </pic:spPr>
                </pic:pic>
              </a:graphicData>
            </a:graphic>
            <wp14:sizeRelH relativeFrom="page">
              <wp14:pctWidth>0</wp14:pctWidth>
            </wp14:sizeRelH>
            <wp14:sizeRelV relativeFrom="page">
              <wp14:pctHeight>0</wp14:pctHeight>
            </wp14:sizeRelV>
          </wp:anchor>
        </w:drawing>
      </w:r>
      <w:r w:rsidR="00226C2F">
        <w:rPr>
          <w:rFonts w:cstheme="minorHAnsi"/>
          <w:b/>
          <w:noProof/>
          <w:color w:val="FFFFFF" w:themeColor="background1"/>
          <w:sz w:val="32"/>
          <w:szCs w:val="32"/>
          <w:lang w:eastAsia="es-ES"/>
        </w:rPr>
        <mc:AlternateContent>
          <mc:Choice Requires="wps">
            <w:drawing>
              <wp:anchor distT="0" distB="0" distL="114300" distR="114300" simplePos="0" relativeHeight="251663360" behindDoc="0" locked="0" layoutInCell="1" allowOverlap="1" wp14:anchorId="3FA495B1" wp14:editId="280F7CF2">
                <wp:simplePos x="0" y="0"/>
                <wp:positionH relativeFrom="column">
                  <wp:posOffset>1120775</wp:posOffset>
                </wp:positionH>
                <wp:positionV relativeFrom="paragraph">
                  <wp:posOffset>-218307</wp:posOffset>
                </wp:positionV>
                <wp:extent cx="3466213" cy="1073889"/>
                <wp:effectExtent l="0" t="0" r="0" b="0"/>
                <wp:wrapNone/>
                <wp:docPr id="11" name="11 Cuadro de texto"/>
                <wp:cNvGraphicFramePr/>
                <a:graphic xmlns:a="http://schemas.openxmlformats.org/drawingml/2006/main">
                  <a:graphicData uri="http://schemas.microsoft.com/office/word/2010/wordprocessingShape">
                    <wps:wsp>
                      <wps:cNvSpPr txBox="1"/>
                      <wps:spPr>
                        <a:xfrm>
                          <a:off x="0" y="0"/>
                          <a:ext cx="3466213" cy="10738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498AFD" w14:textId="77777777" w:rsidR="00827C04" w:rsidRPr="00226C2F" w:rsidRDefault="00827C04" w:rsidP="00226C2F">
                            <w:pPr>
                              <w:spacing w:after="0" w:line="240" w:lineRule="auto"/>
                              <w:jc w:val="center"/>
                              <w:rPr>
                                <w:rFonts w:cstheme="minorHAnsi"/>
                                <w:b/>
                                <w:color w:val="000000" w:themeColor="text1"/>
                                <w:sz w:val="32"/>
                                <w:szCs w:val="32"/>
                              </w:rPr>
                            </w:pPr>
                            <w:r>
                              <w:rPr>
                                <w:rFonts w:cstheme="minorHAnsi"/>
                                <w:b/>
                                <w:color w:val="FFFFFF" w:themeColor="background1"/>
                                <w:sz w:val="32"/>
                                <w:szCs w:val="32"/>
                              </w:rPr>
                              <w:t>I</w:t>
                            </w:r>
                            <w:r w:rsidRPr="00226C2F">
                              <w:rPr>
                                <w:rFonts w:cstheme="minorHAnsi"/>
                                <w:b/>
                                <w:color w:val="FFFFFF" w:themeColor="background1"/>
                                <w:sz w:val="32"/>
                                <w:szCs w:val="32"/>
                              </w:rPr>
                              <w:t>NFORME</w:t>
                            </w:r>
                          </w:p>
                          <w:p w14:paraId="7A65D15E" w14:textId="77777777" w:rsidR="00827C04" w:rsidRPr="00226C2F" w:rsidRDefault="00827C04" w:rsidP="00226C2F">
                            <w:pPr>
                              <w:spacing w:after="0" w:line="240" w:lineRule="auto"/>
                              <w:jc w:val="center"/>
                              <w:rPr>
                                <w:rFonts w:cstheme="minorHAnsi"/>
                                <w:b/>
                                <w:color w:val="000000" w:themeColor="text1"/>
                                <w:sz w:val="28"/>
                                <w:szCs w:val="28"/>
                              </w:rPr>
                            </w:pPr>
                            <w:r>
                              <w:rPr>
                                <w:rFonts w:cstheme="minorHAnsi"/>
                                <w:b/>
                                <w:color w:val="000000" w:themeColor="text1"/>
                                <w:sz w:val="28"/>
                                <w:szCs w:val="28"/>
                              </w:rPr>
                              <w:t xml:space="preserve">DERECHO Y CONSUMO </w:t>
                            </w:r>
                            <w:r w:rsidRPr="00226C2F">
                              <w:rPr>
                                <w:rFonts w:cstheme="minorHAnsi"/>
                                <w:b/>
                                <w:color w:val="000000" w:themeColor="text1"/>
                                <w:sz w:val="28"/>
                                <w:szCs w:val="28"/>
                              </w:rPr>
                              <w:t>(BIBLIOGRAFÍA)</w:t>
                            </w:r>
                          </w:p>
                          <w:p w14:paraId="2F1DEB9A" w14:textId="77777777" w:rsidR="00827C04" w:rsidRPr="005F0DEC" w:rsidRDefault="00827C04" w:rsidP="00226C2F">
                            <w:pPr>
                              <w:spacing w:after="0" w:line="240" w:lineRule="auto"/>
                              <w:rPr>
                                <w:rFonts w:cstheme="minorHAnsi"/>
                                <w:b/>
                                <w:color w:val="FFFFFF" w:themeColor="background1"/>
                              </w:rPr>
                            </w:pPr>
                          </w:p>
                          <w:p w14:paraId="29E42E84" w14:textId="77777777" w:rsidR="00827C04" w:rsidRPr="00226C2F" w:rsidRDefault="00B40032" w:rsidP="00226C2F">
                            <w:pPr>
                              <w:jc w:val="center"/>
                              <w:rPr>
                                <w:rFonts w:cstheme="minorHAnsi"/>
                                <w:b/>
                                <w:color w:val="FFFFFF" w:themeColor="background1"/>
                                <w:sz w:val="20"/>
                                <w:szCs w:val="20"/>
                              </w:rPr>
                            </w:pPr>
                            <w:r>
                              <w:rPr>
                                <w:rFonts w:cstheme="minorHAnsi"/>
                                <w:b/>
                                <w:color w:val="FFFFFF" w:themeColor="background1"/>
                                <w:sz w:val="20"/>
                                <w:szCs w:val="20"/>
                              </w:rPr>
                              <w:t>Octubre-Diciembre</w:t>
                            </w:r>
                            <w:r w:rsidR="00827C04" w:rsidRPr="00226C2F">
                              <w:rPr>
                                <w:rFonts w:cstheme="minorHAnsi"/>
                                <w:b/>
                                <w:color w:val="FFFFFF" w:themeColor="background1"/>
                                <w:sz w:val="20"/>
                                <w:szCs w:val="20"/>
                              </w:rPr>
                              <w:t xml:space="preserve"> 2020</w:t>
                            </w:r>
                          </w:p>
                          <w:p w14:paraId="31D940F1" w14:textId="77777777" w:rsidR="00827C04" w:rsidRDefault="00827C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A495B1" id="11 Cuadro de texto" o:spid="_x0000_s1028" type="#_x0000_t202" style="position:absolute;left:0;text-align:left;margin-left:88.25pt;margin-top:-17.2pt;width:272.95pt;height:84.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" filled="f" stroked="f" strokeweight=".5pt">
                <v:textbox>
                  <w:txbxContent>
                    <w:p w14:paraId="22498AFD" w14:textId="77777777" w:rsidR="00827C04" w:rsidRPr="00226C2F" w:rsidRDefault="00827C04" w:rsidP="00226C2F">
                      <w:pPr>
                        <w:spacing w:after="0" w:line="240" w:lineRule="auto"/>
                        <w:jc w:val="center"/>
                        <w:rPr>
                          <w:rFonts w:cstheme="minorHAnsi"/>
                          <w:b/>
                          <w:color w:val="000000" w:themeColor="text1"/>
                          <w:sz w:val="32"/>
                          <w:szCs w:val="32"/>
                        </w:rPr>
                      </w:pPr>
                      <w:r>
                        <w:rPr>
                          <w:rFonts w:cstheme="minorHAnsi"/>
                          <w:b/>
                          <w:color w:val="FFFFFF" w:themeColor="background1"/>
                          <w:sz w:val="32"/>
                          <w:szCs w:val="32"/>
                        </w:rPr>
                        <w:t>I</w:t>
                      </w:r>
                      <w:r w:rsidRPr="00226C2F">
                        <w:rPr>
                          <w:rFonts w:cstheme="minorHAnsi"/>
                          <w:b/>
                          <w:color w:val="FFFFFF" w:themeColor="background1"/>
                          <w:sz w:val="32"/>
                          <w:szCs w:val="32"/>
                        </w:rPr>
                        <w:t>NFORME</w:t>
                      </w:r>
                    </w:p>
                    <w:p w14:paraId="7A65D15E" w14:textId="77777777" w:rsidR="00827C04" w:rsidRPr="00226C2F" w:rsidRDefault="00827C04" w:rsidP="00226C2F">
                      <w:pPr>
                        <w:spacing w:after="0" w:line="240" w:lineRule="auto"/>
                        <w:jc w:val="center"/>
                        <w:rPr>
                          <w:rFonts w:cstheme="minorHAnsi"/>
                          <w:b/>
                          <w:color w:val="000000" w:themeColor="text1"/>
                          <w:sz w:val="28"/>
                          <w:szCs w:val="28"/>
                        </w:rPr>
                      </w:pPr>
                      <w:r>
                        <w:rPr>
                          <w:rFonts w:cstheme="minorHAnsi"/>
                          <w:b/>
                          <w:color w:val="000000" w:themeColor="text1"/>
                          <w:sz w:val="28"/>
                          <w:szCs w:val="28"/>
                        </w:rPr>
                        <w:t xml:space="preserve">DERECHO Y CONSUMO </w:t>
                      </w:r>
                      <w:r w:rsidRPr="00226C2F">
                        <w:rPr>
                          <w:rFonts w:cstheme="minorHAnsi"/>
                          <w:b/>
                          <w:color w:val="000000" w:themeColor="text1"/>
                          <w:sz w:val="28"/>
                          <w:szCs w:val="28"/>
                        </w:rPr>
                        <w:t>(BIBLIOGRAFÍA)</w:t>
                      </w:r>
                    </w:p>
                    <w:p w14:paraId="2F1DEB9A" w14:textId="77777777" w:rsidR="00827C04" w:rsidRPr="005F0DEC" w:rsidRDefault="00827C04" w:rsidP="00226C2F">
                      <w:pPr>
                        <w:spacing w:after="0" w:line="240" w:lineRule="auto"/>
                        <w:rPr>
                          <w:rFonts w:cstheme="minorHAnsi"/>
                          <w:b/>
                          <w:color w:val="FFFFFF" w:themeColor="background1"/>
                        </w:rPr>
                      </w:pPr>
                    </w:p>
                    <w:p w14:paraId="29E42E84" w14:textId="77777777" w:rsidR="00827C04" w:rsidRPr="00226C2F" w:rsidRDefault="00B40032" w:rsidP="00226C2F">
                      <w:pPr>
                        <w:jc w:val="center"/>
                        <w:rPr>
                          <w:rFonts w:cstheme="minorHAnsi"/>
                          <w:b/>
                          <w:color w:val="FFFFFF" w:themeColor="background1"/>
                          <w:sz w:val="20"/>
                          <w:szCs w:val="20"/>
                        </w:rPr>
                      </w:pPr>
                      <w:r>
                        <w:rPr>
                          <w:rFonts w:cstheme="minorHAnsi"/>
                          <w:b/>
                          <w:color w:val="FFFFFF" w:themeColor="background1"/>
                          <w:sz w:val="20"/>
                          <w:szCs w:val="20"/>
                        </w:rPr>
                        <w:t>Octubre-Diciembre</w:t>
                      </w:r>
                      <w:r w:rsidR="00827C04" w:rsidRPr="00226C2F">
                        <w:rPr>
                          <w:rFonts w:cstheme="minorHAnsi"/>
                          <w:b/>
                          <w:color w:val="FFFFFF" w:themeColor="background1"/>
                          <w:sz w:val="20"/>
                          <w:szCs w:val="20"/>
                        </w:rPr>
                        <w:t xml:space="preserve"> 2020</w:t>
                      </w:r>
                    </w:p>
                    <w:p w14:paraId="31D940F1" w14:textId="77777777" w:rsidR="00827C04" w:rsidRDefault="00827C04"/>
                  </w:txbxContent>
                </v:textbox>
              </v:shape>
            </w:pict>
          </mc:Fallback>
        </mc:AlternateContent>
      </w:r>
    </w:p>
    <w:p w14:paraId="58C683B8" w14:textId="77777777" w:rsidR="00226C2F" w:rsidRDefault="00226C2F" w:rsidP="00226C2F">
      <w:pPr>
        <w:spacing w:after="0" w:line="240" w:lineRule="auto"/>
        <w:jc w:val="center"/>
        <w:rPr>
          <w:rFonts w:cstheme="minorHAnsi"/>
          <w:b/>
          <w:color w:val="FFFFFF" w:themeColor="background1"/>
          <w:sz w:val="32"/>
          <w:szCs w:val="32"/>
        </w:rPr>
      </w:pPr>
    </w:p>
    <w:p w14:paraId="52B812AB" w14:textId="77777777" w:rsidR="00226C2F" w:rsidRDefault="00226C2F" w:rsidP="00226C2F">
      <w:pPr>
        <w:spacing w:after="0" w:line="240" w:lineRule="auto"/>
        <w:jc w:val="center"/>
        <w:rPr>
          <w:rFonts w:cstheme="minorHAnsi"/>
          <w:b/>
          <w:color w:val="FFFFFF" w:themeColor="background1"/>
          <w:sz w:val="32"/>
          <w:szCs w:val="32"/>
        </w:rPr>
      </w:pPr>
      <w:r>
        <w:rPr>
          <w:noProof/>
          <w:lang w:eastAsia="es-ES"/>
        </w:rPr>
        <mc:AlternateContent>
          <mc:Choice Requires="wps">
            <w:drawing>
              <wp:anchor distT="0" distB="0" distL="114300" distR="114300" simplePos="0" relativeHeight="251665408" behindDoc="0" locked="0" layoutInCell="1" allowOverlap="1" wp14:anchorId="75391AFD" wp14:editId="2ACD5C44">
                <wp:simplePos x="0" y="0"/>
                <wp:positionH relativeFrom="column">
                  <wp:posOffset>4331335</wp:posOffset>
                </wp:positionH>
                <wp:positionV relativeFrom="paragraph">
                  <wp:posOffset>71297</wp:posOffset>
                </wp:positionV>
                <wp:extent cx="659130" cy="477520"/>
                <wp:effectExtent l="0" t="0" r="0" b="0"/>
                <wp:wrapNone/>
                <wp:docPr id="12" name="12 Cuadro de texto"/>
                <wp:cNvGraphicFramePr/>
                <a:graphic xmlns:a="http://schemas.openxmlformats.org/drawingml/2006/main">
                  <a:graphicData uri="http://schemas.microsoft.com/office/word/2010/wordprocessingShape">
                    <wps:wsp>
                      <wps:cNvSpPr txBox="1"/>
                      <wps:spPr>
                        <a:xfrm>
                          <a:off x="0" y="0"/>
                          <a:ext cx="659130" cy="477520"/>
                        </a:xfrm>
                        <a:prstGeom prst="rect">
                          <a:avLst/>
                        </a:prstGeom>
                        <a:noFill/>
                        <a:ln w="6350">
                          <a:noFill/>
                        </a:ln>
                        <a:effectLst/>
                      </wps:spPr>
                      <wps:txbx>
                        <w:txbxContent>
                          <w:p w14:paraId="04DC319D" w14:textId="77777777" w:rsidR="00827C04" w:rsidRPr="00226C2F" w:rsidRDefault="00827C04" w:rsidP="00226C2F">
                            <w:pPr>
                              <w:rPr>
                                <w:rFonts w:ascii="Monotype Corsiva" w:hAnsi="Monotype Corsiva"/>
                                <w:b/>
                                <w:color w:val="FFFFFF" w:themeColor="background1"/>
                                <w:sz w:val="32"/>
                                <w:szCs w:val="32"/>
                              </w:rPr>
                            </w:pPr>
                            <w:proofErr w:type="spellStart"/>
                            <w:r w:rsidRPr="00226C2F">
                              <w:rPr>
                                <w:rFonts w:ascii="Monotype Corsiva" w:hAnsi="Monotype Corsiva"/>
                                <w:b/>
                                <w:color w:val="FFFFFF" w:themeColor="background1"/>
                                <w:sz w:val="32"/>
                                <w:szCs w:val="32"/>
                              </w:rPr>
                              <w:t>NyR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91AFD" id="12 Cuadro de texto" o:spid="_x0000_s1029" type="#_x0000_t202" style="position:absolute;left:0;text-align:left;margin-left:341.05pt;margin-top:5.6pt;width:51.9pt;height:3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" filled="f" stroked="f" strokeweight=".5pt">
                <v:textbox>
                  <w:txbxContent>
                    <w:p w14:paraId="04DC319D" w14:textId="77777777" w:rsidR="00827C04" w:rsidRPr="00226C2F" w:rsidRDefault="00827C04" w:rsidP="00226C2F">
                      <w:pPr>
                        <w:rPr>
                          <w:rFonts w:ascii="Monotype Corsiva" w:hAnsi="Monotype Corsiva"/>
                          <w:b/>
                          <w:color w:val="FFFFFF" w:themeColor="background1"/>
                          <w:sz w:val="32"/>
                          <w:szCs w:val="32"/>
                        </w:rPr>
                      </w:pPr>
                      <w:proofErr w:type="spellStart"/>
                      <w:r w:rsidRPr="00226C2F">
                        <w:rPr>
                          <w:rFonts w:ascii="Monotype Corsiva" w:hAnsi="Monotype Corsiva"/>
                          <w:b/>
                          <w:color w:val="FFFFFF" w:themeColor="background1"/>
                          <w:sz w:val="32"/>
                          <w:szCs w:val="32"/>
                        </w:rPr>
                        <w:t>NyR</w:t>
                      </w:r>
                      <w:proofErr w:type="spellEnd"/>
                    </w:p>
                  </w:txbxContent>
                </v:textbox>
              </v:shape>
            </w:pict>
          </mc:Fallback>
        </mc:AlternateContent>
      </w:r>
    </w:p>
    <w:p w14:paraId="7AB10861" w14:textId="77777777" w:rsidR="00226C2F" w:rsidRDefault="00226C2F" w:rsidP="00226C2F">
      <w:pPr>
        <w:spacing w:after="0" w:line="240" w:lineRule="auto"/>
        <w:jc w:val="center"/>
        <w:rPr>
          <w:rFonts w:cstheme="minorHAnsi"/>
          <w:b/>
          <w:color w:val="FFFFFF" w:themeColor="background1"/>
          <w:sz w:val="32"/>
          <w:szCs w:val="32"/>
        </w:rPr>
      </w:pPr>
    </w:p>
    <w:p w14:paraId="749B5E68" w14:textId="77777777" w:rsidR="00226C2F" w:rsidRPr="00226C2F" w:rsidRDefault="00226C2F" w:rsidP="00226C2F">
      <w:pPr>
        <w:spacing w:after="0" w:line="240" w:lineRule="auto"/>
        <w:jc w:val="center"/>
        <w:rPr>
          <w:rFonts w:cstheme="minorHAnsi"/>
          <w:b/>
          <w:color w:val="FFFFFF" w:themeColor="background1"/>
          <w:sz w:val="20"/>
          <w:szCs w:val="20"/>
        </w:rPr>
      </w:pPr>
    </w:p>
    <w:p w14:paraId="0781AEA6" w14:textId="77777777" w:rsidR="00226C2F" w:rsidRPr="005F0DEC" w:rsidRDefault="00226C2F" w:rsidP="00C943B2">
      <w:pPr>
        <w:rPr>
          <w:rFonts w:ascii="Segoe UI" w:hAnsi="Segoe UI" w:cs="Segoe UI"/>
          <w:b/>
          <w:color w:val="000000" w:themeColor="text1"/>
          <w:sz w:val="20"/>
          <w:szCs w:val="20"/>
        </w:rPr>
      </w:pPr>
    </w:p>
    <w:p w14:paraId="1515DB51" w14:textId="77777777" w:rsidR="00B55B74" w:rsidRPr="00E843AB" w:rsidRDefault="00B55B74" w:rsidP="00673A7C">
      <w:pPr>
        <w:pStyle w:val="Prrafodelista"/>
        <w:numPr>
          <w:ilvl w:val="0"/>
          <w:numId w:val="6"/>
        </w:numPr>
        <w:ind w:left="360"/>
        <w:jc w:val="both"/>
        <w:rPr>
          <w:sz w:val="20"/>
          <w:szCs w:val="20"/>
        </w:rPr>
      </w:pPr>
      <w:r w:rsidRPr="00E843AB">
        <w:rPr>
          <w:caps/>
          <w:sz w:val="20"/>
          <w:szCs w:val="20"/>
        </w:rPr>
        <w:t xml:space="preserve">Achón Bruñén, M. J. </w:t>
      </w:r>
      <w:r w:rsidRPr="00E843AB">
        <w:rPr>
          <w:sz w:val="20"/>
          <w:szCs w:val="20"/>
        </w:rPr>
        <w:t xml:space="preserve">“Qué ha cambiado tras la Sentencia del TJUE de 16 de julio de 2020: gastos hipotecarios, comisión de apertura, prescripción de la acción y costas”: </w:t>
      </w:r>
      <w:r w:rsidRPr="00E843AB">
        <w:rPr>
          <w:i/>
          <w:sz w:val="20"/>
          <w:szCs w:val="20"/>
        </w:rPr>
        <w:t>Diario La Ley</w:t>
      </w:r>
      <w:r w:rsidRPr="00E843AB">
        <w:rPr>
          <w:sz w:val="20"/>
          <w:szCs w:val="20"/>
        </w:rPr>
        <w:t>, Nº 9700, 2020.</w:t>
      </w:r>
    </w:p>
    <w:p w14:paraId="028B7112" w14:textId="77777777" w:rsidR="00B55B74" w:rsidRPr="00B55B74" w:rsidRDefault="00B55B74" w:rsidP="00673A7C">
      <w:pPr>
        <w:numPr>
          <w:ilvl w:val="0"/>
          <w:numId w:val="5"/>
        </w:numPr>
        <w:ind w:left="360"/>
        <w:contextualSpacing/>
        <w:jc w:val="both"/>
        <w:rPr>
          <w:sz w:val="20"/>
          <w:szCs w:val="20"/>
        </w:rPr>
      </w:pPr>
      <w:r w:rsidRPr="00B55B74">
        <w:rPr>
          <w:caps/>
          <w:sz w:val="20"/>
          <w:szCs w:val="20"/>
        </w:rPr>
        <w:t xml:space="preserve">Adán Domènech, F. </w:t>
      </w:r>
      <w:r w:rsidRPr="00B55B74">
        <w:rPr>
          <w:sz w:val="20"/>
          <w:szCs w:val="20"/>
        </w:rPr>
        <w:t xml:space="preserve">“Concesión de moratorias a los deudores de préstamos y créditos como consecuencia del Covid-19”: </w:t>
      </w:r>
      <w:r w:rsidRPr="00B55B74">
        <w:rPr>
          <w:i/>
          <w:sz w:val="20"/>
          <w:szCs w:val="20"/>
        </w:rPr>
        <w:t>Revista jurídica de Catalunya</w:t>
      </w:r>
      <w:r w:rsidRPr="00B55B74">
        <w:rPr>
          <w:sz w:val="20"/>
          <w:szCs w:val="20"/>
        </w:rPr>
        <w:t>, Vol. 119, Nº 2, 2020, págs. 345-358.</w:t>
      </w:r>
    </w:p>
    <w:p w14:paraId="3A7D6D52" w14:textId="77777777" w:rsidR="00B55B74" w:rsidRPr="00B55B74" w:rsidRDefault="00B55B74" w:rsidP="00673A7C">
      <w:pPr>
        <w:ind w:left="360"/>
        <w:contextualSpacing/>
        <w:jc w:val="both"/>
        <w:rPr>
          <w:sz w:val="20"/>
          <w:szCs w:val="20"/>
        </w:rPr>
      </w:pPr>
    </w:p>
    <w:p w14:paraId="78D7BBF4" w14:textId="77777777" w:rsidR="00B55B74" w:rsidRPr="00B55B74" w:rsidRDefault="00B55B74" w:rsidP="00673A7C">
      <w:pPr>
        <w:numPr>
          <w:ilvl w:val="0"/>
          <w:numId w:val="5"/>
        </w:numPr>
        <w:ind w:left="360"/>
        <w:contextualSpacing/>
        <w:jc w:val="both"/>
        <w:rPr>
          <w:sz w:val="20"/>
          <w:szCs w:val="20"/>
        </w:rPr>
      </w:pPr>
      <w:r w:rsidRPr="00B55B74">
        <w:rPr>
          <w:caps/>
          <w:sz w:val="20"/>
          <w:szCs w:val="20"/>
        </w:rPr>
        <w:t>Adán Doménech, F.</w:t>
      </w:r>
      <w:r w:rsidRPr="00B55B74">
        <w:rPr>
          <w:sz w:val="20"/>
          <w:szCs w:val="20"/>
        </w:rPr>
        <w:t xml:space="preserve"> “Tratamiento judicial de las hipotecas con índice IRPH: ¿quo </w:t>
      </w:r>
      <w:proofErr w:type="spellStart"/>
      <w:r w:rsidRPr="00B55B74">
        <w:rPr>
          <w:sz w:val="20"/>
          <w:szCs w:val="20"/>
        </w:rPr>
        <w:t>vadis</w:t>
      </w:r>
      <w:proofErr w:type="spellEnd"/>
      <w:r w:rsidRPr="00B55B74">
        <w:rPr>
          <w:sz w:val="20"/>
          <w:szCs w:val="20"/>
        </w:rPr>
        <w:t xml:space="preserve">?”: </w:t>
      </w:r>
      <w:r w:rsidRPr="00B55B74">
        <w:rPr>
          <w:i/>
          <w:sz w:val="20"/>
          <w:szCs w:val="20"/>
        </w:rPr>
        <w:t>Revista Crítica de Derecho Inmobiliario</w:t>
      </w:r>
      <w:r w:rsidRPr="00B55B74">
        <w:rPr>
          <w:sz w:val="20"/>
          <w:szCs w:val="20"/>
        </w:rPr>
        <w:t>, Año nº 96, Nº 780, 2020, págs. 2484-2504.</w:t>
      </w:r>
    </w:p>
    <w:p w14:paraId="07527655" w14:textId="77777777" w:rsidR="00B55B74" w:rsidRPr="00B55B74" w:rsidRDefault="00B55B74" w:rsidP="00673A7C">
      <w:pPr>
        <w:ind w:left="360"/>
        <w:contextualSpacing/>
        <w:jc w:val="both"/>
        <w:rPr>
          <w:sz w:val="20"/>
          <w:szCs w:val="20"/>
        </w:rPr>
      </w:pPr>
    </w:p>
    <w:p w14:paraId="01924392" w14:textId="77777777" w:rsidR="00B55B74" w:rsidRPr="00B55B74" w:rsidRDefault="00B55B74" w:rsidP="00673A7C">
      <w:pPr>
        <w:numPr>
          <w:ilvl w:val="0"/>
          <w:numId w:val="5"/>
        </w:numPr>
        <w:ind w:left="360"/>
        <w:contextualSpacing/>
        <w:jc w:val="both"/>
        <w:rPr>
          <w:sz w:val="20"/>
          <w:szCs w:val="20"/>
        </w:rPr>
      </w:pPr>
      <w:r w:rsidRPr="00B55B74">
        <w:rPr>
          <w:sz w:val="20"/>
          <w:szCs w:val="20"/>
        </w:rPr>
        <w:t xml:space="preserve">AGÜERO ORTIZ, A. “Análisis jurisprudencial de la evolución del control de transparencia de las cláusulas suelo”: </w:t>
      </w:r>
      <w:r w:rsidRPr="00B55B74">
        <w:rPr>
          <w:i/>
          <w:sz w:val="20"/>
          <w:szCs w:val="20"/>
        </w:rPr>
        <w:t>Revista CESCO de Derecho de Consumo</w:t>
      </w:r>
      <w:r w:rsidRPr="00B55B74">
        <w:rPr>
          <w:sz w:val="20"/>
          <w:szCs w:val="20"/>
        </w:rPr>
        <w:t xml:space="preserve">, nº 36 (octubre-diciembre) 2020, págs. 90-103. </w:t>
      </w:r>
    </w:p>
    <w:p w14:paraId="6336DD5A" w14:textId="77777777" w:rsidR="00B55B74" w:rsidRPr="00B55B74" w:rsidRDefault="00B55B74" w:rsidP="00673A7C">
      <w:pPr>
        <w:ind w:left="360"/>
        <w:contextualSpacing/>
        <w:jc w:val="both"/>
        <w:rPr>
          <w:sz w:val="20"/>
          <w:szCs w:val="20"/>
        </w:rPr>
      </w:pPr>
    </w:p>
    <w:p w14:paraId="4AD6B112" w14:textId="77777777" w:rsidR="00B55B74" w:rsidRPr="00B55B74" w:rsidRDefault="00B55B74" w:rsidP="00673A7C">
      <w:pPr>
        <w:numPr>
          <w:ilvl w:val="0"/>
          <w:numId w:val="5"/>
        </w:numPr>
        <w:ind w:left="360"/>
        <w:contextualSpacing/>
        <w:jc w:val="both"/>
        <w:rPr>
          <w:sz w:val="20"/>
          <w:szCs w:val="20"/>
        </w:rPr>
      </w:pPr>
      <w:r w:rsidRPr="00B55B74">
        <w:rPr>
          <w:sz w:val="20"/>
          <w:szCs w:val="20"/>
        </w:rPr>
        <w:t xml:space="preserve">AGÜERO ORTIZ, A. “Normas de protección del inversor en plataformas de financiación participativa para empresas en el Reglamento 2020/1503”: </w:t>
      </w:r>
      <w:r w:rsidRPr="00B55B74">
        <w:rPr>
          <w:i/>
          <w:sz w:val="20"/>
          <w:szCs w:val="20"/>
        </w:rPr>
        <w:t>Revista CESCO de Derecho de Consumo</w:t>
      </w:r>
      <w:r w:rsidRPr="00B55B74">
        <w:rPr>
          <w:sz w:val="20"/>
          <w:szCs w:val="20"/>
        </w:rPr>
        <w:t>, nº 36 (octubre-diciembre) 2020, págs. 144-165.</w:t>
      </w:r>
    </w:p>
    <w:p w14:paraId="2953C9A5" w14:textId="77777777" w:rsidR="00B55B74" w:rsidRPr="00B55B74" w:rsidRDefault="00B55B74" w:rsidP="00673A7C">
      <w:pPr>
        <w:ind w:left="360"/>
        <w:contextualSpacing/>
        <w:jc w:val="both"/>
        <w:rPr>
          <w:sz w:val="20"/>
          <w:szCs w:val="20"/>
        </w:rPr>
      </w:pPr>
    </w:p>
    <w:p w14:paraId="0E6B8B12" w14:textId="77777777" w:rsidR="00B55B74" w:rsidRPr="00B55B74" w:rsidRDefault="00B55B74" w:rsidP="00673A7C">
      <w:pPr>
        <w:numPr>
          <w:ilvl w:val="0"/>
          <w:numId w:val="5"/>
        </w:numPr>
        <w:ind w:left="360"/>
        <w:contextualSpacing/>
        <w:jc w:val="both"/>
        <w:rPr>
          <w:sz w:val="20"/>
          <w:szCs w:val="20"/>
        </w:rPr>
      </w:pPr>
      <w:r w:rsidRPr="00B55B74">
        <w:rPr>
          <w:caps/>
          <w:sz w:val="20"/>
          <w:szCs w:val="20"/>
        </w:rPr>
        <w:t xml:space="preserve">Aguilera Morales, M. </w:t>
      </w:r>
      <w:r w:rsidRPr="00B55B74">
        <w:rPr>
          <w:sz w:val="20"/>
          <w:szCs w:val="20"/>
        </w:rPr>
        <w:t xml:space="preserve">“El penúltimo capítulo sobre cláusulas abusivas: reflexiones al hilo de la sentencia TJUE "Ibercaja Banco"”: </w:t>
      </w:r>
      <w:r w:rsidRPr="00B55B74">
        <w:rPr>
          <w:i/>
          <w:sz w:val="20"/>
          <w:szCs w:val="20"/>
        </w:rPr>
        <w:t>Revista española de derecho europeo</w:t>
      </w:r>
      <w:r w:rsidRPr="00B55B74">
        <w:rPr>
          <w:sz w:val="20"/>
          <w:szCs w:val="20"/>
        </w:rPr>
        <w:t>, Nº. 75, 2020, págs. 103-119.</w:t>
      </w:r>
    </w:p>
    <w:p w14:paraId="4EC2F9FF" w14:textId="77777777" w:rsidR="00B55B74" w:rsidRPr="00B55B74" w:rsidRDefault="00B55B74" w:rsidP="00673A7C">
      <w:pPr>
        <w:ind w:left="360"/>
        <w:contextualSpacing/>
        <w:jc w:val="both"/>
        <w:rPr>
          <w:sz w:val="20"/>
          <w:szCs w:val="20"/>
        </w:rPr>
      </w:pPr>
    </w:p>
    <w:p w14:paraId="28FD77EA" w14:textId="77777777" w:rsidR="00B55B74" w:rsidRPr="00B55B74" w:rsidRDefault="00B55B74" w:rsidP="00673A7C">
      <w:pPr>
        <w:numPr>
          <w:ilvl w:val="0"/>
          <w:numId w:val="5"/>
        </w:numPr>
        <w:ind w:left="360"/>
        <w:contextualSpacing/>
        <w:jc w:val="both"/>
        <w:rPr>
          <w:sz w:val="20"/>
          <w:szCs w:val="20"/>
        </w:rPr>
      </w:pPr>
      <w:r w:rsidRPr="00B55B74">
        <w:rPr>
          <w:caps/>
          <w:sz w:val="20"/>
          <w:szCs w:val="20"/>
        </w:rPr>
        <w:t xml:space="preserve">Aguirre Seoane, J. </w:t>
      </w:r>
      <w:r w:rsidRPr="00B55B74">
        <w:rPr>
          <w:sz w:val="20"/>
          <w:szCs w:val="20"/>
        </w:rPr>
        <w:t xml:space="preserve">“La transacción en los conflictos colectivos de consumo”: </w:t>
      </w:r>
      <w:r w:rsidRPr="00B55B74">
        <w:rPr>
          <w:i/>
          <w:sz w:val="20"/>
          <w:szCs w:val="20"/>
        </w:rPr>
        <w:t>Diario La Ley</w:t>
      </w:r>
      <w:r w:rsidRPr="00B55B74">
        <w:rPr>
          <w:sz w:val="20"/>
          <w:szCs w:val="20"/>
        </w:rPr>
        <w:t>, Nº 9718, 2020.</w:t>
      </w:r>
    </w:p>
    <w:p w14:paraId="1EEE2267" w14:textId="77777777" w:rsidR="00B55B74" w:rsidRPr="00B55B74" w:rsidRDefault="00B55B74" w:rsidP="00673A7C">
      <w:pPr>
        <w:ind w:left="360"/>
        <w:contextualSpacing/>
        <w:jc w:val="both"/>
        <w:rPr>
          <w:sz w:val="20"/>
          <w:szCs w:val="20"/>
        </w:rPr>
      </w:pPr>
    </w:p>
    <w:p w14:paraId="30AA8D74" w14:textId="77777777" w:rsidR="00B55B74" w:rsidRPr="00B55B74" w:rsidRDefault="00B55B74" w:rsidP="00673A7C">
      <w:pPr>
        <w:numPr>
          <w:ilvl w:val="0"/>
          <w:numId w:val="5"/>
        </w:numPr>
        <w:ind w:left="360"/>
        <w:contextualSpacing/>
        <w:jc w:val="both"/>
        <w:rPr>
          <w:sz w:val="20"/>
          <w:szCs w:val="20"/>
        </w:rPr>
      </w:pPr>
      <w:r w:rsidRPr="00B55B74">
        <w:rPr>
          <w:caps/>
          <w:sz w:val="20"/>
          <w:szCs w:val="20"/>
        </w:rPr>
        <w:t xml:space="preserve">Alvarez Royo-Villanova, S. </w:t>
      </w:r>
      <w:r w:rsidRPr="00B55B74">
        <w:rPr>
          <w:sz w:val="20"/>
          <w:szCs w:val="20"/>
        </w:rPr>
        <w:t xml:space="preserve">“Gastos de hipoteca y comisión de apertura: novedades en la sentencia del TJUE de 16 de julio de 2020”: </w:t>
      </w:r>
      <w:r w:rsidRPr="00B55B74">
        <w:rPr>
          <w:i/>
          <w:sz w:val="20"/>
          <w:szCs w:val="20"/>
        </w:rPr>
        <w:t>El notario del siglo XXI: revista del Colegio Notarial de Madrid</w:t>
      </w:r>
      <w:r w:rsidRPr="00B55B74">
        <w:rPr>
          <w:sz w:val="20"/>
          <w:szCs w:val="20"/>
        </w:rPr>
        <w:t>, Nº. 93, 2020, págs. 22-27.</w:t>
      </w:r>
    </w:p>
    <w:p w14:paraId="1A017249" w14:textId="77777777" w:rsidR="00B55B74" w:rsidRPr="00B55B74" w:rsidRDefault="00B55B74" w:rsidP="00673A7C">
      <w:pPr>
        <w:ind w:left="360"/>
        <w:contextualSpacing/>
        <w:jc w:val="both"/>
        <w:rPr>
          <w:sz w:val="20"/>
          <w:szCs w:val="20"/>
        </w:rPr>
      </w:pPr>
    </w:p>
    <w:p w14:paraId="448A1783" w14:textId="77777777" w:rsidR="00B55B74" w:rsidRPr="00B55B74" w:rsidRDefault="00B55B74" w:rsidP="00673A7C">
      <w:pPr>
        <w:numPr>
          <w:ilvl w:val="0"/>
          <w:numId w:val="5"/>
        </w:numPr>
        <w:ind w:left="360"/>
        <w:contextualSpacing/>
        <w:jc w:val="both"/>
        <w:rPr>
          <w:sz w:val="20"/>
          <w:szCs w:val="20"/>
        </w:rPr>
      </w:pPr>
      <w:r w:rsidRPr="00B55B74">
        <w:rPr>
          <w:caps/>
          <w:sz w:val="20"/>
          <w:szCs w:val="20"/>
        </w:rPr>
        <w:t>Ballugera Gómez, C</w:t>
      </w:r>
      <w:r w:rsidRPr="00B55B74">
        <w:rPr>
          <w:sz w:val="20"/>
          <w:szCs w:val="20"/>
        </w:rPr>
        <w:t xml:space="preserve">. “El Supremo declara válidas varias cláusulas IRPH”: </w:t>
      </w:r>
      <w:r w:rsidRPr="00B55B74">
        <w:rPr>
          <w:i/>
          <w:sz w:val="20"/>
          <w:szCs w:val="20"/>
        </w:rPr>
        <w:t xml:space="preserve">Revista de Derecho </w:t>
      </w:r>
      <w:proofErr w:type="spellStart"/>
      <w:r w:rsidRPr="00B55B74">
        <w:rPr>
          <w:i/>
          <w:sz w:val="20"/>
          <w:szCs w:val="20"/>
        </w:rPr>
        <w:t>vLex</w:t>
      </w:r>
      <w:proofErr w:type="spellEnd"/>
      <w:r w:rsidRPr="00B55B74">
        <w:rPr>
          <w:sz w:val="20"/>
          <w:szCs w:val="20"/>
        </w:rPr>
        <w:t xml:space="preserve">, Nº. 199, Diciembre 2020. </w:t>
      </w:r>
    </w:p>
    <w:p w14:paraId="00B4D0E3" w14:textId="77777777" w:rsidR="00B55B74" w:rsidRPr="00B55B74" w:rsidRDefault="00B55B74" w:rsidP="00673A7C">
      <w:pPr>
        <w:ind w:left="360"/>
        <w:contextualSpacing/>
        <w:jc w:val="both"/>
        <w:rPr>
          <w:sz w:val="20"/>
          <w:szCs w:val="20"/>
        </w:rPr>
      </w:pPr>
    </w:p>
    <w:p w14:paraId="76CB980D" w14:textId="3097B84C" w:rsidR="00673A7C" w:rsidRDefault="00B55B74" w:rsidP="00673A7C">
      <w:pPr>
        <w:numPr>
          <w:ilvl w:val="0"/>
          <w:numId w:val="5"/>
        </w:numPr>
        <w:ind w:left="360"/>
        <w:contextualSpacing/>
        <w:jc w:val="both"/>
        <w:rPr>
          <w:caps/>
          <w:sz w:val="20"/>
          <w:szCs w:val="20"/>
        </w:rPr>
      </w:pPr>
      <w:r w:rsidRPr="00B55B74">
        <w:rPr>
          <w:caps/>
          <w:sz w:val="20"/>
          <w:szCs w:val="20"/>
        </w:rPr>
        <w:t xml:space="preserve">Ballugera Gómez, C. </w:t>
      </w:r>
      <w:r w:rsidRPr="00B55B74">
        <w:rPr>
          <w:sz w:val="20"/>
          <w:szCs w:val="20"/>
        </w:rPr>
        <w:t>“Los requisitos de la comisión de descubierto. Comentario a las SSTS de 13 de marzo y 15 de julio de 2020”</w:t>
      </w:r>
      <w:r w:rsidRPr="00B55B74">
        <w:rPr>
          <w:caps/>
          <w:sz w:val="20"/>
          <w:szCs w:val="20"/>
        </w:rPr>
        <w:t xml:space="preserve">: </w:t>
      </w:r>
      <w:r w:rsidRPr="00B55B74">
        <w:rPr>
          <w:i/>
          <w:sz w:val="20"/>
          <w:szCs w:val="20"/>
        </w:rPr>
        <w:t xml:space="preserve">Revista de Derecho </w:t>
      </w:r>
      <w:proofErr w:type="spellStart"/>
      <w:r w:rsidRPr="00B55B74">
        <w:rPr>
          <w:i/>
          <w:sz w:val="20"/>
          <w:szCs w:val="20"/>
        </w:rPr>
        <w:t>vLex</w:t>
      </w:r>
      <w:proofErr w:type="spellEnd"/>
      <w:r w:rsidRPr="00B55B74">
        <w:rPr>
          <w:caps/>
          <w:sz w:val="20"/>
          <w:szCs w:val="20"/>
        </w:rPr>
        <w:t xml:space="preserve">, </w:t>
      </w:r>
      <w:r w:rsidRPr="00B55B74">
        <w:rPr>
          <w:sz w:val="20"/>
          <w:szCs w:val="20"/>
        </w:rPr>
        <w:t xml:space="preserve">Nº. 197, </w:t>
      </w:r>
      <w:r w:rsidR="00673A7C" w:rsidRPr="00B55B74">
        <w:rPr>
          <w:sz w:val="20"/>
          <w:szCs w:val="20"/>
        </w:rPr>
        <w:t>octubre</w:t>
      </w:r>
      <w:r w:rsidRPr="00B55B74">
        <w:rPr>
          <w:sz w:val="20"/>
          <w:szCs w:val="20"/>
        </w:rPr>
        <w:t xml:space="preserve"> 2020. </w:t>
      </w:r>
    </w:p>
    <w:p w14:paraId="77B05A37" w14:textId="77777777" w:rsidR="00673A7C" w:rsidRPr="00673A7C" w:rsidRDefault="00673A7C" w:rsidP="00673A7C">
      <w:pPr>
        <w:contextualSpacing/>
        <w:jc w:val="both"/>
        <w:rPr>
          <w:caps/>
          <w:sz w:val="20"/>
          <w:szCs w:val="20"/>
        </w:rPr>
      </w:pPr>
    </w:p>
    <w:p w14:paraId="4A3BC074" w14:textId="028783B0" w:rsidR="00673A7C" w:rsidRDefault="00673A7C" w:rsidP="00673A7C">
      <w:pPr>
        <w:numPr>
          <w:ilvl w:val="0"/>
          <w:numId w:val="5"/>
        </w:numPr>
        <w:ind w:left="360"/>
        <w:contextualSpacing/>
        <w:jc w:val="both"/>
        <w:rPr>
          <w:caps/>
          <w:sz w:val="20"/>
          <w:szCs w:val="20"/>
        </w:rPr>
      </w:pPr>
      <w:r w:rsidRPr="00673A7C">
        <w:rPr>
          <w:caps/>
          <w:sz w:val="20"/>
          <w:szCs w:val="20"/>
        </w:rPr>
        <w:t xml:space="preserve">BALLUGERA GÓMEZ, </w:t>
      </w:r>
      <w:r w:rsidRPr="00673A7C">
        <w:rPr>
          <w:sz w:val="20"/>
          <w:szCs w:val="20"/>
        </w:rPr>
        <w:t>C.</w:t>
      </w:r>
      <w:r w:rsidRPr="00673A7C">
        <w:t xml:space="preserve"> </w:t>
      </w:r>
      <w:r w:rsidRPr="00673A7C">
        <w:rPr>
          <w:sz w:val="20"/>
          <w:szCs w:val="20"/>
        </w:rPr>
        <w:t>“Las suposiciones sustituyen a la prueba de la transparencia y la negociación en</w:t>
      </w:r>
      <w:r w:rsidRPr="00673A7C">
        <w:rPr>
          <w:sz w:val="20"/>
          <w:szCs w:val="20"/>
        </w:rPr>
        <w:t xml:space="preserve"> </w:t>
      </w:r>
      <w:r w:rsidRPr="00673A7C">
        <w:rPr>
          <w:sz w:val="20"/>
          <w:szCs w:val="20"/>
        </w:rPr>
        <w:t xml:space="preserve">la hipoteca”, </w:t>
      </w:r>
      <w:r w:rsidRPr="00673A7C">
        <w:rPr>
          <w:i/>
          <w:iCs/>
          <w:sz w:val="20"/>
          <w:szCs w:val="20"/>
        </w:rPr>
        <w:t xml:space="preserve">Revista de Derecho </w:t>
      </w:r>
      <w:proofErr w:type="spellStart"/>
      <w:r w:rsidRPr="00673A7C">
        <w:rPr>
          <w:i/>
          <w:iCs/>
          <w:sz w:val="20"/>
          <w:szCs w:val="20"/>
        </w:rPr>
        <w:t>vLex</w:t>
      </w:r>
      <w:proofErr w:type="spellEnd"/>
      <w:r w:rsidRPr="00673A7C">
        <w:rPr>
          <w:sz w:val="20"/>
          <w:szCs w:val="20"/>
        </w:rPr>
        <w:t>, Nº.</w:t>
      </w:r>
      <w:r w:rsidRPr="00673A7C">
        <w:rPr>
          <w:sz w:val="20"/>
          <w:szCs w:val="20"/>
        </w:rPr>
        <w:t xml:space="preserve"> 197,</w:t>
      </w:r>
      <w:r w:rsidRPr="00673A7C">
        <w:rPr>
          <w:sz w:val="20"/>
          <w:szCs w:val="20"/>
        </w:rPr>
        <w:t xml:space="preserve"> </w:t>
      </w:r>
      <w:r w:rsidRPr="00673A7C">
        <w:rPr>
          <w:sz w:val="20"/>
          <w:szCs w:val="20"/>
        </w:rPr>
        <w:t>octubre 2020.</w:t>
      </w:r>
    </w:p>
    <w:p w14:paraId="23D3B4E8" w14:textId="77777777" w:rsidR="00673A7C" w:rsidRPr="00673A7C" w:rsidRDefault="00673A7C" w:rsidP="00673A7C">
      <w:pPr>
        <w:contextualSpacing/>
        <w:jc w:val="both"/>
        <w:rPr>
          <w:caps/>
          <w:sz w:val="20"/>
          <w:szCs w:val="20"/>
        </w:rPr>
      </w:pPr>
    </w:p>
    <w:p w14:paraId="4C3F3042" w14:textId="71DCF1F5" w:rsidR="00673A7C" w:rsidRPr="00673A7C" w:rsidRDefault="00673A7C" w:rsidP="00673A7C">
      <w:pPr>
        <w:numPr>
          <w:ilvl w:val="0"/>
          <w:numId w:val="5"/>
        </w:numPr>
        <w:ind w:left="360"/>
        <w:contextualSpacing/>
        <w:jc w:val="both"/>
        <w:rPr>
          <w:caps/>
          <w:sz w:val="20"/>
          <w:szCs w:val="20"/>
        </w:rPr>
      </w:pPr>
      <w:r w:rsidRPr="00673A7C">
        <w:rPr>
          <w:caps/>
          <w:sz w:val="20"/>
          <w:szCs w:val="20"/>
        </w:rPr>
        <w:t>Ballugera Gómez, C</w:t>
      </w:r>
      <w:r w:rsidRPr="00673A7C">
        <w:rPr>
          <w:sz w:val="20"/>
          <w:szCs w:val="20"/>
        </w:rPr>
        <w:t>.</w:t>
      </w:r>
      <w:r w:rsidRPr="00673A7C">
        <w:t xml:space="preserve"> </w:t>
      </w:r>
      <w:r w:rsidRPr="00673A7C">
        <w:rPr>
          <w:sz w:val="20"/>
          <w:szCs w:val="20"/>
        </w:rPr>
        <w:t xml:space="preserve">“El efecto </w:t>
      </w:r>
      <w:r>
        <w:rPr>
          <w:sz w:val="20"/>
          <w:szCs w:val="20"/>
        </w:rPr>
        <w:t>“</w:t>
      </w:r>
      <w:r w:rsidRPr="00673A7C">
        <w:rPr>
          <w:sz w:val="20"/>
          <w:szCs w:val="20"/>
        </w:rPr>
        <w:t>ultra partes</w:t>
      </w:r>
      <w:r>
        <w:rPr>
          <w:sz w:val="20"/>
          <w:szCs w:val="20"/>
        </w:rPr>
        <w:t>”</w:t>
      </w:r>
      <w:r w:rsidRPr="00673A7C">
        <w:rPr>
          <w:sz w:val="20"/>
          <w:szCs w:val="20"/>
        </w:rPr>
        <w:t xml:space="preserve"> de las sentencias de nulidad de condiciones generales”,</w:t>
      </w:r>
      <w:r w:rsidRPr="00673A7C">
        <w:rPr>
          <w:sz w:val="20"/>
          <w:szCs w:val="20"/>
        </w:rPr>
        <w:t xml:space="preserve"> </w:t>
      </w:r>
      <w:r w:rsidRPr="00673A7C">
        <w:rPr>
          <w:i/>
          <w:iCs/>
          <w:sz w:val="20"/>
          <w:szCs w:val="20"/>
        </w:rPr>
        <w:t>Memoria 2019 CCU</w:t>
      </w:r>
      <w:r w:rsidRPr="00673A7C">
        <w:rPr>
          <w:sz w:val="20"/>
          <w:szCs w:val="20"/>
        </w:rPr>
        <w:t>, octubre 2020, p</w:t>
      </w:r>
      <w:r w:rsidRPr="00673A7C">
        <w:rPr>
          <w:sz w:val="20"/>
          <w:szCs w:val="20"/>
        </w:rPr>
        <w:t>ágs</w:t>
      </w:r>
      <w:r w:rsidRPr="00673A7C">
        <w:rPr>
          <w:sz w:val="20"/>
          <w:szCs w:val="20"/>
        </w:rPr>
        <w:t>. 28-46.</w:t>
      </w:r>
    </w:p>
    <w:p w14:paraId="27D78356" w14:textId="77777777" w:rsidR="00B55B74" w:rsidRPr="00B55B74" w:rsidRDefault="00B55B74" w:rsidP="00673A7C">
      <w:pPr>
        <w:ind w:left="360"/>
        <w:contextualSpacing/>
        <w:jc w:val="both"/>
        <w:rPr>
          <w:caps/>
          <w:sz w:val="20"/>
          <w:szCs w:val="20"/>
        </w:rPr>
      </w:pPr>
    </w:p>
    <w:p w14:paraId="11D63840" w14:textId="77777777" w:rsidR="00B55B74" w:rsidRPr="00B55B74" w:rsidRDefault="00B55B74" w:rsidP="00673A7C">
      <w:pPr>
        <w:numPr>
          <w:ilvl w:val="0"/>
          <w:numId w:val="5"/>
        </w:numPr>
        <w:ind w:left="360"/>
        <w:contextualSpacing/>
        <w:jc w:val="both"/>
        <w:rPr>
          <w:sz w:val="20"/>
          <w:szCs w:val="20"/>
        </w:rPr>
      </w:pPr>
      <w:r w:rsidRPr="00B55B74">
        <w:rPr>
          <w:sz w:val="20"/>
          <w:szCs w:val="20"/>
        </w:rPr>
        <w:lastRenderedPageBreak/>
        <w:t xml:space="preserve">BÁRCENA SUÁREZ, N. “Análisis de las consecuencias jurídicas y económicas de la aplicación de la Ley 5/2019, de 15 de marzo, reguladora de los contratos de crédito inmobiliario”: </w:t>
      </w:r>
      <w:r w:rsidRPr="00B55B74">
        <w:rPr>
          <w:i/>
          <w:sz w:val="20"/>
          <w:szCs w:val="20"/>
        </w:rPr>
        <w:t>Revista CESCO de Derecho de Consumo</w:t>
      </w:r>
      <w:r w:rsidRPr="00B55B74">
        <w:rPr>
          <w:sz w:val="20"/>
          <w:szCs w:val="20"/>
        </w:rPr>
        <w:t>, nº 36 (octubre-diciembre) 2020, págs. 116-129.</w:t>
      </w:r>
    </w:p>
    <w:p w14:paraId="62389B58" w14:textId="77777777" w:rsidR="00B55B74" w:rsidRPr="00B55B74" w:rsidRDefault="00B55B74" w:rsidP="00673A7C">
      <w:pPr>
        <w:ind w:left="360"/>
        <w:contextualSpacing/>
        <w:jc w:val="both"/>
        <w:rPr>
          <w:sz w:val="20"/>
          <w:szCs w:val="20"/>
        </w:rPr>
      </w:pPr>
    </w:p>
    <w:p w14:paraId="30AC67FB" w14:textId="77777777" w:rsidR="00B55B74" w:rsidRPr="00B55B74" w:rsidRDefault="00B55B74" w:rsidP="00673A7C">
      <w:pPr>
        <w:numPr>
          <w:ilvl w:val="0"/>
          <w:numId w:val="5"/>
        </w:numPr>
        <w:ind w:left="360"/>
        <w:contextualSpacing/>
        <w:jc w:val="both"/>
        <w:rPr>
          <w:sz w:val="20"/>
          <w:szCs w:val="20"/>
        </w:rPr>
      </w:pPr>
      <w:r w:rsidRPr="00B55B74">
        <w:rPr>
          <w:caps/>
          <w:sz w:val="20"/>
          <w:szCs w:val="20"/>
        </w:rPr>
        <w:t>Berrocal Lanzarot</w:t>
      </w:r>
      <w:r w:rsidRPr="00B55B74">
        <w:rPr>
          <w:sz w:val="20"/>
          <w:szCs w:val="20"/>
        </w:rPr>
        <w:t xml:space="preserve">, A. I. “Crédito </w:t>
      </w:r>
      <w:proofErr w:type="spellStart"/>
      <w:r w:rsidRPr="00B55B74">
        <w:rPr>
          <w:sz w:val="20"/>
          <w:szCs w:val="20"/>
        </w:rPr>
        <w:t>revolving</w:t>
      </w:r>
      <w:proofErr w:type="spellEnd"/>
      <w:r w:rsidRPr="00B55B74">
        <w:rPr>
          <w:sz w:val="20"/>
          <w:szCs w:val="20"/>
        </w:rPr>
        <w:t xml:space="preserve"> o rotativo y usura (2ª parte)”: </w:t>
      </w:r>
      <w:r w:rsidRPr="00B55B74">
        <w:rPr>
          <w:i/>
          <w:sz w:val="20"/>
          <w:szCs w:val="20"/>
        </w:rPr>
        <w:t>Revista de Derecho, Empresa y Sociedad (REDS)</w:t>
      </w:r>
      <w:r w:rsidRPr="00B55B74">
        <w:rPr>
          <w:sz w:val="20"/>
          <w:szCs w:val="20"/>
        </w:rPr>
        <w:t>, Nº. 16, 2020, págs. 51-78.</w:t>
      </w:r>
    </w:p>
    <w:p w14:paraId="611DE4A5" w14:textId="77777777" w:rsidR="00B55B74" w:rsidRPr="00B55B74" w:rsidRDefault="00B55B74" w:rsidP="00673A7C">
      <w:pPr>
        <w:ind w:left="360"/>
        <w:contextualSpacing/>
        <w:jc w:val="both"/>
        <w:rPr>
          <w:sz w:val="20"/>
          <w:szCs w:val="20"/>
        </w:rPr>
      </w:pPr>
    </w:p>
    <w:p w14:paraId="52D96D53" w14:textId="77777777" w:rsidR="00B55B74" w:rsidRPr="00B55B74" w:rsidRDefault="00B55B74" w:rsidP="00673A7C">
      <w:pPr>
        <w:numPr>
          <w:ilvl w:val="0"/>
          <w:numId w:val="5"/>
        </w:numPr>
        <w:ind w:left="360"/>
        <w:contextualSpacing/>
        <w:jc w:val="both"/>
        <w:rPr>
          <w:sz w:val="20"/>
          <w:szCs w:val="20"/>
        </w:rPr>
      </w:pPr>
      <w:r w:rsidRPr="00B55B74">
        <w:rPr>
          <w:caps/>
          <w:sz w:val="20"/>
          <w:szCs w:val="20"/>
        </w:rPr>
        <w:t xml:space="preserve">Blanco Carrasco, M. </w:t>
      </w:r>
      <w:r w:rsidRPr="00B55B74">
        <w:rPr>
          <w:sz w:val="20"/>
          <w:szCs w:val="20"/>
        </w:rPr>
        <w:t xml:space="preserve">“La mediación en conflictos de consumo”: </w:t>
      </w:r>
      <w:r w:rsidRPr="00B55B74">
        <w:rPr>
          <w:i/>
          <w:sz w:val="20"/>
          <w:szCs w:val="20"/>
        </w:rPr>
        <w:t>Anuario de mediación y solución de conflictos</w:t>
      </w:r>
      <w:r w:rsidRPr="00B55B74">
        <w:rPr>
          <w:sz w:val="20"/>
          <w:szCs w:val="20"/>
        </w:rPr>
        <w:t>, Nº. 7, 2019-2020, págs. 67-90.</w:t>
      </w:r>
    </w:p>
    <w:p w14:paraId="7A43EBC1" w14:textId="77777777" w:rsidR="00B55B74" w:rsidRPr="00B55B74" w:rsidRDefault="00B55B74" w:rsidP="00673A7C">
      <w:pPr>
        <w:ind w:left="360"/>
        <w:contextualSpacing/>
        <w:jc w:val="both"/>
        <w:rPr>
          <w:sz w:val="20"/>
          <w:szCs w:val="20"/>
        </w:rPr>
      </w:pPr>
    </w:p>
    <w:p w14:paraId="1AB84CD1" w14:textId="77777777" w:rsidR="00B55B74" w:rsidRPr="00B55B74" w:rsidRDefault="00B55B74" w:rsidP="00673A7C">
      <w:pPr>
        <w:numPr>
          <w:ilvl w:val="0"/>
          <w:numId w:val="5"/>
        </w:numPr>
        <w:ind w:left="360"/>
        <w:contextualSpacing/>
        <w:jc w:val="both"/>
        <w:rPr>
          <w:sz w:val="20"/>
          <w:szCs w:val="20"/>
        </w:rPr>
      </w:pPr>
      <w:r w:rsidRPr="00B55B74">
        <w:rPr>
          <w:caps/>
          <w:sz w:val="20"/>
          <w:szCs w:val="20"/>
        </w:rPr>
        <w:t>Bonete Satorre</w:t>
      </w:r>
      <w:r w:rsidRPr="00B55B74">
        <w:rPr>
          <w:sz w:val="20"/>
          <w:szCs w:val="20"/>
        </w:rPr>
        <w:t xml:space="preserve">, B. “¿De qué forma afecta a los procesos judiciales de desahucio de vivienda las reformas legales dictadas con ocasión del Covid-19?”: </w:t>
      </w:r>
      <w:r w:rsidRPr="00B55B74">
        <w:rPr>
          <w:i/>
          <w:sz w:val="20"/>
          <w:szCs w:val="20"/>
        </w:rPr>
        <w:t>Diario La Ley</w:t>
      </w:r>
      <w:r w:rsidRPr="00B55B74">
        <w:rPr>
          <w:sz w:val="20"/>
          <w:szCs w:val="20"/>
        </w:rPr>
        <w:t>, Nº 9732, 2020.</w:t>
      </w:r>
    </w:p>
    <w:p w14:paraId="2B67B196" w14:textId="77777777" w:rsidR="00B55B74" w:rsidRPr="00B55B74" w:rsidRDefault="00B55B74" w:rsidP="00673A7C">
      <w:pPr>
        <w:ind w:left="360"/>
        <w:contextualSpacing/>
        <w:jc w:val="both"/>
        <w:rPr>
          <w:sz w:val="20"/>
          <w:szCs w:val="20"/>
        </w:rPr>
      </w:pPr>
    </w:p>
    <w:p w14:paraId="4414A228" w14:textId="77777777" w:rsidR="00B55B74" w:rsidRPr="00B55B74" w:rsidRDefault="00B55B74" w:rsidP="00673A7C">
      <w:pPr>
        <w:numPr>
          <w:ilvl w:val="0"/>
          <w:numId w:val="5"/>
        </w:numPr>
        <w:ind w:left="360"/>
        <w:contextualSpacing/>
        <w:jc w:val="both"/>
        <w:rPr>
          <w:caps/>
          <w:sz w:val="20"/>
          <w:szCs w:val="20"/>
        </w:rPr>
      </w:pPr>
      <w:r w:rsidRPr="00B55B74">
        <w:rPr>
          <w:caps/>
          <w:sz w:val="20"/>
          <w:szCs w:val="20"/>
        </w:rPr>
        <w:t xml:space="preserve">Borràs Finestres, E., Haro Benavente, J. y Pardo Ibáñez, B. </w:t>
      </w:r>
      <w:r w:rsidRPr="00B55B74">
        <w:rPr>
          <w:sz w:val="20"/>
          <w:szCs w:val="20"/>
        </w:rPr>
        <w:t xml:space="preserve">“La mediación concursal, atisbos de un verdadero sistema extrajudicial”: </w:t>
      </w:r>
      <w:r w:rsidRPr="00B55B74">
        <w:rPr>
          <w:i/>
          <w:sz w:val="20"/>
          <w:szCs w:val="20"/>
        </w:rPr>
        <w:t>Diario La Ley</w:t>
      </w:r>
      <w:r w:rsidRPr="00B55B74">
        <w:rPr>
          <w:sz w:val="20"/>
          <w:szCs w:val="20"/>
        </w:rPr>
        <w:t>, Nº 9691, 2020.</w:t>
      </w:r>
    </w:p>
    <w:p w14:paraId="669DAA20" w14:textId="77777777" w:rsidR="00B55B74" w:rsidRPr="00B55B74" w:rsidRDefault="00B55B74" w:rsidP="00673A7C">
      <w:pPr>
        <w:ind w:left="360"/>
        <w:contextualSpacing/>
        <w:jc w:val="both"/>
        <w:rPr>
          <w:caps/>
          <w:sz w:val="20"/>
          <w:szCs w:val="20"/>
        </w:rPr>
      </w:pPr>
    </w:p>
    <w:p w14:paraId="49948669" w14:textId="77777777" w:rsidR="00B55B74" w:rsidRPr="00B55B74" w:rsidRDefault="00B55B74" w:rsidP="00673A7C">
      <w:pPr>
        <w:numPr>
          <w:ilvl w:val="0"/>
          <w:numId w:val="5"/>
        </w:numPr>
        <w:ind w:left="360"/>
        <w:contextualSpacing/>
        <w:jc w:val="both"/>
        <w:rPr>
          <w:sz w:val="20"/>
          <w:szCs w:val="20"/>
        </w:rPr>
      </w:pPr>
      <w:r w:rsidRPr="00B55B74">
        <w:rPr>
          <w:caps/>
          <w:sz w:val="20"/>
          <w:szCs w:val="20"/>
        </w:rPr>
        <w:t>Botello Hermosa</w:t>
      </w:r>
      <w:r w:rsidRPr="00B55B74">
        <w:rPr>
          <w:sz w:val="20"/>
          <w:szCs w:val="20"/>
        </w:rPr>
        <w:t xml:space="preserve">, J. M. “El alojamiento colaborativo y la reconfiguración de la economía colaborativa desde una nueva perspectiva jurídica”: </w:t>
      </w:r>
      <w:r w:rsidRPr="00B55B74">
        <w:rPr>
          <w:i/>
          <w:sz w:val="20"/>
          <w:szCs w:val="20"/>
        </w:rPr>
        <w:t>Revista de Derecho, Empresa y Sociedad (REDS)</w:t>
      </w:r>
      <w:r w:rsidRPr="00B55B74">
        <w:rPr>
          <w:sz w:val="20"/>
          <w:szCs w:val="20"/>
        </w:rPr>
        <w:t>, Nº. 16, 2020, págs. 278-321.</w:t>
      </w:r>
    </w:p>
    <w:p w14:paraId="61F53C7D" w14:textId="77777777" w:rsidR="00B55B74" w:rsidRPr="00B55B74" w:rsidRDefault="00B55B74" w:rsidP="00673A7C">
      <w:pPr>
        <w:ind w:left="360"/>
        <w:contextualSpacing/>
        <w:jc w:val="both"/>
        <w:rPr>
          <w:sz w:val="20"/>
          <w:szCs w:val="20"/>
        </w:rPr>
      </w:pPr>
    </w:p>
    <w:p w14:paraId="181E7927" w14:textId="77777777" w:rsidR="00B55B74" w:rsidRPr="00B55B74" w:rsidRDefault="00B55B74" w:rsidP="00673A7C">
      <w:pPr>
        <w:numPr>
          <w:ilvl w:val="0"/>
          <w:numId w:val="5"/>
        </w:numPr>
        <w:ind w:left="360"/>
        <w:contextualSpacing/>
        <w:jc w:val="both"/>
        <w:rPr>
          <w:sz w:val="20"/>
          <w:szCs w:val="20"/>
        </w:rPr>
      </w:pPr>
      <w:r w:rsidRPr="00B55B74">
        <w:rPr>
          <w:caps/>
          <w:sz w:val="20"/>
          <w:szCs w:val="20"/>
        </w:rPr>
        <w:t xml:space="preserve">Busto Lago, J. M. </w:t>
      </w:r>
      <w:r w:rsidRPr="00B55B74">
        <w:rPr>
          <w:sz w:val="20"/>
          <w:szCs w:val="20"/>
        </w:rPr>
        <w:t xml:space="preserve">“Control de transparencia de cláusula de fijación de un tipo de interés mínimo en préstamo hipotecario a interés variable: suficiencia de la información precontractual e incompatibilidad de la transparencia con la </w:t>
      </w:r>
      <w:proofErr w:type="spellStart"/>
      <w:r w:rsidRPr="00B55B74">
        <w:rPr>
          <w:sz w:val="20"/>
          <w:szCs w:val="20"/>
        </w:rPr>
        <w:t>abusividad</w:t>
      </w:r>
      <w:proofErr w:type="spellEnd"/>
      <w:r w:rsidRPr="00B55B74">
        <w:rPr>
          <w:sz w:val="20"/>
          <w:szCs w:val="20"/>
        </w:rPr>
        <w:t xml:space="preserve">. Comentario a la STS 9/2020, de 8 de enero (RJ2019, 5390)”: </w:t>
      </w:r>
      <w:r w:rsidRPr="00B55B74">
        <w:rPr>
          <w:i/>
          <w:sz w:val="20"/>
          <w:szCs w:val="20"/>
        </w:rPr>
        <w:t xml:space="preserve">Cuadernos </w:t>
      </w:r>
      <w:proofErr w:type="spellStart"/>
      <w:r w:rsidRPr="00B55B74">
        <w:rPr>
          <w:i/>
          <w:sz w:val="20"/>
          <w:szCs w:val="20"/>
        </w:rPr>
        <w:t>Civitas</w:t>
      </w:r>
      <w:proofErr w:type="spellEnd"/>
      <w:r w:rsidRPr="00B55B74">
        <w:rPr>
          <w:i/>
          <w:sz w:val="20"/>
          <w:szCs w:val="20"/>
        </w:rPr>
        <w:t xml:space="preserve"> de jurisprudencia civil</w:t>
      </w:r>
      <w:r w:rsidRPr="00B55B74">
        <w:rPr>
          <w:sz w:val="20"/>
          <w:szCs w:val="20"/>
        </w:rPr>
        <w:t>, Nº 114, 2020, págs. 213-236.</w:t>
      </w:r>
    </w:p>
    <w:p w14:paraId="641A9CAA" w14:textId="77777777" w:rsidR="00B55B74" w:rsidRPr="00B55B74" w:rsidRDefault="00B55B74" w:rsidP="00673A7C">
      <w:pPr>
        <w:ind w:left="360"/>
        <w:contextualSpacing/>
        <w:jc w:val="both"/>
        <w:rPr>
          <w:sz w:val="20"/>
          <w:szCs w:val="20"/>
        </w:rPr>
      </w:pPr>
    </w:p>
    <w:p w14:paraId="6BBE6884" w14:textId="1357D053" w:rsidR="00673A7C" w:rsidRDefault="00B55B74" w:rsidP="00673A7C">
      <w:pPr>
        <w:numPr>
          <w:ilvl w:val="0"/>
          <w:numId w:val="5"/>
        </w:numPr>
        <w:ind w:left="360"/>
        <w:contextualSpacing/>
        <w:jc w:val="both"/>
        <w:rPr>
          <w:sz w:val="20"/>
          <w:szCs w:val="20"/>
        </w:rPr>
      </w:pPr>
      <w:r w:rsidRPr="00B55B74">
        <w:rPr>
          <w:caps/>
          <w:sz w:val="20"/>
          <w:szCs w:val="20"/>
        </w:rPr>
        <w:t xml:space="preserve">Caballero Trenado, L. </w:t>
      </w:r>
      <w:r w:rsidRPr="00B55B74">
        <w:rPr>
          <w:sz w:val="20"/>
          <w:szCs w:val="20"/>
        </w:rPr>
        <w:t>“</w:t>
      </w:r>
      <w:proofErr w:type="spellStart"/>
      <w:r w:rsidRPr="00B55B74">
        <w:rPr>
          <w:sz w:val="20"/>
          <w:szCs w:val="20"/>
        </w:rPr>
        <w:t>Abusividad</w:t>
      </w:r>
      <w:proofErr w:type="spellEnd"/>
      <w:r w:rsidRPr="00B55B74">
        <w:rPr>
          <w:sz w:val="20"/>
          <w:szCs w:val="20"/>
        </w:rPr>
        <w:t xml:space="preserve"> en contratos de préstamo hipotecario celebrados con consumidores: nuevo criterio europeo en el reparto de los gastos”: </w:t>
      </w:r>
      <w:r w:rsidRPr="00B55B74">
        <w:rPr>
          <w:i/>
          <w:sz w:val="20"/>
          <w:szCs w:val="20"/>
        </w:rPr>
        <w:t>Revista de la Facultad de Derecho de México</w:t>
      </w:r>
      <w:r w:rsidRPr="00B55B74">
        <w:rPr>
          <w:sz w:val="20"/>
          <w:szCs w:val="20"/>
        </w:rPr>
        <w:t>, Vol. 70, Nº. 278, 2, 2020, págs. 767-796.</w:t>
      </w:r>
    </w:p>
    <w:p w14:paraId="2ADFB4FA" w14:textId="77777777" w:rsidR="00673A7C" w:rsidRPr="00673A7C" w:rsidRDefault="00673A7C" w:rsidP="00673A7C">
      <w:pPr>
        <w:contextualSpacing/>
        <w:jc w:val="both"/>
        <w:rPr>
          <w:sz w:val="20"/>
          <w:szCs w:val="20"/>
        </w:rPr>
      </w:pPr>
    </w:p>
    <w:p w14:paraId="6BAC9027" w14:textId="4229F196" w:rsidR="00673A7C" w:rsidRPr="00673A7C" w:rsidRDefault="00673A7C" w:rsidP="00673A7C">
      <w:pPr>
        <w:numPr>
          <w:ilvl w:val="0"/>
          <w:numId w:val="5"/>
        </w:numPr>
        <w:ind w:left="360"/>
        <w:contextualSpacing/>
        <w:jc w:val="both"/>
        <w:rPr>
          <w:sz w:val="20"/>
          <w:szCs w:val="20"/>
        </w:rPr>
      </w:pPr>
      <w:r w:rsidRPr="00673A7C">
        <w:rPr>
          <w:caps/>
          <w:sz w:val="20"/>
          <w:szCs w:val="20"/>
        </w:rPr>
        <w:t>Carrizo Aguado</w:t>
      </w:r>
      <w:r w:rsidRPr="00673A7C">
        <w:rPr>
          <w:sz w:val="20"/>
          <w:szCs w:val="20"/>
        </w:rPr>
        <w:t>, D</w:t>
      </w:r>
      <w:r w:rsidRPr="00673A7C">
        <w:rPr>
          <w:sz w:val="20"/>
          <w:szCs w:val="20"/>
        </w:rPr>
        <w:t>. “</w:t>
      </w:r>
      <w:r w:rsidRPr="00673A7C">
        <w:rPr>
          <w:sz w:val="20"/>
          <w:szCs w:val="20"/>
        </w:rPr>
        <w:t>Nuevas coordenadas en las transacciones financieras internacionales</w:t>
      </w:r>
      <w:r w:rsidRPr="00673A7C">
        <w:rPr>
          <w:sz w:val="20"/>
          <w:szCs w:val="20"/>
        </w:rPr>
        <w:t xml:space="preserve"> </w:t>
      </w:r>
      <w:r w:rsidRPr="00673A7C">
        <w:rPr>
          <w:sz w:val="20"/>
          <w:szCs w:val="20"/>
        </w:rPr>
        <w:t>la teoría «PETRUCHOVÁ»</w:t>
      </w:r>
      <w:r w:rsidRPr="00673A7C">
        <w:rPr>
          <w:sz w:val="20"/>
          <w:szCs w:val="20"/>
        </w:rPr>
        <w:t xml:space="preserve">”: </w:t>
      </w:r>
      <w:r w:rsidRPr="00673A7C">
        <w:rPr>
          <w:i/>
          <w:iCs/>
          <w:sz w:val="20"/>
          <w:szCs w:val="20"/>
        </w:rPr>
        <w:t>Revista de Derecho del Sistema Financiero: mercados, operadores y contratos</w:t>
      </w:r>
      <w:r w:rsidRPr="00673A7C">
        <w:rPr>
          <w:sz w:val="20"/>
          <w:szCs w:val="20"/>
        </w:rPr>
        <w:t>, Nº. 0, 2020, p</w:t>
      </w:r>
      <w:r w:rsidRPr="00673A7C">
        <w:rPr>
          <w:sz w:val="20"/>
          <w:szCs w:val="20"/>
        </w:rPr>
        <w:t>p</w:t>
      </w:r>
      <w:r w:rsidRPr="00673A7C">
        <w:rPr>
          <w:sz w:val="20"/>
          <w:szCs w:val="20"/>
        </w:rPr>
        <w:t>. 325-354</w:t>
      </w:r>
      <w:r w:rsidRPr="00673A7C">
        <w:rPr>
          <w:sz w:val="20"/>
          <w:szCs w:val="20"/>
        </w:rPr>
        <w:t xml:space="preserve">. </w:t>
      </w:r>
    </w:p>
    <w:p w14:paraId="4E971288" w14:textId="77777777" w:rsidR="00B55B74" w:rsidRPr="00B55B74" w:rsidRDefault="00B55B74" w:rsidP="00673A7C">
      <w:pPr>
        <w:ind w:left="360"/>
        <w:contextualSpacing/>
        <w:jc w:val="both"/>
        <w:rPr>
          <w:sz w:val="20"/>
          <w:szCs w:val="20"/>
        </w:rPr>
      </w:pPr>
    </w:p>
    <w:p w14:paraId="14AED2BC" w14:textId="77777777" w:rsidR="00B55B74" w:rsidRPr="00B55B74" w:rsidRDefault="00B55B74" w:rsidP="00673A7C">
      <w:pPr>
        <w:numPr>
          <w:ilvl w:val="0"/>
          <w:numId w:val="5"/>
        </w:numPr>
        <w:ind w:left="360"/>
        <w:contextualSpacing/>
        <w:jc w:val="both"/>
        <w:rPr>
          <w:sz w:val="20"/>
          <w:szCs w:val="20"/>
        </w:rPr>
      </w:pPr>
      <w:r w:rsidRPr="00B55B74">
        <w:rPr>
          <w:caps/>
          <w:sz w:val="20"/>
          <w:szCs w:val="20"/>
        </w:rPr>
        <w:t xml:space="preserve">Cascales Domínguez, E. M. </w:t>
      </w:r>
      <w:r w:rsidRPr="00B55B74">
        <w:rPr>
          <w:sz w:val="20"/>
          <w:szCs w:val="20"/>
        </w:rPr>
        <w:t xml:space="preserve">“El alcance de la póliza estimada en la fijación del valor del interés asegurado para el cálculo de la indemnización: Comentario STS (Sala de lo Civil), de 1 de julio de 2019 (RJ 2019, 2611)”: </w:t>
      </w:r>
      <w:r w:rsidRPr="00B55B74">
        <w:rPr>
          <w:i/>
          <w:sz w:val="20"/>
          <w:szCs w:val="20"/>
        </w:rPr>
        <w:t xml:space="preserve">Cuadernos </w:t>
      </w:r>
      <w:proofErr w:type="spellStart"/>
      <w:r w:rsidRPr="00B55B74">
        <w:rPr>
          <w:i/>
          <w:sz w:val="20"/>
          <w:szCs w:val="20"/>
        </w:rPr>
        <w:t>Civitas</w:t>
      </w:r>
      <w:proofErr w:type="spellEnd"/>
      <w:r w:rsidRPr="00B55B74">
        <w:rPr>
          <w:i/>
          <w:sz w:val="20"/>
          <w:szCs w:val="20"/>
        </w:rPr>
        <w:t xml:space="preserve"> de jurisprudencia civil</w:t>
      </w:r>
      <w:r w:rsidRPr="00B55B74">
        <w:rPr>
          <w:sz w:val="20"/>
          <w:szCs w:val="20"/>
        </w:rPr>
        <w:t>, Nº 113, 2020, págs. 87-110.</w:t>
      </w:r>
    </w:p>
    <w:p w14:paraId="11D73C48" w14:textId="77777777" w:rsidR="00B55B74" w:rsidRPr="00B55B74" w:rsidRDefault="00B55B74" w:rsidP="00673A7C">
      <w:pPr>
        <w:ind w:left="360"/>
        <w:contextualSpacing/>
        <w:jc w:val="both"/>
        <w:rPr>
          <w:sz w:val="20"/>
          <w:szCs w:val="20"/>
        </w:rPr>
      </w:pPr>
    </w:p>
    <w:p w14:paraId="093062A9" w14:textId="77777777" w:rsidR="00B55B74" w:rsidRPr="00B55B74" w:rsidRDefault="00B55B74" w:rsidP="00673A7C">
      <w:pPr>
        <w:numPr>
          <w:ilvl w:val="0"/>
          <w:numId w:val="5"/>
        </w:numPr>
        <w:ind w:left="360"/>
        <w:contextualSpacing/>
        <w:jc w:val="both"/>
        <w:rPr>
          <w:sz w:val="20"/>
          <w:szCs w:val="20"/>
        </w:rPr>
      </w:pPr>
      <w:r w:rsidRPr="00B55B74">
        <w:rPr>
          <w:caps/>
          <w:sz w:val="20"/>
          <w:szCs w:val="20"/>
        </w:rPr>
        <w:t>Castillo Martínez, C. C.</w:t>
      </w:r>
      <w:r w:rsidRPr="00B55B74">
        <w:rPr>
          <w:sz w:val="20"/>
          <w:szCs w:val="20"/>
        </w:rPr>
        <w:t xml:space="preserve"> “La teoría del título y el modo y los conflictos de adquisiciones inmobiliarias. Reflexión crítica sobre la doctrina de la Sala Primera del Tribunal Supremo al interpretar y aplicar los artículos 1473, párrafo 2.º, del Código civil y 34 de la Ley Hipotecaria”: </w:t>
      </w:r>
      <w:r w:rsidRPr="00B55B74">
        <w:rPr>
          <w:i/>
          <w:sz w:val="20"/>
          <w:szCs w:val="20"/>
        </w:rPr>
        <w:t>Revista Crítica de Derecho Inmobiliario</w:t>
      </w:r>
      <w:r w:rsidRPr="00B55B74">
        <w:rPr>
          <w:sz w:val="20"/>
          <w:szCs w:val="20"/>
        </w:rPr>
        <w:t>, Año nº 96, Nº 780, 2020, págs. 1995-2036.</w:t>
      </w:r>
    </w:p>
    <w:p w14:paraId="2045B255" w14:textId="77777777" w:rsidR="00B55B74" w:rsidRPr="00B55B74" w:rsidRDefault="00B55B74" w:rsidP="00673A7C">
      <w:pPr>
        <w:ind w:left="360"/>
        <w:contextualSpacing/>
        <w:jc w:val="both"/>
        <w:rPr>
          <w:sz w:val="20"/>
          <w:szCs w:val="20"/>
        </w:rPr>
      </w:pPr>
    </w:p>
    <w:p w14:paraId="2CD71E8D" w14:textId="77777777" w:rsidR="00B55B74" w:rsidRPr="00B55B74" w:rsidRDefault="00B55B74" w:rsidP="00673A7C">
      <w:pPr>
        <w:numPr>
          <w:ilvl w:val="0"/>
          <w:numId w:val="5"/>
        </w:numPr>
        <w:ind w:left="360"/>
        <w:contextualSpacing/>
        <w:jc w:val="both"/>
        <w:rPr>
          <w:sz w:val="20"/>
          <w:szCs w:val="20"/>
        </w:rPr>
      </w:pPr>
      <w:r w:rsidRPr="00B55B74">
        <w:rPr>
          <w:caps/>
          <w:sz w:val="20"/>
          <w:szCs w:val="20"/>
        </w:rPr>
        <w:t xml:space="preserve">Clavería Gosálbez, L. H. </w:t>
      </w:r>
      <w:r w:rsidRPr="00B55B74">
        <w:rPr>
          <w:sz w:val="20"/>
          <w:szCs w:val="20"/>
        </w:rPr>
        <w:t xml:space="preserve">“Notas sobre la relevancia de la actuación notarial en los contratos de crédito inmobiliario”: </w:t>
      </w:r>
      <w:r w:rsidRPr="00B55B74">
        <w:rPr>
          <w:i/>
          <w:sz w:val="20"/>
          <w:szCs w:val="20"/>
        </w:rPr>
        <w:t>Revista Jurídica del Notariado</w:t>
      </w:r>
      <w:r w:rsidRPr="00B55B74">
        <w:rPr>
          <w:sz w:val="20"/>
          <w:szCs w:val="20"/>
        </w:rPr>
        <w:t>, Nº 110, 2020, págs. 41-62.</w:t>
      </w:r>
    </w:p>
    <w:p w14:paraId="53BBDF7D" w14:textId="77777777" w:rsidR="00B55B74" w:rsidRPr="00B55B74" w:rsidRDefault="00B55B74" w:rsidP="00673A7C">
      <w:pPr>
        <w:ind w:left="360"/>
        <w:contextualSpacing/>
        <w:jc w:val="both"/>
        <w:rPr>
          <w:sz w:val="20"/>
          <w:szCs w:val="20"/>
        </w:rPr>
      </w:pPr>
    </w:p>
    <w:p w14:paraId="69799733" w14:textId="77777777" w:rsidR="00B55B74" w:rsidRPr="00B55B74" w:rsidRDefault="00B55B74" w:rsidP="00673A7C">
      <w:pPr>
        <w:numPr>
          <w:ilvl w:val="0"/>
          <w:numId w:val="5"/>
        </w:numPr>
        <w:ind w:left="360"/>
        <w:contextualSpacing/>
        <w:jc w:val="both"/>
        <w:rPr>
          <w:sz w:val="20"/>
          <w:szCs w:val="20"/>
        </w:rPr>
      </w:pPr>
      <w:r w:rsidRPr="00B55B74">
        <w:rPr>
          <w:sz w:val="20"/>
          <w:szCs w:val="20"/>
        </w:rPr>
        <w:t xml:space="preserve">CORDÓN MORENO, F. “Examen de los instrumentos de tutela previstos en la Directiva, del Parlamento y del Consejo, relativa a las acciones de representación para la tutela de los intereses colectivos de los consumidores”: </w:t>
      </w:r>
      <w:r w:rsidRPr="00B55B74">
        <w:rPr>
          <w:i/>
          <w:sz w:val="20"/>
          <w:szCs w:val="20"/>
        </w:rPr>
        <w:t>Revista CESCO de Derecho de Consumo</w:t>
      </w:r>
      <w:r w:rsidRPr="00B55B74">
        <w:rPr>
          <w:sz w:val="20"/>
          <w:szCs w:val="20"/>
        </w:rPr>
        <w:t>, nº 36 (octubre-diciembre) 2020, págs. 166-180.</w:t>
      </w:r>
    </w:p>
    <w:p w14:paraId="78AA62BB" w14:textId="77777777" w:rsidR="00B55B74" w:rsidRPr="00B55B74" w:rsidRDefault="00B55B74" w:rsidP="00673A7C">
      <w:pPr>
        <w:ind w:left="360"/>
        <w:contextualSpacing/>
        <w:jc w:val="both"/>
        <w:rPr>
          <w:sz w:val="20"/>
          <w:szCs w:val="20"/>
        </w:rPr>
      </w:pPr>
    </w:p>
    <w:p w14:paraId="3B9A8CA8" w14:textId="77777777" w:rsidR="00B55B74" w:rsidRPr="00B55B74" w:rsidRDefault="00B55B74" w:rsidP="00673A7C">
      <w:pPr>
        <w:numPr>
          <w:ilvl w:val="0"/>
          <w:numId w:val="5"/>
        </w:numPr>
        <w:ind w:left="360"/>
        <w:contextualSpacing/>
        <w:jc w:val="both"/>
        <w:rPr>
          <w:sz w:val="20"/>
          <w:szCs w:val="20"/>
        </w:rPr>
      </w:pPr>
      <w:r w:rsidRPr="00B55B74">
        <w:rPr>
          <w:caps/>
          <w:sz w:val="20"/>
          <w:szCs w:val="20"/>
        </w:rPr>
        <w:lastRenderedPageBreak/>
        <w:t xml:space="preserve">Cuena Casas, M. </w:t>
      </w:r>
      <w:r w:rsidRPr="00B55B74">
        <w:rPr>
          <w:sz w:val="20"/>
          <w:szCs w:val="20"/>
        </w:rPr>
        <w:t xml:space="preserve">“Impago del préstamo hipotecario y abandono de familia”: </w:t>
      </w:r>
      <w:r w:rsidRPr="00B55B74">
        <w:rPr>
          <w:i/>
          <w:sz w:val="20"/>
          <w:szCs w:val="20"/>
        </w:rPr>
        <w:t>El notario del siglo XXI: revista del Colegio Notarial de Madrid</w:t>
      </w:r>
      <w:r w:rsidRPr="00B55B74">
        <w:rPr>
          <w:sz w:val="20"/>
          <w:szCs w:val="20"/>
        </w:rPr>
        <w:t>, Nº. 93, 2020, págs. 34-39.</w:t>
      </w:r>
    </w:p>
    <w:p w14:paraId="3312D216" w14:textId="77777777" w:rsidR="00B55B74" w:rsidRPr="00B55B74" w:rsidRDefault="00B55B74" w:rsidP="00673A7C">
      <w:pPr>
        <w:ind w:left="360"/>
        <w:contextualSpacing/>
        <w:jc w:val="both"/>
        <w:rPr>
          <w:sz w:val="20"/>
          <w:szCs w:val="20"/>
        </w:rPr>
      </w:pPr>
    </w:p>
    <w:p w14:paraId="741273A6" w14:textId="77777777" w:rsidR="00B55B74" w:rsidRPr="00B55B74" w:rsidRDefault="00B55B74" w:rsidP="00673A7C">
      <w:pPr>
        <w:numPr>
          <w:ilvl w:val="0"/>
          <w:numId w:val="5"/>
        </w:numPr>
        <w:ind w:left="360"/>
        <w:contextualSpacing/>
        <w:jc w:val="both"/>
        <w:rPr>
          <w:sz w:val="20"/>
          <w:szCs w:val="20"/>
        </w:rPr>
      </w:pPr>
      <w:r w:rsidRPr="00B55B74">
        <w:rPr>
          <w:caps/>
          <w:sz w:val="20"/>
          <w:szCs w:val="20"/>
        </w:rPr>
        <w:t>Cumbreras Amaro</w:t>
      </w:r>
      <w:r w:rsidRPr="00B55B74">
        <w:rPr>
          <w:sz w:val="20"/>
          <w:szCs w:val="20"/>
        </w:rPr>
        <w:t xml:space="preserve">, M. “La seguridad de los datos personales y la obligación de notificar las brechas de seguridad”: </w:t>
      </w:r>
      <w:r w:rsidRPr="00B55B74">
        <w:rPr>
          <w:i/>
          <w:sz w:val="20"/>
          <w:szCs w:val="20"/>
        </w:rPr>
        <w:t>Revista de Derecho, Empresa y Sociedad (REDS)</w:t>
      </w:r>
      <w:r w:rsidRPr="00B55B74">
        <w:rPr>
          <w:sz w:val="20"/>
          <w:szCs w:val="20"/>
        </w:rPr>
        <w:t>, Nº. 16, 2020, págs. 151-162.</w:t>
      </w:r>
    </w:p>
    <w:p w14:paraId="02EBA976" w14:textId="77777777" w:rsidR="00B55B74" w:rsidRPr="00B55B74" w:rsidRDefault="00B55B74" w:rsidP="00673A7C">
      <w:pPr>
        <w:ind w:left="360"/>
        <w:contextualSpacing/>
        <w:jc w:val="both"/>
        <w:rPr>
          <w:sz w:val="20"/>
          <w:szCs w:val="20"/>
        </w:rPr>
      </w:pPr>
    </w:p>
    <w:p w14:paraId="25D0B49D" w14:textId="77777777" w:rsidR="00B55B74" w:rsidRPr="00B55B74" w:rsidRDefault="00B55B74" w:rsidP="00673A7C">
      <w:pPr>
        <w:numPr>
          <w:ilvl w:val="0"/>
          <w:numId w:val="5"/>
        </w:numPr>
        <w:ind w:left="360"/>
        <w:contextualSpacing/>
        <w:jc w:val="both"/>
        <w:rPr>
          <w:sz w:val="20"/>
          <w:szCs w:val="20"/>
        </w:rPr>
      </w:pPr>
      <w:r w:rsidRPr="00B55B74">
        <w:rPr>
          <w:caps/>
          <w:sz w:val="20"/>
          <w:szCs w:val="20"/>
        </w:rPr>
        <w:t xml:space="preserve">Darcy, N. C. </w:t>
      </w:r>
      <w:r w:rsidRPr="00B55B74">
        <w:rPr>
          <w:sz w:val="20"/>
          <w:szCs w:val="20"/>
        </w:rPr>
        <w:t xml:space="preserve">“Responsabilidad bancaria en las relaciones de consumo: Legitimación del consumidor que pide daño directo y justicia gratuita”: </w:t>
      </w:r>
      <w:r w:rsidRPr="00B55B74">
        <w:rPr>
          <w:i/>
          <w:sz w:val="20"/>
          <w:szCs w:val="20"/>
        </w:rPr>
        <w:t>Revista de responsabilidad civil y seguros: publicación mensual de doctrina, jurisprudencia y legislación</w:t>
      </w:r>
      <w:r w:rsidRPr="00B55B74">
        <w:rPr>
          <w:sz w:val="20"/>
          <w:szCs w:val="20"/>
        </w:rPr>
        <w:t>, Año 22, Nº. 9, 2020, págs. 79-87.</w:t>
      </w:r>
    </w:p>
    <w:p w14:paraId="52ADACF9" w14:textId="77777777" w:rsidR="00B55B74" w:rsidRPr="00B55B74" w:rsidRDefault="00B55B74" w:rsidP="00673A7C">
      <w:pPr>
        <w:ind w:left="360"/>
        <w:contextualSpacing/>
        <w:jc w:val="both"/>
        <w:rPr>
          <w:sz w:val="20"/>
          <w:szCs w:val="20"/>
        </w:rPr>
      </w:pPr>
    </w:p>
    <w:p w14:paraId="6BD1B74D" w14:textId="77777777" w:rsidR="00B55B74" w:rsidRPr="00B55B74" w:rsidRDefault="00B55B74" w:rsidP="00673A7C">
      <w:pPr>
        <w:numPr>
          <w:ilvl w:val="0"/>
          <w:numId w:val="5"/>
        </w:numPr>
        <w:ind w:left="360"/>
        <w:contextualSpacing/>
        <w:jc w:val="both"/>
        <w:rPr>
          <w:sz w:val="20"/>
          <w:szCs w:val="20"/>
        </w:rPr>
      </w:pPr>
      <w:r w:rsidRPr="00B55B74">
        <w:rPr>
          <w:caps/>
          <w:sz w:val="20"/>
          <w:szCs w:val="20"/>
        </w:rPr>
        <w:t xml:space="preserve">de Sousa Costa, R. </w:t>
      </w:r>
      <w:r w:rsidRPr="00B55B74">
        <w:rPr>
          <w:sz w:val="20"/>
          <w:szCs w:val="20"/>
        </w:rPr>
        <w:t>“</w:t>
      </w:r>
      <w:proofErr w:type="spellStart"/>
      <w:r w:rsidRPr="00B55B74">
        <w:rPr>
          <w:sz w:val="20"/>
          <w:szCs w:val="20"/>
        </w:rPr>
        <w:t>Estudo</w:t>
      </w:r>
      <w:proofErr w:type="spellEnd"/>
      <w:r w:rsidRPr="00B55B74">
        <w:rPr>
          <w:sz w:val="20"/>
          <w:szCs w:val="20"/>
        </w:rPr>
        <w:t xml:space="preserve"> sobre a </w:t>
      </w:r>
      <w:proofErr w:type="spellStart"/>
      <w:r w:rsidRPr="00B55B74">
        <w:rPr>
          <w:sz w:val="20"/>
          <w:szCs w:val="20"/>
        </w:rPr>
        <w:t>realização</w:t>
      </w:r>
      <w:proofErr w:type="spellEnd"/>
      <w:r w:rsidRPr="00B55B74">
        <w:rPr>
          <w:sz w:val="20"/>
          <w:szCs w:val="20"/>
        </w:rPr>
        <w:t xml:space="preserve"> do </w:t>
      </w:r>
      <w:proofErr w:type="spellStart"/>
      <w:r w:rsidRPr="00B55B74">
        <w:rPr>
          <w:sz w:val="20"/>
          <w:szCs w:val="20"/>
        </w:rPr>
        <w:t>direito</w:t>
      </w:r>
      <w:proofErr w:type="spellEnd"/>
      <w:r w:rsidRPr="00B55B74">
        <w:rPr>
          <w:sz w:val="20"/>
          <w:szCs w:val="20"/>
        </w:rPr>
        <w:t xml:space="preserve"> da </w:t>
      </w:r>
      <w:proofErr w:type="spellStart"/>
      <w:r w:rsidRPr="00B55B74">
        <w:rPr>
          <w:sz w:val="20"/>
          <w:szCs w:val="20"/>
        </w:rPr>
        <w:t>protecção</w:t>
      </w:r>
      <w:proofErr w:type="spellEnd"/>
      <w:r w:rsidRPr="00B55B74">
        <w:rPr>
          <w:sz w:val="20"/>
          <w:szCs w:val="20"/>
        </w:rPr>
        <w:t xml:space="preserve"> de dados </w:t>
      </w:r>
      <w:proofErr w:type="spellStart"/>
      <w:r w:rsidRPr="00B55B74">
        <w:rPr>
          <w:sz w:val="20"/>
          <w:szCs w:val="20"/>
        </w:rPr>
        <w:t>pessoais</w:t>
      </w:r>
      <w:proofErr w:type="spellEnd"/>
      <w:r w:rsidRPr="00B55B74">
        <w:rPr>
          <w:sz w:val="20"/>
          <w:szCs w:val="20"/>
        </w:rPr>
        <w:t xml:space="preserve"> </w:t>
      </w:r>
      <w:proofErr w:type="spellStart"/>
      <w:r w:rsidRPr="00B55B74">
        <w:rPr>
          <w:sz w:val="20"/>
          <w:szCs w:val="20"/>
        </w:rPr>
        <w:t>através</w:t>
      </w:r>
      <w:proofErr w:type="spellEnd"/>
      <w:r w:rsidRPr="00B55B74">
        <w:rPr>
          <w:sz w:val="20"/>
          <w:szCs w:val="20"/>
        </w:rPr>
        <w:t xml:space="preserve"> da </w:t>
      </w:r>
      <w:proofErr w:type="spellStart"/>
      <w:r w:rsidRPr="00B55B74">
        <w:rPr>
          <w:sz w:val="20"/>
          <w:szCs w:val="20"/>
        </w:rPr>
        <w:t>jurisprudência</w:t>
      </w:r>
      <w:proofErr w:type="spellEnd"/>
      <w:r w:rsidRPr="00B55B74">
        <w:rPr>
          <w:sz w:val="20"/>
          <w:szCs w:val="20"/>
        </w:rPr>
        <w:t xml:space="preserve"> do Tribunal de </w:t>
      </w:r>
      <w:proofErr w:type="spellStart"/>
      <w:r w:rsidRPr="00B55B74">
        <w:rPr>
          <w:sz w:val="20"/>
          <w:szCs w:val="20"/>
        </w:rPr>
        <w:t>Justiça</w:t>
      </w:r>
      <w:proofErr w:type="spellEnd"/>
      <w:r w:rsidRPr="00B55B74">
        <w:rPr>
          <w:sz w:val="20"/>
          <w:szCs w:val="20"/>
        </w:rPr>
        <w:t xml:space="preserve"> da </w:t>
      </w:r>
      <w:proofErr w:type="spellStart"/>
      <w:r w:rsidRPr="00B55B74">
        <w:rPr>
          <w:sz w:val="20"/>
          <w:szCs w:val="20"/>
        </w:rPr>
        <w:t>União</w:t>
      </w:r>
      <w:proofErr w:type="spellEnd"/>
      <w:r w:rsidRPr="00B55B74">
        <w:rPr>
          <w:sz w:val="20"/>
          <w:szCs w:val="20"/>
        </w:rPr>
        <w:t xml:space="preserve"> </w:t>
      </w:r>
      <w:proofErr w:type="spellStart"/>
      <w:r w:rsidRPr="00B55B74">
        <w:rPr>
          <w:sz w:val="20"/>
          <w:szCs w:val="20"/>
        </w:rPr>
        <w:t>Europeia</w:t>
      </w:r>
      <w:proofErr w:type="spellEnd"/>
      <w:r w:rsidRPr="00B55B74">
        <w:rPr>
          <w:sz w:val="20"/>
          <w:szCs w:val="20"/>
        </w:rPr>
        <w:t xml:space="preserve">”: </w:t>
      </w:r>
      <w:proofErr w:type="spellStart"/>
      <w:r w:rsidRPr="00B55B74">
        <w:rPr>
          <w:i/>
          <w:sz w:val="20"/>
          <w:szCs w:val="20"/>
        </w:rPr>
        <w:t>Dereito</w:t>
      </w:r>
      <w:proofErr w:type="spellEnd"/>
      <w:r w:rsidRPr="00B55B74">
        <w:rPr>
          <w:i/>
          <w:sz w:val="20"/>
          <w:szCs w:val="20"/>
        </w:rPr>
        <w:t xml:space="preserve">: Revista </w:t>
      </w:r>
      <w:proofErr w:type="spellStart"/>
      <w:r w:rsidRPr="00B55B74">
        <w:rPr>
          <w:i/>
          <w:sz w:val="20"/>
          <w:szCs w:val="20"/>
        </w:rPr>
        <w:t>xuridica</w:t>
      </w:r>
      <w:proofErr w:type="spellEnd"/>
      <w:r w:rsidRPr="00B55B74">
        <w:rPr>
          <w:i/>
          <w:sz w:val="20"/>
          <w:szCs w:val="20"/>
        </w:rPr>
        <w:t xml:space="preserve"> da </w:t>
      </w:r>
      <w:proofErr w:type="spellStart"/>
      <w:r w:rsidRPr="00B55B74">
        <w:rPr>
          <w:i/>
          <w:sz w:val="20"/>
          <w:szCs w:val="20"/>
        </w:rPr>
        <w:t>Universidade</w:t>
      </w:r>
      <w:proofErr w:type="spellEnd"/>
      <w:r w:rsidRPr="00B55B74">
        <w:rPr>
          <w:i/>
          <w:sz w:val="20"/>
          <w:szCs w:val="20"/>
        </w:rPr>
        <w:t xml:space="preserve"> de Santiago de Compostela</w:t>
      </w:r>
      <w:r w:rsidRPr="00B55B74">
        <w:rPr>
          <w:sz w:val="20"/>
          <w:szCs w:val="20"/>
        </w:rPr>
        <w:t>, Vol. 29, Nº 1, 2020, págs. 47-76.</w:t>
      </w:r>
    </w:p>
    <w:p w14:paraId="677205EC" w14:textId="77777777" w:rsidR="00B55B74" w:rsidRPr="00B55B74" w:rsidRDefault="00B55B74" w:rsidP="00673A7C">
      <w:pPr>
        <w:ind w:left="360"/>
        <w:contextualSpacing/>
        <w:jc w:val="both"/>
        <w:rPr>
          <w:sz w:val="20"/>
          <w:szCs w:val="20"/>
        </w:rPr>
      </w:pPr>
    </w:p>
    <w:p w14:paraId="1C5A1FCE" w14:textId="77777777" w:rsidR="00B55B74" w:rsidRPr="00B55B74" w:rsidRDefault="00B55B74" w:rsidP="00673A7C">
      <w:pPr>
        <w:numPr>
          <w:ilvl w:val="0"/>
          <w:numId w:val="5"/>
        </w:numPr>
        <w:ind w:left="360"/>
        <w:contextualSpacing/>
        <w:jc w:val="both"/>
        <w:rPr>
          <w:sz w:val="20"/>
          <w:szCs w:val="20"/>
        </w:rPr>
      </w:pPr>
      <w:r w:rsidRPr="00B55B74">
        <w:rPr>
          <w:caps/>
          <w:sz w:val="20"/>
          <w:szCs w:val="20"/>
        </w:rPr>
        <w:t xml:space="preserve">Delgado Franco, C. </w:t>
      </w:r>
      <w:r w:rsidRPr="00B55B74">
        <w:rPr>
          <w:sz w:val="20"/>
          <w:szCs w:val="20"/>
        </w:rPr>
        <w:t xml:space="preserve">“Vigilancia masiva y el derecho a la protección de los datos personales: Ensayo ganador del X Premio Enrique Ruano Casanova”: </w:t>
      </w:r>
      <w:r w:rsidRPr="00B55B74">
        <w:rPr>
          <w:i/>
          <w:sz w:val="20"/>
          <w:szCs w:val="20"/>
        </w:rPr>
        <w:t>Foro: Revista de ciencias jurídicas y sociales</w:t>
      </w:r>
      <w:r w:rsidRPr="00B55B74">
        <w:rPr>
          <w:sz w:val="20"/>
          <w:szCs w:val="20"/>
        </w:rPr>
        <w:t>, Vol. 22, Nº. 1, 2019 (Ejemplar dedicado a: El derecho procesal en España y en Brasil), págs. 17-57.</w:t>
      </w:r>
    </w:p>
    <w:p w14:paraId="4882D8FC" w14:textId="77777777" w:rsidR="00B55B74" w:rsidRPr="00B55B74" w:rsidRDefault="00B55B74" w:rsidP="00673A7C">
      <w:pPr>
        <w:ind w:left="360"/>
        <w:contextualSpacing/>
        <w:jc w:val="both"/>
        <w:rPr>
          <w:sz w:val="20"/>
          <w:szCs w:val="20"/>
        </w:rPr>
      </w:pPr>
    </w:p>
    <w:p w14:paraId="5ECB0965" w14:textId="77777777" w:rsidR="00B55B74" w:rsidRPr="00B55B74" w:rsidRDefault="00B55B74" w:rsidP="00673A7C">
      <w:pPr>
        <w:numPr>
          <w:ilvl w:val="0"/>
          <w:numId w:val="5"/>
        </w:numPr>
        <w:ind w:left="360"/>
        <w:contextualSpacing/>
        <w:jc w:val="both"/>
        <w:rPr>
          <w:sz w:val="20"/>
          <w:szCs w:val="20"/>
        </w:rPr>
      </w:pPr>
      <w:r w:rsidRPr="00B55B74">
        <w:rPr>
          <w:caps/>
          <w:sz w:val="20"/>
          <w:szCs w:val="20"/>
        </w:rPr>
        <w:t xml:space="preserve">Discours, A., Qu, S. y Buhart, J. </w:t>
      </w:r>
      <w:r w:rsidRPr="00B55B74">
        <w:rPr>
          <w:sz w:val="20"/>
          <w:szCs w:val="20"/>
        </w:rPr>
        <w:t>“</w:t>
      </w:r>
      <w:proofErr w:type="spellStart"/>
      <w:r w:rsidRPr="00B55B74">
        <w:rPr>
          <w:sz w:val="20"/>
          <w:szCs w:val="20"/>
        </w:rPr>
        <w:t>L'impact</w:t>
      </w:r>
      <w:proofErr w:type="spellEnd"/>
      <w:r w:rsidRPr="00B55B74">
        <w:rPr>
          <w:sz w:val="20"/>
          <w:szCs w:val="20"/>
        </w:rPr>
        <w:t xml:space="preserve"> du covid-19 sur </w:t>
      </w:r>
      <w:proofErr w:type="spellStart"/>
      <w:r w:rsidRPr="00B55B74">
        <w:rPr>
          <w:sz w:val="20"/>
          <w:szCs w:val="20"/>
        </w:rPr>
        <w:t>l'exécuttion</w:t>
      </w:r>
      <w:proofErr w:type="spellEnd"/>
      <w:r w:rsidRPr="00B55B74">
        <w:rPr>
          <w:sz w:val="20"/>
          <w:szCs w:val="20"/>
        </w:rPr>
        <w:t xml:space="preserve"> des </w:t>
      </w:r>
      <w:proofErr w:type="spellStart"/>
      <w:r w:rsidRPr="00B55B74">
        <w:rPr>
          <w:sz w:val="20"/>
          <w:szCs w:val="20"/>
        </w:rPr>
        <w:t>contrats</w:t>
      </w:r>
      <w:proofErr w:type="spellEnd"/>
      <w:r w:rsidRPr="00B55B74">
        <w:rPr>
          <w:sz w:val="20"/>
          <w:szCs w:val="20"/>
        </w:rPr>
        <w:t xml:space="preserve">: </w:t>
      </w:r>
      <w:proofErr w:type="spellStart"/>
      <w:r w:rsidRPr="00B55B74">
        <w:rPr>
          <w:sz w:val="20"/>
          <w:szCs w:val="20"/>
        </w:rPr>
        <w:t>Étude</w:t>
      </w:r>
      <w:proofErr w:type="spellEnd"/>
      <w:r w:rsidRPr="00B55B74">
        <w:rPr>
          <w:sz w:val="20"/>
          <w:szCs w:val="20"/>
        </w:rPr>
        <w:t xml:space="preserve"> </w:t>
      </w:r>
      <w:proofErr w:type="spellStart"/>
      <w:r w:rsidRPr="00B55B74">
        <w:rPr>
          <w:sz w:val="20"/>
          <w:szCs w:val="20"/>
        </w:rPr>
        <w:t>comparative</w:t>
      </w:r>
      <w:proofErr w:type="spellEnd"/>
      <w:r w:rsidRPr="00B55B74">
        <w:rPr>
          <w:sz w:val="20"/>
          <w:szCs w:val="20"/>
        </w:rPr>
        <w:t xml:space="preserve"> </w:t>
      </w:r>
      <w:proofErr w:type="spellStart"/>
      <w:r w:rsidRPr="00B55B74">
        <w:rPr>
          <w:sz w:val="20"/>
          <w:szCs w:val="20"/>
        </w:rPr>
        <w:t>droit</w:t>
      </w:r>
      <w:proofErr w:type="spellEnd"/>
      <w:r w:rsidRPr="00B55B74">
        <w:rPr>
          <w:sz w:val="20"/>
          <w:szCs w:val="20"/>
        </w:rPr>
        <w:t xml:space="preserve"> </w:t>
      </w:r>
      <w:proofErr w:type="spellStart"/>
      <w:r w:rsidRPr="00B55B74">
        <w:rPr>
          <w:sz w:val="20"/>
          <w:szCs w:val="20"/>
        </w:rPr>
        <w:t>chinois</w:t>
      </w:r>
      <w:proofErr w:type="spellEnd"/>
      <w:r w:rsidRPr="00B55B74">
        <w:rPr>
          <w:sz w:val="20"/>
          <w:szCs w:val="20"/>
        </w:rPr>
        <w:t xml:space="preserve"> / </w:t>
      </w:r>
      <w:proofErr w:type="spellStart"/>
      <w:r w:rsidRPr="00B55B74">
        <w:rPr>
          <w:sz w:val="20"/>
          <w:szCs w:val="20"/>
        </w:rPr>
        <w:t>droit</w:t>
      </w:r>
      <w:proofErr w:type="spellEnd"/>
      <w:r w:rsidRPr="00B55B74">
        <w:rPr>
          <w:sz w:val="20"/>
          <w:szCs w:val="20"/>
        </w:rPr>
        <w:t xml:space="preserve"> </w:t>
      </w:r>
      <w:proofErr w:type="spellStart"/>
      <w:r w:rsidRPr="00B55B74">
        <w:rPr>
          <w:sz w:val="20"/>
          <w:szCs w:val="20"/>
        </w:rPr>
        <w:t>français</w:t>
      </w:r>
      <w:proofErr w:type="spellEnd"/>
      <w:r w:rsidRPr="00B55B74">
        <w:rPr>
          <w:sz w:val="20"/>
          <w:szCs w:val="20"/>
        </w:rPr>
        <w:t xml:space="preserve">”: </w:t>
      </w:r>
      <w:r w:rsidRPr="00B55B74">
        <w:rPr>
          <w:i/>
          <w:sz w:val="20"/>
          <w:szCs w:val="20"/>
        </w:rPr>
        <w:t xml:space="preserve">La </w:t>
      </w:r>
      <w:proofErr w:type="spellStart"/>
      <w:r w:rsidRPr="00B55B74">
        <w:rPr>
          <w:i/>
          <w:sz w:val="20"/>
          <w:szCs w:val="20"/>
        </w:rPr>
        <w:t>Semaine</w:t>
      </w:r>
      <w:proofErr w:type="spellEnd"/>
      <w:r w:rsidRPr="00B55B74">
        <w:rPr>
          <w:i/>
          <w:sz w:val="20"/>
          <w:szCs w:val="20"/>
        </w:rPr>
        <w:t xml:space="preserve"> </w:t>
      </w:r>
      <w:proofErr w:type="spellStart"/>
      <w:r w:rsidRPr="00B55B74">
        <w:rPr>
          <w:i/>
          <w:sz w:val="20"/>
          <w:szCs w:val="20"/>
        </w:rPr>
        <w:t>Juridique</w:t>
      </w:r>
      <w:proofErr w:type="spellEnd"/>
      <w:r w:rsidRPr="00B55B74">
        <w:rPr>
          <w:sz w:val="20"/>
          <w:szCs w:val="20"/>
        </w:rPr>
        <w:t>, Nº 12, 2020, págs. 558-560.</w:t>
      </w:r>
    </w:p>
    <w:p w14:paraId="2E345D55" w14:textId="77777777" w:rsidR="00B55B74" w:rsidRPr="00B55B74" w:rsidRDefault="00B55B74" w:rsidP="00673A7C">
      <w:pPr>
        <w:ind w:left="360"/>
        <w:contextualSpacing/>
        <w:jc w:val="both"/>
        <w:rPr>
          <w:sz w:val="20"/>
          <w:szCs w:val="20"/>
        </w:rPr>
      </w:pPr>
    </w:p>
    <w:p w14:paraId="29ED401A" w14:textId="77777777" w:rsidR="00B55B74" w:rsidRPr="00B55B74" w:rsidRDefault="00B55B74" w:rsidP="00673A7C">
      <w:pPr>
        <w:numPr>
          <w:ilvl w:val="0"/>
          <w:numId w:val="5"/>
        </w:numPr>
        <w:ind w:left="360"/>
        <w:contextualSpacing/>
        <w:jc w:val="both"/>
        <w:rPr>
          <w:sz w:val="20"/>
          <w:szCs w:val="20"/>
        </w:rPr>
      </w:pPr>
      <w:r w:rsidRPr="00B55B74">
        <w:rPr>
          <w:caps/>
          <w:sz w:val="20"/>
          <w:szCs w:val="20"/>
        </w:rPr>
        <w:t xml:space="preserve">Domínguez Martínez, P. </w:t>
      </w:r>
      <w:r w:rsidRPr="00B55B74">
        <w:rPr>
          <w:sz w:val="20"/>
          <w:szCs w:val="20"/>
        </w:rPr>
        <w:t xml:space="preserve">“Inadmisibilidad de cláusula que impide la acumulación de prestaciones indemnizatorias en los casos de concurrencia de seguros de personas. STS, Sala 1ª, 14 noviembre 2019 (RJ 2019, 4641) MP. Excmo. Sr. D. Pedro José Vela Torres”: </w:t>
      </w:r>
      <w:r w:rsidRPr="00B55B74">
        <w:rPr>
          <w:i/>
          <w:sz w:val="20"/>
          <w:szCs w:val="20"/>
        </w:rPr>
        <w:t xml:space="preserve">Cuadernos </w:t>
      </w:r>
      <w:proofErr w:type="spellStart"/>
      <w:r w:rsidRPr="00B55B74">
        <w:rPr>
          <w:i/>
          <w:sz w:val="20"/>
          <w:szCs w:val="20"/>
        </w:rPr>
        <w:t>Civitas</w:t>
      </w:r>
      <w:proofErr w:type="spellEnd"/>
      <w:r w:rsidRPr="00B55B74">
        <w:rPr>
          <w:i/>
          <w:sz w:val="20"/>
          <w:szCs w:val="20"/>
        </w:rPr>
        <w:t xml:space="preserve"> de jurisprudencia civil</w:t>
      </w:r>
      <w:r w:rsidRPr="00B55B74">
        <w:rPr>
          <w:sz w:val="20"/>
          <w:szCs w:val="20"/>
        </w:rPr>
        <w:t>, Nº 114, 2020, págs. 159-192.</w:t>
      </w:r>
    </w:p>
    <w:p w14:paraId="0DC0DE18" w14:textId="77777777" w:rsidR="00B55B74" w:rsidRPr="00B55B74" w:rsidRDefault="00B55B74" w:rsidP="00673A7C">
      <w:pPr>
        <w:ind w:left="360"/>
        <w:contextualSpacing/>
        <w:jc w:val="both"/>
        <w:rPr>
          <w:sz w:val="20"/>
          <w:szCs w:val="20"/>
        </w:rPr>
      </w:pPr>
    </w:p>
    <w:p w14:paraId="3B14FE7C" w14:textId="77777777" w:rsidR="00B55B74" w:rsidRPr="00B55B74" w:rsidRDefault="00B55B74" w:rsidP="00673A7C">
      <w:pPr>
        <w:numPr>
          <w:ilvl w:val="0"/>
          <w:numId w:val="5"/>
        </w:numPr>
        <w:ind w:left="360"/>
        <w:contextualSpacing/>
        <w:jc w:val="both"/>
        <w:rPr>
          <w:sz w:val="20"/>
          <w:szCs w:val="20"/>
        </w:rPr>
      </w:pPr>
      <w:r w:rsidRPr="00B55B74">
        <w:rPr>
          <w:caps/>
          <w:sz w:val="20"/>
          <w:szCs w:val="20"/>
        </w:rPr>
        <w:t xml:space="preserve">Esteban Ríos, J. </w:t>
      </w:r>
      <w:r w:rsidRPr="00B55B74">
        <w:rPr>
          <w:sz w:val="20"/>
          <w:szCs w:val="20"/>
        </w:rPr>
        <w:t xml:space="preserve">“Las cuentas de pago básicas: ¿el primer paso hacia una nueva vía de intervención pública sobre la actividad bancaria?”: </w:t>
      </w:r>
      <w:r w:rsidRPr="00B55B74">
        <w:rPr>
          <w:i/>
          <w:sz w:val="20"/>
          <w:szCs w:val="20"/>
        </w:rPr>
        <w:t>Revista de derecho bancario y bursátil</w:t>
      </w:r>
      <w:r w:rsidRPr="00B55B74">
        <w:rPr>
          <w:sz w:val="20"/>
          <w:szCs w:val="20"/>
        </w:rPr>
        <w:t>, Año nº 39, Nº 158, 2020, págs. 159-190.</w:t>
      </w:r>
    </w:p>
    <w:p w14:paraId="2F73A4A1" w14:textId="77777777" w:rsidR="00B55B74" w:rsidRPr="00B55B74" w:rsidRDefault="00B55B74" w:rsidP="00673A7C">
      <w:pPr>
        <w:ind w:left="360"/>
        <w:contextualSpacing/>
        <w:jc w:val="both"/>
        <w:rPr>
          <w:sz w:val="20"/>
          <w:szCs w:val="20"/>
        </w:rPr>
      </w:pPr>
    </w:p>
    <w:p w14:paraId="027F7634" w14:textId="77777777" w:rsidR="00B55B74" w:rsidRPr="00B55B74" w:rsidRDefault="00B55B74" w:rsidP="00673A7C">
      <w:pPr>
        <w:numPr>
          <w:ilvl w:val="0"/>
          <w:numId w:val="5"/>
        </w:numPr>
        <w:ind w:left="360"/>
        <w:contextualSpacing/>
        <w:jc w:val="both"/>
        <w:rPr>
          <w:sz w:val="20"/>
          <w:szCs w:val="20"/>
        </w:rPr>
      </w:pPr>
      <w:r w:rsidRPr="00B55B74">
        <w:rPr>
          <w:caps/>
          <w:sz w:val="20"/>
          <w:szCs w:val="20"/>
        </w:rPr>
        <w:t xml:space="preserve">Estruch </w:t>
      </w:r>
      <w:proofErr w:type="spellStart"/>
      <w:r w:rsidRPr="00B55B74">
        <w:rPr>
          <w:caps/>
          <w:sz w:val="20"/>
          <w:szCs w:val="20"/>
        </w:rPr>
        <w:t>Estruch</w:t>
      </w:r>
      <w:proofErr w:type="spellEnd"/>
      <w:r w:rsidRPr="00B55B74">
        <w:rPr>
          <w:caps/>
          <w:sz w:val="20"/>
          <w:szCs w:val="20"/>
        </w:rPr>
        <w:t xml:space="preserve">, J. </w:t>
      </w:r>
      <w:r w:rsidRPr="00B55B74">
        <w:rPr>
          <w:sz w:val="20"/>
          <w:szCs w:val="20"/>
        </w:rPr>
        <w:t xml:space="preserve">“La aplicación de la cláusula "rebus sic </w:t>
      </w:r>
      <w:proofErr w:type="spellStart"/>
      <w:r w:rsidRPr="00B55B74">
        <w:rPr>
          <w:sz w:val="20"/>
          <w:szCs w:val="20"/>
        </w:rPr>
        <w:t>stantibus</w:t>
      </w:r>
      <w:proofErr w:type="spellEnd"/>
      <w:r w:rsidRPr="00B55B74">
        <w:rPr>
          <w:sz w:val="20"/>
          <w:szCs w:val="20"/>
        </w:rPr>
        <w:t xml:space="preserve">"”: </w:t>
      </w:r>
      <w:r w:rsidRPr="00B55B74">
        <w:rPr>
          <w:i/>
          <w:sz w:val="20"/>
          <w:szCs w:val="20"/>
        </w:rPr>
        <w:t>Revista Crítica de Derecho Inmobiliario</w:t>
      </w:r>
      <w:r w:rsidRPr="00B55B74">
        <w:rPr>
          <w:sz w:val="20"/>
          <w:szCs w:val="20"/>
        </w:rPr>
        <w:t>, Año nº 96, Nº 780, 2020, págs. 2037-2095.</w:t>
      </w:r>
    </w:p>
    <w:p w14:paraId="6EE667D4" w14:textId="77777777" w:rsidR="00B55B74" w:rsidRPr="00B55B74" w:rsidRDefault="00B55B74" w:rsidP="00673A7C">
      <w:pPr>
        <w:ind w:left="360"/>
        <w:contextualSpacing/>
        <w:jc w:val="both"/>
        <w:rPr>
          <w:sz w:val="20"/>
          <w:szCs w:val="20"/>
        </w:rPr>
      </w:pPr>
    </w:p>
    <w:p w14:paraId="182A200A" w14:textId="77777777" w:rsidR="00B55B74" w:rsidRPr="00B55B74" w:rsidRDefault="00B55B74" w:rsidP="00673A7C">
      <w:pPr>
        <w:numPr>
          <w:ilvl w:val="0"/>
          <w:numId w:val="5"/>
        </w:numPr>
        <w:ind w:left="360"/>
        <w:contextualSpacing/>
        <w:jc w:val="both"/>
        <w:rPr>
          <w:sz w:val="20"/>
          <w:szCs w:val="20"/>
        </w:rPr>
      </w:pPr>
      <w:r w:rsidRPr="00B55B74">
        <w:rPr>
          <w:caps/>
          <w:sz w:val="20"/>
          <w:szCs w:val="20"/>
        </w:rPr>
        <w:t xml:space="preserve">Fernández Larrea, I. </w:t>
      </w:r>
      <w:r w:rsidRPr="00B55B74">
        <w:rPr>
          <w:sz w:val="20"/>
          <w:szCs w:val="20"/>
        </w:rPr>
        <w:t xml:space="preserve">“La (ardua) función notarial en el acuerdo extrajudicial de pagos (2ª parte)”: </w:t>
      </w:r>
      <w:r w:rsidRPr="00B55B74">
        <w:rPr>
          <w:i/>
          <w:sz w:val="20"/>
          <w:szCs w:val="20"/>
        </w:rPr>
        <w:t>El notario del siglo XXI: revista del Colegio Notarial de Madrid</w:t>
      </w:r>
      <w:r w:rsidRPr="00B55B74">
        <w:rPr>
          <w:sz w:val="20"/>
          <w:szCs w:val="20"/>
        </w:rPr>
        <w:t>, Nº. 93, 2020, págs. 28-33.</w:t>
      </w:r>
    </w:p>
    <w:p w14:paraId="231BD8F4" w14:textId="77777777" w:rsidR="00B55B74" w:rsidRPr="00B55B74" w:rsidRDefault="00B55B74" w:rsidP="00673A7C">
      <w:pPr>
        <w:ind w:left="360"/>
        <w:contextualSpacing/>
        <w:jc w:val="both"/>
        <w:rPr>
          <w:sz w:val="20"/>
          <w:szCs w:val="20"/>
        </w:rPr>
      </w:pPr>
    </w:p>
    <w:p w14:paraId="7E5EE0C1" w14:textId="77777777" w:rsidR="00B55B74" w:rsidRPr="00B55B74" w:rsidRDefault="00B55B74" w:rsidP="00673A7C">
      <w:pPr>
        <w:numPr>
          <w:ilvl w:val="0"/>
          <w:numId w:val="5"/>
        </w:numPr>
        <w:ind w:left="360"/>
        <w:contextualSpacing/>
        <w:jc w:val="both"/>
        <w:rPr>
          <w:sz w:val="20"/>
          <w:szCs w:val="20"/>
        </w:rPr>
      </w:pPr>
      <w:r w:rsidRPr="00B55B74">
        <w:rPr>
          <w:caps/>
          <w:sz w:val="20"/>
          <w:szCs w:val="20"/>
        </w:rPr>
        <w:t xml:space="preserve">Fraga Mandián, A. </w:t>
      </w:r>
      <w:r w:rsidRPr="00B55B74">
        <w:rPr>
          <w:sz w:val="20"/>
          <w:szCs w:val="20"/>
        </w:rPr>
        <w:t xml:space="preserve">“Consumidor versus artículo 394 de la LEC. A propósito de la STJUE de 16 de julio de 2020”: </w:t>
      </w:r>
      <w:r w:rsidRPr="00B55B74">
        <w:rPr>
          <w:i/>
          <w:sz w:val="20"/>
          <w:szCs w:val="20"/>
        </w:rPr>
        <w:t>Proceso civil: cuaderno jurídico</w:t>
      </w:r>
      <w:r w:rsidRPr="00B55B74">
        <w:rPr>
          <w:sz w:val="20"/>
          <w:szCs w:val="20"/>
        </w:rPr>
        <w:t>, Nº. 141, 2020, págs. 27-32.</w:t>
      </w:r>
    </w:p>
    <w:p w14:paraId="18E13D55" w14:textId="77777777" w:rsidR="00B55B74" w:rsidRPr="00B55B74" w:rsidRDefault="00B55B74" w:rsidP="00673A7C">
      <w:pPr>
        <w:ind w:left="360"/>
        <w:contextualSpacing/>
        <w:jc w:val="both"/>
        <w:rPr>
          <w:sz w:val="20"/>
          <w:szCs w:val="20"/>
        </w:rPr>
      </w:pPr>
    </w:p>
    <w:p w14:paraId="13FAAB0A" w14:textId="77777777" w:rsidR="00B55B74" w:rsidRPr="00B55B74" w:rsidRDefault="00B55B74" w:rsidP="00673A7C">
      <w:pPr>
        <w:numPr>
          <w:ilvl w:val="0"/>
          <w:numId w:val="5"/>
        </w:numPr>
        <w:ind w:left="360"/>
        <w:contextualSpacing/>
        <w:jc w:val="both"/>
        <w:rPr>
          <w:sz w:val="20"/>
          <w:szCs w:val="20"/>
        </w:rPr>
      </w:pPr>
      <w:r w:rsidRPr="00B55B74">
        <w:rPr>
          <w:caps/>
          <w:sz w:val="20"/>
          <w:szCs w:val="20"/>
        </w:rPr>
        <w:t>García Hernando</w:t>
      </w:r>
      <w:r w:rsidRPr="00B55B74">
        <w:rPr>
          <w:sz w:val="20"/>
          <w:szCs w:val="20"/>
        </w:rPr>
        <w:t xml:space="preserve">, J. A. “La asimetría en los acuerdos novación de cláusulas suelo: Sentencia del Tribunal de Justicia de la Unión Europea de 9 de julio de 2020 (C-452/18)”: </w:t>
      </w:r>
      <w:r w:rsidRPr="00B55B74">
        <w:rPr>
          <w:i/>
          <w:sz w:val="20"/>
          <w:szCs w:val="20"/>
        </w:rPr>
        <w:t>Diario La Ley</w:t>
      </w:r>
      <w:r w:rsidRPr="00B55B74">
        <w:rPr>
          <w:sz w:val="20"/>
          <w:szCs w:val="20"/>
        </w:rPr>
        <w:t>, Nº 9731, 2020.</w:t>
      </w:r>
    </w:p>
    <w:p w14:paraId="12806B36" w14:textId="77777777" w:rsidR="00B55B74" w:rsidRPr="00B55B74" w:rsidRDefault="00B55B74" w:rsidP="00673A7C">
      <w:pPr>
        <w:ind w:left="360"/>
        <w:contextualSpacing/>
        <w:jc w:val="both"/>
        <w:rPr>
          <w:sz w:val="20"/>
          <w:szCs w:val="20"/>
        </w:rPr>
      </w:pPr>
    </w:p>
    <w:p w14:paraId="639DC285" w14:textId="77777777" w:rsidR="00B55B74" w:rsidRPr="00B55B74" w:rsidRDefault="00B55B74" w:rsidP="00673A7C">
      <w:pPr>
        <w:numPr>
          <w:ilvl w:val="0"/>
          <w:numId w:val="5"/>
        </w:numPr>
        <w:ind w:left="360"/>
        <w:contextualSpacing/>
        <w:jc w:val="both"/>
        <w:rPr>
          <w:sz w:val="20"/>
          <w:szCs w:val="20"/>
        </w:rPr>
      </w:pPr>
      <w:r w:rsidRPr="00B55B74">
        <w:rPr>
          <w:caps/>
          <w:sz w:val="20"/>
          <w:szCs w:val="20"/>
        </w:rPr>
        <w:t xml:space="preserve">García Vicente, J. R. </w:t>
      </w:r>
      <w:r w:rsidRPr="00B55B74">
        <w:rPr>
          <w:sz w:val="20"/>
          <w:szCs w:val="20"/>
        </w:rPr>
        <w:t xml:space="preserve">“Anulación parcial del contrato por vicio de consentimiento. Derivado implícito (swap) y contrato de préstamo con garantía hipotecaria: vinculación. Comentario a la STS 559/2019, de 23 de octubre (RJ 2019, 4222)”: </w:t>
      </w:r>
      <w:r w:rsidRPr="00B55B74">
        <w:rPr>
          <w:i/>
          <w:sz w:val="20"/>
          <w:szCs w:val="20"/>
        </w:rPr>
        <w:t xml:space="preserve">Cuadernos </w:t>
      </w:r>
      <w:proofErr w:type="spellStart"/>
      <w:r w:rsidRPr="00B55B74">
        <w:rPr>
          <w:i/>
          <w:sz w:val="20"/>
          <w:szCs w:val="20"/>
        </w:rPr>
        <w:t>Civitas</w:t>
      </w:r>
      <w:proofErr w:type="spellEnd"/>
      <w:r w:rsidRPr="00B55B74">
        <w:rPr>
          <w:i/>
          <w:sz w:val="20"/>
          <w:szCs w:val="20"/>
        </w:rPr>
        <w:t xml:space="preserve"> de jurisprudencia civil</w:t>
      </w:r>
      <w:r w:rsidRPr="00B55B74">
        <w:rPr>
          <w:sz w:val="20"/>
          <w:szCs w:val="20"/>
        </w:rPr>
        <w:t>, Nº 113, 2020, págs. 229-240.</w:t>
      </w:r>
    </w:p>
    <w:p w14:paraId="363C423B" w14:textId="77777777" w:rsidR="00B55B74" w:rsidRPr="00B55B74" w:rsidRDefault="00B55B74" w:rsidP="00673A7C">
      <w:pPr>
        <w:ind w:left="360"/>
        <w:contextualSpacing/>
        <w:jc w:val="both"/>
        <w:rPr>
          <w:sz w:val="20"/>
          <w:szCs w:val="20"/>
        </w:rPr>
      </w:pPr>
    </w:p>
    <w:p w14:paraId="40C5AA13" w14:textId="77777777" w:rsidR="00B55B74" w:rsidRPr="00B55B74" w:rsidRDefault="00B55B74" w:rsidP="00673A7C">
      <w:pPr>
        <w:numPr>
          <w:ilvl w:val="0"/>
          <w:numId w:val="5"/>
        </w:numPr>
        <w:ind w:left="360"/>
        <w:contextualSpacing/>
        <w:jc w:val="both"/>
        <w:rPr>
          <w:sz w:val="20"/>
          <w:szCs w:val="20"/>
        </w:rPr>
      </w:pPr>
      <w:r w:rsidRPr="00B55B74">
        <w:rPr>
          <w:caps/>
          <w:sz w:val="20"/>
          <w:szCs w:val="20"/>
        </w:rPr>
        <w:lastRenderedPageBreak/>
        <w:t>Gómez Aguilera,</w:t>
      </w:r>
      <w:r w:rsidRPr="00B55B74">
        <w:rPr>
          <w:sz w:val="20"/>
          <w:szCs w:val="20"/>
        </w:rPr>
        <w:t xml:space="preserve"> A. M. “El control judicial de la existencia de cláusulas abusivas en el proceso de ejecución del contrato de préstamos hipotecarios concertados con consumidores: análisis del estado actual de la cuestión”: </w:t>
      </w:r>
      <w:r w:rsidRPr="00B55B74">
        <w:rPr>
          <w:i/>
          <w:sz w:val="20"/>
          <w:szCs w:val="20"/>
        </w:rPr>
        <w:t xml:space="preserve">Revista de Derecho </w:t>
      </w:r>
      <w:proofErr w:type="spellStart"/>
      <w:r w:rsidRPr="00B55B74">
        <w:rPr>
          <w:i/>
          <w:sz w:val="20"/>
          <w:szCs w:val="20"/>
        </w:rPr>
        <w:t>vLex</w:t>
      </w:r>
      <w:proofErr w:type="spellEnd"/>
      <w:r w:rsidRPr="00B55B74">
        <w:rPr>
          <w:sz w:val="20"/>
          <w:szCs w:val="20"/>
        </w:rPr>
        <w:t xml:space="preserve">, Nº. 198, Noviembre 2020. </w:t>
      </w:r>
    </w:p>
    <w:p w14:paraId="7A1A702B" w14:textId="77777777" w:rsidR="00B55B74" w:rsidRPr="00B55B74" w:rsidRDefault="00B55B74" w:rsidP="00673A7C">
      <w:pPr>
        <w:ind w:left="360"/>
        <w:contextualSpacing/>
        <w:jc w:val="both"/>
        <w:rPr>
          <w:sz w:val="20"/>
          <w:szCs w:val="20"/>
        </w:rPr>
      </w:pPr>
    </w:p>
    <w:p w14:paraId="634E1695" w14:textId="77777777" w:rsidR="00B55B74" w:rsidRPr="00B55B74" w:rsidRDefault="00B55B74" w:rsidP="00673A7C">
      <w:pPr>
        <w:numPr>
          <w:ilvl w:val="0"/>
          <w:numId w:val="5"/>
        </w:numPr>
        <w:ind w:left="360"/>
        <w:contextualSpacing/>
        <w:jc w:val="both"/>
        <w:rPr>
          <w:sz w:val="20"/>
          <w:szCs w:val="20"/>
        </w:rPr>
      </w:pPr>
      <w:r w:rsidRPr="00B55B74">
        <w:rPr>
          <w:caps/>
          <w:sz w:val="20"/>
          <w:szCs w:val="20"/>
        </w:rPr>
        <w:t xml:space="preserve">Gómez Ligüerre, C. </w:t>
      </w:r>
      <w:r w:rsidRPr="00B55B74">
        <w:rPr>
          <w:sz w:val="20"/>
          <w:szCs w:val="20"/>
        </w:rPr>
        <w:t xml:space="preserve">“Cuestionarios, riesgo asegurado y buena fe: Comentario a la STS 7/2020, Sala Civil, de 8 de enero (RJ 2019, 5383)”: </w:t>
      </w:r>
      <w:r w:rsidRPr="00B55B74">
        <w:rPr>
          <w:i/>
          <w:sz w:val="20"/>
          <w:szCs w:val="20"/>
        </w:rPr>
        <w:t xml:space="preserve">Cuadernos </w:t>
      </w:r>
      <w:proofErr w:type="spellStart"/>
      <w:r w:rsidRPr="00B55B74">
        <w:rPr>
          <w:i/>
          <w:sz w:val="20"/>
          <w:szCs w:val="20"/>
        </w:rPr>
        <w:t>Civitas</w:t>
      </w:r>
      <w:proofErr w:type="spellEnd"/>
      <w:r w:rsidRPr="00B55B74">
        <w:rPr>
          <w:i/>
          <w:sz w:val="20"/>
          <w:szCs w:val="20"/>
        </w:rPr>
        <w:t xml:space="preserve"> de jurisprudencia civil</w:t>
      </w:r>
      <w:r w:rsidRPr="00B55B74">
        <w:rPr>
          <w:sz w:val="20"/>
          <w:szCs w:val="20"/>
        </w:rPr>
        <w:t>, Nº 113, 2020, págs. 9-38.</w:t>
      </w:r>
    </w:p>
    <w:p w14:paraId="45C540CC" w14:textId="77777777" w:rsidR="00B55B74" w:rsidRPr="00B55B74" w:rsidRDefault="00B55B74" w:rsidP="00673A7C">
      <w:pPr>
        <w:ind w:left="360"/>
        <w:contextualSpacing/>
        <w:jc w:val="both"/>
        <w:rPr>
          <w:sz w:val="20"/>
          <w:szCs w:val="20"/>
        </w:rPr>
      </w:pPr>
    </w:p>
    <w:p w14:paraId="3B53B6D0" w14:textId="77777777" w:rsidR="00B55B74" w:rsidRPr="00B55B74" w:rsidRDefault="00B55B74" w:rsidP="00673A7C">
      <w:pPr>
        <w:numPr>
          <w:ilvl w:val="0"/>
          <w:numId w:val="5"/>
        </w:numPr>
        <w:ind w:left="360"/>
        <w:contextualSpacing/>
        <w:jc w:val="both"/>
        <w:rPr>
          <w:sz w:val="20"/>
          <w:szCs w:val="20"/>
        </w:rPr>
      </w:pPr>
      <w:r w:rsidRPr="00B55B74">
        <w:rPr>
          <w:caps/>
          <w:sz w:val="20"/>
          <w:szCs w:val="20"/>
        </w:rPr>
        <w:t>González Navarro,</w:t>
      </w:r>
      <w:r w:rsidRPr="00B55B74">
        <w:rPr>
          <w:sz w:val="20"/>
          <w:szCs w:val="20"/>
        </w:rPr>
        <w:t xml:space="preserve"> B. A. “Cambios en la Ley Concursal: la exoneración del pasivo insatisfecho. La Directiva de Segunda Oportunidad”: </w:t>
      </w:r>
      <w:r w:rsidRPr="00B55B74">
        <w:rPr>
          <w:i/>
          <w:sz w:val="20"/>
          <w:szCs w:val="20"/>
        </w:rPr>
        <w:t>Comunicaciones en propiedad industrial y derecho de la competencia</w:t>
      </w:r>
      <w:r w:rsidRPr="00B55B74">
        <w:rPr>
          <w:sz w:val="20"/>
          <w:szCs w:val="20"/>
        </w:rPr>
        <w:t>, Nº. 89 (enero-abril), 2020, págs. 87-103.</w:t>
      </w:r>
    </w:p>
    <w:p w14:paraId="15992833" w14:textId="77777777" w:rsidR="00B55B74" w:rsidRPr="00B55B74" w:rsidRDefault="00B55B74" w:rsidP="00673A7C">
      <w:pPr>
        <w:ind w:left="360"/>
        <w:contextualSpacing/>
        <w:jc w:val="both"/>
        <w:rPr>
          <w:sz w:val="20"/>
          <w:szCs w:val="20"/>
        </w:rPr>
      </w:pPr>
    </w:p>
    <w:p w14:paraId="2FA7EFD0" w14:textId="77777777" w:rsidR="00B55B74" w:rsidRPr="00B55B74" w:rsidRDefault="00B55B74" w:rsidP="00673A7C">
      <w:pPr>
        <w:numPr>
          <w:ilvl w:val="0"/>
          <w:numId w:val="5"/>
        </w:numPr>
        <w:ind w:left="360"/>
        <w:contextualSpacing/>
        <w:jc w:val="both"/>
        <w:rPr>
          <w:sz w:val="20"/>
          <w:szCs w:val="20"/>
        </w:rPr>
      </w:pPr>
      <w:r w:rsidRPr="00B55B74">
        <w:rPr>
          <w:caps/>
          <w:sz w:val="20"/>
          <w:szCs w:val="20"/>
        </w:rPr>
        <w:t xml:space="preserve">Goñi Rodríguez de Almeida, M. </w:t>
      </w:r>
      <w:r w:rsidRPr="00B55B74">
        <w:rPr>
          <w:sz w:val="20"/>
          <w:szCs w:val="20"/>
        </w:rPr>
        <w:t xml:space="preserve">“Los efectos del COVID-19 en el derecho inmobiliario: especial referencia a las moratorias hipotecarias”: </w:t>
      </w:r>
      <w:r w:rsidRPr="00B55B74">
        <w:rPr>
          <w:i/>
          <w:sz w:val="20"/>
          <w:szCs w:val="20"/>
        </w:rPr>
        <w:t>Revista Crítica de Derecho Inmobiliario</w:t>
      </w:r>
      <w:r w:rsidRPr="00B55B74">
        <w:rPr>
          <w:sz w:val="20"/>
          <w:szCs w:val="20"/>
        </w:rPr>
        <w:t>, Año nº 96, Nº 780, 2020, págs. 2352-2370.</w:t>
      </w:r>
    </w:p>
    <w:p w14:paraId="58A7DCBF" w14:textId="77777777" w:rsidR="00B55B74" w:rsidRPr="00B55B74" w:rsidRDefault="00B55B74" w:rsidP="00673A7C">
      <w:pPr>
        <w:ind w:left="360"/>
        <w:contextualSpacing/>
        <w:jc w:val="both"/>
        <w:rPr>
          <w:sz w:val="20"/>
          <w:szCs w:val="20"/>
        </w:rPr>
      </w:pPr>
    </w:p>
    <w:p w14:paraId="3ACC7197" w14:textId="77777777" w:rsidR="00B55B74" w:rsidRPr="00B55B74" w:rsidRDefault="00B55B74" w:rsidP="00673A7C">
      <w:pPr>
        <w:numPr>
          <w:ilvl w:val="0"/>
          <w:numId w:val="5"/>
        </w:numPr>
        <w:ind w:left="360"/>
        <w:contextualSpacing/>
        <w:jc w:val="both"/>
        <w:rPr>
          <w:sz w:val="20"/>
          <w:szCs w:val="20"/>
        </w:rPr>
      </w:pPr>
      <w:r w:rsidRPr="00B55B74">
        <w:rPr>
          <w:caps/>
          <w:sz w:val="20"/>
          <w:szCs w:val="20"/>
        </w:rPr>
        <w:t>Izquierdo Grau</w:t>
      </w:r>
      <w:r w:rsidRPr="00B55B74">
        <w:rPr>
          <w:sz w:val="20"/>
          <w:szCs w:val="20"/>
        </w:rPr>
        <w:t xml:space="preserve">, G. “Los gastos de envío y el lugar donde el consumidor tiene que poner los bienes a disposición del vendedor para ponerlos en conformidad”: </w:t>
      </w:r>
      <w:r w:rsidRPr="00B55B74">
        <w:rPr>
          <w:i/>
          <w:sz w:val="20"/>
          <w:szCs w:val="20"/>
        </w:rPr>
        <w:t>Diario La Ley</w:t>
      </w:r>
      <w:r w:rsidRPr="00B55B74">
        <w:rPr>
          <w:sz w:val="20"/>
          <w:szCs w:val="20"/>
        </w:rPr>
        <w:t>, Nº 9697, 2020.</w:t>
      </w:r>
    </w:p>
    <w:p w14:paraId="502E7E67" w14:textId="77777777" w:rsidR="00B55B74" w:rsidRPr="00B55B74" w:rsidRDefault="00B55B74" w:rsidP="00673A7C">
      <w:pPr>
        <w:ind w:left="360"/>
        <w:contextualSpacing/>
        <w:jc w:val="both"/>
        <w:rPr>
          <w:sz w:val="20"/>
          <w:szCs w:val="20"/>
        </w:rPr>
      </w:pPr>
    </w:p>
    <w:p w14:paraId="22B41960" w14:textId="77777777" w:rsidR="00B55B74" w:rsidRPr="00B55B74" w:rsidRDefault="00B55B74" w:rsidP="00673A7C">
      <w:pPr>
        <w:numPr>
          <w:ilvl w:val="0"/>
          <w:numId w:val="5"/>
        </w:numPr>
        <w:ind w:left="360"/>
        <w:contextualSpacing/>
        <w:jc w:val="both"/>
        <w:rPr>
          <w:sz w:val="20"/>
          <w:szCs w:val="20"/>
        </w:rPr>
      </w:pPr>
      <w:r w:rsidRPr="00B55B74">
        <w:rPr>
          <w:caps/>
          <w:sz w:val="20"/>
          <w:szCs w:val="20"/>
        </w:rPr>
        <w:t xml:space="preserve">Jiménez Gallego, C. </w:t>
      </w:r>
      <w:r w:rsidRPr="00B55B74">
        <w:rPr>
          <w:sz w:val="20"/>
          <w:szCs w:val="20"/>
        </w:rPr>
        <w:t xml:space="preserve">“El ámbito de aplicación de la Ley de créditos inmobiliarios”: </w:t>
      </w:r>
      <w:r w:rsidRPr="00B55B74">
        <w:rPr>
          <w:i/>
          <w:sz w:val="20"/>
          <w:szCs w:val="20"/>
        </w:rPr>
        <w:t>Revista Jurídica del Notariado</w:t>
      </w:r>
      <w:r w:rsidRPr="00B55B74">
        <w:rPr>
          <w:sz w:val="20"/>
          <w:szCs w:val="20"/>
        </w:rPr>
        <w:t>, Nº 110, 2020, págs. 63-98.</w:t>
      </w:r>
    </w:p>
    <w:p w14:paraId="723E3730" w14:textId="77777777" w:rsidR="00B55B74" w:rsidRPr="00B55B74" w:rsidRDefault="00B55B74" w:rsidP="00673A7C">
      <w:pPr>
        <w:ind w:left="360"/>
        <w:contextualSpacing/>
        <w:jc w:val="both"/>
        <w:rPr>
          <w:sz w:val="20"/>
          <w:szCs w:val="20"/>
        </w:rPr>
      </w:pPr>
    </w:p>
    <w:p w14:paraId="57D818EF" w14:textId="77777777" w:rsidR="00B55B74" w:rsidRPr="00B55B74" w:rsidRDefault="00B55B74" w:rsidP="00673A7C">
      <w:pPr>
        <w:numPr>
          <w:ilvl w:val="0"/>
          <w:numId w:val="5"/>
        </w:numPr>
        <w:ind w:left="360"/>
        <w:contextualSpacing/>
        <w:jc w:val="both"/>
        <w:rPr>
          <w:sz w:val="20"/>
          <w:szCs w:val="20"/>
        </w:rPr>
      </w:pPr>
      <w:r w:rsidRPr="00B55B74">
        <w:rPr>
          <w:caps/>
          <w:sz w:val="20"/>
          <w:szCs w:val="20"/>
        </w:rPr>
        <w:t>Lauroba Lacasa, M</w:t>
      </w:r>
      <w:r w:rsidRPr="00B55B74">
        <w:rPr>
          <w:sz w:val="20"/>
          <w:szCs w:val="20"/>
        </w:rPr>
        <w:t xml:space="preserve">. E. “La Ley 9/2020, de 31 de julio, de modificación del Libro II del Código Civil de Cataluña y de la Ley 15/2009 de Mediación en el ámbito del Derecho Privado: Una reforma prudente con onda expansiva”: </w:t>
      </w:r>
      <w:r w:rsidRPr="00B55B74">
        <w:rPr>
          <w:i/>
          <w:sz w:val="20"/>
          <w:szCs w:val="20"/>
        </w:rPr>
        <w:t>Revista CESCO de Derecho de Consumo</w:t>
      </w:r>
      <w:r w:rsidRPr="00B55B74">
        <w:rPr>
          <w:sz w:val="20"/>
          <w:szCs w:val="20"/>
        </w:rPr>
        <w:t xml:space="preserve">, nº 36 (octubre-diciembre) 2020, págs. 16-35. </w:t>
      </w:r>
    </w:p>
    <w:p w14:paraId="18416344" w14:textId="77777777" w:rsidR="00B55B74" w:rsidRPr="00B55B74" w:rsidRDefault="00B55B74" w:rsidP="00673A7C">
      <w:pPr>
        <w:ind w:left="360"/>
        <w:contextualSpacing/>
        <w:jc w:val="both"/>
        <w:rPr>
          <w:sz w:val="20"/>
          <w:szCs w:val="20"/>
        </w:rPr>
      </w:pPr>
    </w:p>
    <w:p w14:paraId="1F89E466" w14:textId="77777777" w:rsidR="00B55B74" w:rsidRPr="00B55B74" w:rsidRDefault="00B55B74" w:rsidP="00673A7C">
      <w:pPr>
        <w:numPr>
          <w:ilvl w:val="0"/>
          <w:numId w:val="5"/>
        </w:numPr>
        <w:ind w:left="360"/>
        <w:contextualSpacing/>
        <w:jc w:val="both"/>
        <w:rPr>
          <w:sz w:val="20"/>
          <w:szCs w:val="20"/>
        </w:rPr>
      </w:pPr>
      <w:r w:rsidRPr="00B55B74">
        <w:rPr>
          <w:caps/>
          <w:sz w:val="20"/>
          <w:szCs w:val="20"/>
        </w:rPr>
        <w:t xml:space="preserve">Leiñena Mendizábal, E. </w:t>
      </w:r>
      <w:r w:rsidRPr="00B55B74">
        <w:rPr>
          <w:sz w:val="20"/>
          <w:szCs w:val="20"/>
        </w:rPr>
        <w:t xml:space="preserve">“Articulación de la responsabilidad de las plataformas digitales de viaje en coche compartido en función de su diversidad”: </w:t>
      </w:r>
      <w:r w:rsidRPr="00B55B74">
        <w:rPr>
          <w:i/>
          <w:sz w:val="20"/>
          <w:szCs w:val="20"/>
        </w:rPr>
        <w:t>Revista de derecho de la competencia y la distribución</w:t>
      </w:r>
      <w:r w:rsidRPr="00B55B74">
        <w:rPr>
          <w:sz w:val="20"/>
          <w:szCs w:val="20"/>
        </w:rPr>
        <w:t>, Nº. 26, 2020.</w:t>
      </w:r>
    </w:p>
    <w:p w14:paraId="080BD57B" w14:textId="77777777" w:rsidR="00B55B74" w:rsidRPr="00B55B74" w:rsidRDefault="00B55B74" w:rsidP="00673A7C">
      <w:pPr>
        <w:ind w:left="360"/>
        <w:contextualSpacing/>
        <w:jc w:val="both"/>
        <w:rPr>
          <w:sz w:val="20"/>
          <w:szCs w:val="20"/>
        </w:rPr>
      </w:pPr>
    </w:p>
    <w:p w14:paraId="49097A8B" w14:textId="77777777" w:rsidR="00B55B74" w:rsidRPr="00B55B74" w:rsidRDefault="00B55B74" w:rsidP="00673A7C">
      <w:pPr>
        <w:numPr>
          <w:ilvl w:val="0"/>
          <w:numId w:val="5"/>
        </w:numPr>
        <w:ind w:left="360"/>
        <w:contextualSpacing/>
        <w:jc w:val="both"/>
        <w:rPr>
          <w:sz w:val="20"/>
          <w:szCs w:val="20"/>
        </w:rPr>
      </w:pPr>
      <w:r w:rsidRPr="00B55B74">
        <w:rPr>
          <w:caps/>
          <w:sz w:val="20"/>
          <w:szCs w:val="20"/>
        </w:rPr>
        <w:t xml:space="preserve">López San Luis, R. </w:t>
      </w:r>
      <w:r w:rsidRPr="00B55B74">
        <w:rPr>
          <w:sz w:val="20"/>
          <w:szCs w:val="20"/>
        </w:rPr>
        <w:t xml:space="preserve">“Generación de confianza en el comprador por las entregas a cuenta en la adquisición de vivienda sobre plano y responsabilidad de las entidades avalista. Comentario a la STS de 8 de enero 2020 (RJ 2019, 5391)”: </w:t>
      </w:r>
      <w:r w:rsidRPr="00B55B74">
        <w:rPr>
          <w:i/>
          <w:sz w:val="20"/>
          <w:szCs w:val="20"/>
        </w:rPr>
        <w:t xml:space="preserve">Cuadernos </w:t>
      </w:r>
      <w:proofErr w:type="spellStart"/>
      <w:r w:rsidRPr="00B55B74">
        <w:rPr>
          <w:i/>
          <w:sz w:val="20"/>
          <w:szCs w:val="20"/>
        </w:rPr>
        <w:t>Civitas</w:t>
      </w:r>
      <w:proofErr w:type="spellEnd"/>
      <w:r w:rsidRPr="00B55B74">
        <w:rPr>
          <w:i/>
          <w:sz w:val="20"/>
          <w:szCs w:val="20"/>
        </w:rPr>
        <w:t xml:space="preserve"> de jurisprudencia civil</w:t>
      </w:r>
      <w:r w:rsidRPr="00B55B74">
        <w:rPr>
          <w:sz w:val="20"/>
          <w:szCs w:val="20"/>
        </w:rPr>
        <w:t>, Nº 114, 2020, págs. 237-250.</w:t>
      </w:r>
    </w:p>
    <w:p w14:paraId="0BAEFC71" w14:textId="77777777" w:rsidR="00B55B74" w:rsidRPr="00B55B74" w:rsidRDefault="00B55B74" w:rsidP="00673A7C">
      <w:pPr>
        <w:ind w:left="360"/>
        <w:contextualSpacing/>
        <w:jc w:val="both"/>
        <w:rPr>
          <w:sz w:val="20"/>
          <w:szCs w:val="20"/>
        </w:rPr>
      </w:pPr>
    </w:p>
    <w:p w14:paraId="53173BA3" w14:textId="77777777" w:rsidR="00B55B74" w:rsidRPr="00B55B74" w:rsidRDefault="00B55B74" w:rsidP="00673A7C">
      <w:pPr>
        <w:numPr>
          <w:ilvl w:val="0"/>
          <w:numId w:val="5"/>
        </w:numPr>
        <w:ind w:left="360"/>
        <w:contextualSpacing/>
        <w:jc w:val="both"/>
        <w:rPr>
          <w:sz w:val="20"/>
          <w:szCs w:val="20"/>
        </w:rPr>
      </w:pPr>
      <w:r w:rsidRPr="00B55B74">
        <w:rPr>
          <w:caps/>
          <w:sz w:val="20"/>
          <w:szCs w:val="20"/>
        </w:rPr>
        <w:t xml:space="preserve">Manterola, N. I. y Sondergaard, K. G. </w:t>
      </w:r>
      <w:r w:rsidRPr="00B55B74">
        <w:rPr>
          <w:sz w:val="20"/>
          <w:szCs w:val="20"/>
        </w:rPr>
        <w:t xml:space="preserve">“El deber de buena fe del proveedor en los contratos de consumo ante la pandemia de CO VID-19”: </w:t>
      </w:r>
      <w:r w:rsidRPr="00B55B74">
        <w:rPr>
          <w:i/>
          <w:sz w:val="20"/>
          <w:szCs w:val="20"/>
        </w:rPr>
        <w:t>Revista de responsabilidad civil y seguros: publicación mensual de doctrina, jurisprudencia y legislación</w:t>
      </w:r>
      <w:r w:rsidRPr="00B55B74">
        <w:rPr>
          <w:sz w:val="20"/>
          <w:szCs w:val="20"/>
        </w:rPr>
        <w:t>, Año 22, Nº. 10, 2020, págs. 34-41.</w:t>
      </w:r>
    </w:p>
    <w:p w14:paraId="3D57CC15" w14:textId="77777777" w:rsidR="00B55B74" w:rsidRPr="00B55B74" w:rsidRDefault="00B55B74" w:rsidP="00673A7C">
      <w:pPr>
        <w:ind w:left="360"/>
        <w:contextualSpacing/>
        <w:jc w:val="both"/>
        <w:rPr>
          <w:sz w:val="20"/>
          <w:szCs w:val="20"/>
        </w:rPr>
      </w:pPr>
    </w:p>
    <w:p w14:paraId="6C3D22BC" w14:textId="77777777" w:rsidR="00B55B74" w:rsidRPr="00B55B74" w:rsidRDefault="00B55B74" w:rsidP="00673A7C">
      <w:pPr>
        <w:numPr>
          <w:ilvl w:val="0"/>
          <w:numId w:val="5"/>
        </w:numPr>
        <w:ind w:left="360"/>
        <w:contextualSpacing/>
        <w:jc w:val="both"/>
        <w:rPr>
          <w:sz w:val="20"/>
          <w:szCs w:val="20"/>
        </w:rPr>
      </w:pPr>
      <w:r w:rsidRPr="00B55B74">
        <w:rPr>
          <w:caps/>
          <w:sz w:val="20"/>
          <w:szCs w:val="20"/>
        </w:rPr>
        <w:t xml:space="preserve">Martínez Calvo, J. </w:t>
      </w:r>
      <w:r w:rsidRPr="00B55B74">
        <w:rPr>
          <w:sz w:val="20"/>
          <w:szCs w:val="20"/>
        </w:rPr>
        <w:t xml:space="preserve">“El derecho de rectificación ante informaciones falsas o inexactas, con especial mención a las publicadas en Internet”: </w:t>
      </w:r>
      <w:r w:rsidRPr="00B55B74">
        <w:rPr>
          <w:i/>
          <w:sz w:val="20"/>
          <w:szCs w:val="20"/>
        </w:rPr>
        <w:t>Revista de Derecho Civil</w:t>
      </w:r>
      <w:r w:rsidRPr="00B55B74">
        <w:rPr>
          <w:sz w:val="20"/>
          <w:szCs w:val="20"/>
        </w:rPr>
        <w:t>, Vol. 7, Nº. 4 (julio-septiembre), 2020, págs. 137-181.</w:t>
      </w:r>
    </w:p>
    <w:p w14:paraId="006A6FBA" w14:textId="77777777" w:rsidR="00B55B74" w:rsidRPr="00B55B74" w:rsidRDefault="00B55B74" w:rsidP="00673A7C">
      <w:pPr>
        <w:ind w:left="360"/>
        <w:contextualSpacing/>
        <w:jc w:val="both"/>
        <w:rPr>
          <w:sz w:val="20"/>
          <w:szCs w:val="20"/>
        </w:rPr>
      </w:pPr>
    </w:p>
    <w:p w14:paraId="0E4CD591" w14:textId="77777777" w:rsidR="00B55B74" w:rsidRPr="00B55B74" w:rsidRDefault="00B55B74" w:rsidP="00673A7C">
      <w:pPr>
        <w:numPr>
          <w:ilvl w:val="0"/>
          <w:numId w:val="5"/>
        </w:numPr>
        <w:ind w:left="360"/>
        <w:contextualSpacing/>
        <w:jc w:val="both"/>
        <w:rPr>
          <w:sz w:val="20"/>
          <w:szCs w:val="20"/>
        </w:rPr>
      </w:pPr>
      <w:r w:rsidRPr="00B55B74">
        <w:rPr>
          <w:caps/>
          <w:sz w:val="20"/>
          <w:szCs w:val="20"/>
        </w:rPr>
        <w:t>Martínez Espín, P.</w:t>
      </w:r>
      <w:r w:rsidRPr="00B55B74">
        <w:rPr>
          <w:sz w:val="20"/>
          <w:szCs w:val="20"/>
        </w:rPr>
        <w:t xml:space="preserve"> “Control de transparencia de la cláusula de determinación del interés variable: Comentario a la STS (Sala de lo Civil, Sección 1ª Núm. 538/2019 de 11 octubre (RJ 2019, 3852)”: </w:t>
      </w:r>
      <w:r w:rsidRPr="00B55B74">
        <w:rPr>
          <w:i/>
          <w:sz w:val="20"/>
          <w:szCs w:val="20"/>
        </w:rPr>
        <w:t xml:space="preserve">Cuadernos </w:t>
      </w:r>
      <w:proofErr w:type="spellStart"/>
      <w:r w:rsidRPr="00B55B74">
        <w:rPr>
          <w:i/>
          <w:sz w:val="20"/>
          <w:szCs w:val="20"/>
        </w:rPr>
        <w:t>Civitas</w:t>
      </w:r>
      <w:proofErr w:type="spellEnd"/>
      <w:r w:rsidRPr="00B55B74">
        <w:rPr>
          <w:i/>
          <w:sz w:val="20"/>
          <w:szCs w:val="20"/>
        </w:rPr>
        <w:t xml:space="preserve"> de jurisprudencia civil</w:t>
      </w:r>
      <w:r w:rsidRPr="00B55B74">
        <w:rPr>
          <w:sz w:val="20"/>
          <w:szCs w:val="20"/>
        </w:rPr>
        <w:t>, Nº 113, 2020, págs. 207-228.</w:t>
      </w:r>
    </w:p>
    <w:p w14:paraId="34A9C87C" w14:textId="77777777" w:rsidR="00B55B74" w:rsidRPr="00B55B74" w:rsidRDefault="00B55B74" w:rsidP="00673A7C">
      <w:pPr>
        <w:ind w:left="360"/>
        <w:contextualSpacing/>
        <w:jc w:val="both"/>
        <w:rPr>
          <w:sz w:val="20"/>
          <w:szCs w:val="20"/>
        </w:rPr>
      </w:pPr>
    </w:p>
    <w:p w14:paraId="707D13D9" w14:textId="77777777" w:rsidR="00B55B74" w:rsidRPr="00B55B74" w:rsidRDefault="00B55B74" w:rsidP="00673A7C">
      <w:pPr>
        <w:numPr>
          <w:ilvl w:val="0"/>
          <w:numId w:val="5"/>
        </w:numPr>
        <w:ind w:left="360"/>
        <w:contextualSpacing/>
        <w:jc w:val="both"/>
        <w:rPr>
          <w:sz w:val="20"/>
          <w:szCs w:val="20"/>
        </w:rPr>
      </w:pPr>
      <w:r w:rsidRPr="00B55B74">
        <w:rPr>
          <w:caps/>
          <w:sz w:val="20"/>
          <w:szCs w:val="20"/>
        </w:rPr>
        <w:lastRenderedPageBreak/>
        <w:t xml:space="preserve">Martínez Espín, P. </w:t>
      </w:r>
      <w:r w:rsidRPr="00B55B74">
        <w:rPr>
          <w:sz w:val="20"/>
          <w:szCs w:val="20"/>
        </w:rPr>
        <w:t xml:space="preserve">“El control de transparencia de la cláusula IRPH según el TJUE. Comentario a la STJUE de 3 de marzo 2020 (TJCE 2020, 3)”: </w:t>
      </w:r>
      <w:r w:rsidRPr="00B55B74">
        <w:rPr>
          <w:i/>
          <w:sz w:val="20"/>
          <w:szCs w:val="20"/>
        </w:rPr>
        <w:t xml:space="preserve">Cuadernos </w:t>
      </w:r>
      <w:proofErr w:type="spellStart"/>
      <w:r w:rsidRPr="00B55B74">
        <w:rPr>
          <w:i/>
          <w:sz w:val="20"/>
          <w:szCs w:val="20"/>
        </w:rPr>
        <w:t>Civitas</w:t>
      </w:r>
      <w:proofErr w:type="spellEnd"/>
      <w:r w:rsidRPr="00B55B74">
        <w:rPr>
          <w:i/>
          <w:sz w:val="20"/>
          <w:szCs w:val="20"/>
        </w:rPr>
        <w:t xml:space="preserve"> de jurisprudencia civil</w:t>
      </w:r>
      <w:r w:rsidRPr="00B55B74">
        <w:rPr>
          <w:sz w:val="20"/>
          <w:szCs w:val="20"/>
        </w:rPr>
        <w:t>, Nº 114, 2020, págs. 375-416.</w:t>
      </w:r>
    </w:p>
    <w:p w14:paraId="096F6961" w14:textId="77777777" w:rsidR="00B55B74" w:rsidRPr="00B55B74" w:rsidRDefault="00B55B74" w:rsidP="00673A7C">
      <w:pPr>
        <w:ind w:left="360"/>
        <w:contextualSpacing/>
        <w:jc w:val="both"/>
        <w:rPr>
          <w:sz w:val="20"/>
          <w:szCs w:val="20"/>
        </w:rPr>
      </w:pPr>
    </w:p>
    <w:p w14:paraId="122A5B93" w14:textId="77777777" w:rsidR="00B55B74" w:rsidRPr="00B55B74" w:rsidRDefault="00B55B74" w:rsidP="00673A7C">
      <w:pPr>
        <w:numPr>
          <w:ilvl w:val="0"/>
          <w:numId w:val="5"/>
        </w:numPr>
        <w:ind w:left="360"/>
        <w:contextualSpacing/>
        <w:jc w:val="both"/>
        <w:rPr>
          <w:sz w:val="20"/>
          <w:szCs w:val="20"/>
        </w:rPr>
      </w:pPr>
      <w:r w:rsidRPr="00B55B74">
        <w:rPr>
          <w:sz w:val="20"/>
          <w:szCs w:val="20"/>
        </w:rPr>
        <w:t xml:space="preserve">MARTÍNEZ GÓMEZ, S. “El Tribunal de Luxemburgo examina las tarjetas </w:t>
      </w:r>
      <w:proofErr w:type="spellStart"/>
      <w:r w:rsidRPr="00B55B74">
        <w:rPr>
          <w:sz w:val="20"/>
          <w:szCs w:val="20"/>
        </w:rPr>
        <w:t>contactless</w:t>
      </w:r>
      <w:proofErr w:type="spellEnd"/>
      <w:r w:rsidRPr="00B55B74">
        <w:rPr>
          <w:sz w:val="20"/>
          <w:szCs w:val="20"/>
        </w:rPr>
        <w:t xml:space="preserve"> a la luz de la Directiva 2015/2366 de Servicios de Pago (PSD2)”: </w:t>
      </w:r>
      <w:r w:rsidRPr="00B55B74">
        <w:rPr>
          <w:i/>
          <w:sz w:val="20"/>
          <w:szCs w:val="20"/>
        </w:rPr>
        <w:t>Revista CESCO de Derecho de Consumo</w:t>
      </w:r>
      <w:r w:rsidRPr="00B55B74">
        <w:rPr>
          <w:sz w:val="20"/>
          <w:szCs w:val="20"/>
        </w:rPr>
        <w:t>, nº 36 (octubre-diciembre) 2020, págs. 130-143.</w:t>
      </w:r>
    </w:p>
    <w:p w14:paraId="7E07C5C1" w14:textId="77777777" w:rsidR="00B55B74" w:rsidRPr="00B55B74" w:rsidRDefault="00B55B74" w:rsidP="00673A7C">
      <w:pPr>
        <w:ind w:left="360"/>
        <w:contextualSpacing/>
        <w:jc w:val="both"/>
        <w:rPr>
          <w:sz w:val="20"/>
          <w:szCs w:val="20"/>
        </w:rPr>
      </w:pPr>
    </w:p>
    <w:p w14:paraId="0B3A7587" w14:textId="77777777" w:rsidR="00B55B74" w:rsidRPr="00B55B74" w:rsidRDefault="00B55B74" w:rsidP="00673A7C">
      <w:pPr>
        <w:numPr>
          <w:ilvl w:val="0"/>
          <w:numId w:val="5"/>
        </w:numPr>
        <w:ind w:left="360"/>
        <w:contextualSpacing/>
        <w:jc w:val="both"/>
        <w:rPr>
          <w:sz w:val="20"/>
          <w:szCs w:val="20"/>
        </w:rPr>
      </w:pPr>
      <w:r w:rsidRPr="00B55B74">
        <w:rPr>
          <w:sz w:val="20"/>
          <w:szCs w:val="20"/>
        </w:rPr>
        <w:t xml:space="preserve">MARTÍNEZ GÓMEZ, S. “La comercialización de productos Lehman </w:t>
      </w:r>
      <w:proofErr w:type="spellStart"/>
      <w:r w:rsidRPr="00B55B74">
        <w:rPr>
          <w:sz w:val="20"/>
          <w:szCs w:val="20"/>
        </w:rPr>
        <w:t>Brothers</w:t>
      </w:r>
      <w:proofErr w:type="spellEnd"/>
      <w:r w:rsidRPr="00B55B74">
        <w:rPr>
          <w:sz w:val="20"/>
          <w:szCs w:val="20"/>
        </w:rPr>
        <w:t xml:space="preserve"> en España. A propósito de la última STS de 21 de septiembre”: </w:t>
      </w:r>
      <w:r w:rsidRPr="00B55B74">
        <w:rPr>
          <w:i/>
          <w:sz w:val="20"/>
          <w:szCs w:val="20"/>
        </w:rPr>
        <w:t>Revista CESCO de Derecho de Consumo</w:t>
      </w:r>
      <w:r w:rsidRPr="00B55B74">
        <w:rPr>
          <w:sz w:val="20"/>
          <w:szCs w:val="20"/>
        </w:rPr>
        <w:t>, nº 36 (octubre-diciembre) 2020, págs. 104-115.</w:t>
      </w:r>
    </w:p>
    <w:p w14:paraId="5CBB6B9F" w14:textId="77777777" w:rsidR="00B55B74" w:rsidRPr="00B55B74" w:rsidRDefault="00B55B74" w:rsidP="00673A7C">
      <w:pPr>
        <w:ind w:left="360"/>
        <w:contextualSpacing/>
        <w:jc w:val="both"/>
        <w:rPr>
          <w:sz w:val="20"/>
          <w:szCs w:val="20"/>
        </w:rPr>
      </w:pPr>
    </w:p>
    <w:p w14:paraId="1D1C99B7" w14:textId="77777777" w:rsidR="00B55B74" w:rsidRPr="00B55B74" w:rsidRDefault="00B55B74" w:rsidP="00673A7C">
      <w:pPr>
        <w:numPr>
          <w:ilvl w:val="0"/>
          <w:numId w:val="5"/>
        </w:numPr>
        <w:ind w:left="360"/>
        <w:contextualSpacing/>
        <w:jc w:val="both"/>
        <w:rPr>
          <w:sz w:val="20"/>
          <w:szCs w:val="20"/>
        </w:rPr>
      </w:pPr>
      <w:r w:rsidRPr="00B55B74">
        <w:rPr>
          <w:caps/>
          <w:sz w:val="20"/>
          <w:szCs w:val="20"/>
        </w:rPr>
        <w:t xml:space="preserve">Mendoza Enríquez, O. A. </w:t>
      </w:r>
      <w:r w:rsidRPr="00B55B74">
        <w:rPr>
          <w:sz w:val="20"/>
          <w:szCs w:val="20"/>
        </w:rPr>
        <w:t>“</w:t>
      </w:r>
      <w:proofErr w:type="spellStart"/>
      <w:r w:rsidRPr="00B55B74">
        <w:rPr>
          <w:sz w:val="20"/>
          <w:szCs w:val="20"/>
        </w:rPr>
        <w:t>Blockchain</w:t>
      </w:r>
      <w:proofErr w:type="spellEnd"/>
      <w:r w:rsidRPr="00B55B74">
        <w:rPr>
          <w:sz w:val="20"/>
          <w:szCs w:val="20"/>
        </w:rPr>
        <w:t xml:space="preserve"> y protección de datos personales”: </w:t>
      </w:r>
      <w:r w:rsidRPr="00B55B74">
        <w:rPr>
          <w:i/>
          <w:sz w:val="20"/>
          <w:szCs w:val="20"/>
        </w:rPr>
        <w:t>Informática y Derecho: Revista Iberoamericana de Derecho Informático (segunda época)</w:t>
      </w:r>
      <w:r w:rsidRPr="00B55B74">
        <w:rPr>
          <w:sz w:val="20"/>
          <w:szCs w:val="20"/>
        </w:rPr>
        <w:t>, Nº. 8, 2020, págs. 107-120.</w:t>
      </w:r>
    </w:p>
    <w:p w14:paraId="6D41CAFC" w14:textId="77777777" w:rsidR="00B55B74" w:rsidRPr="00B55B74" w:rsidRDefault="00B55B74" w:rsidP="00673A7C">
      <w:pPr>
        <w:ind w:left="360"/>
        <w:contextualSpacing/>
        <w:jc w:val="both"/>
        <w:rPr>
          <w:sz w:val="20"/>
          <w:szCs w:val="20"/>
        </w:rPr>
      </w:pPr>
    </w:p>
    <w:p w14:paraId="101506A8" w14:textId="77777777" w:rsidR="00B55B74" w:rsidRPr="00B55B74" w:rsidRDefault="00B55B74" w:rsidP="00673A7C">
      <w:pPr>
        <w:numPr>
          <w:ilvl w:val="0"/>
          <w:numId w:val="5"/>
        </w:numPr>
        <w:ind w:left="360"/>
        <w:contextualSpacing/>
        <w:jc w:val="both"/>
        <w:rPr>
          <w:caps/>
          <w:sz w:val="20"/>
          <w:szCs w:val="20"/>
        </w:rPr>
      </w:pPr>
      <w:r w:rsidRPr="00B55B74">
        <w:rPr>
          <w:caps/>
          <w:sz w:val="20"/>
          <w:szCs w:val="20"/>
        </w:rPr>
        <w:t xml:space="preserve">Orduña Moreno, F. J. </w:t>
      </w:r>
      <w:r w:rsidRPr="00B55B74">
        <w:rPr>
          <w:sz w:val="20"/>
          <w:szCs w:val="20"/>
        </w:rPr>
        <w:t>“Doctrina jurisprudencial del TJUE: claves conceptuales a propósito del IRPH”</w:t>
      </w:r>
      <w:r w:rsidRPr="00B55B74">
        <w:rPr>
          <w:caps/>
          <w:sz w:val="20"/>
          <w:szCs w:val="20"/>
        </w:rPr>
        <w:t xml:space="preserve">: </w:t>
      </w:r>
      <w:r w:rsidRPr="00B55B74">
        <w:rPr>
          <w:i/>
          <w:sz w:val="20"/>
          <w:szCs w:val="20"/>
        </w:rPr>
        <w:t xml:space="preserve">Revista de Derecho </w:t>
      </w:r>
      <w:proofErr w:type="spellStart"/>
      <w:r w:rsidRPr="00B55B74">
        <w:rPr>
          <w:i/>
          <w:sz w:val="20"/>
          <w:szCs w:val="20"/>
        </w:rPr>
        <w:t>vLex</w:t>
      </w:r>
      <w:proofErr w:type="spellEnd"/>
      <w:r w:rsidRPr="00B55B74">
        <w:rPr>
          <w:caps/>
          <w:sz w:val="20"/>
          <w:szCs w:val="20"/>
        </w:rPr>
        <w:t xml:space="preserve">, </w:t>
      </w:r>
      <w:r w:rsidRPr="00B55B74">
        <w:rPr>
          <w:sz w:val="20"/>
          <w:szCs w:val="20"/>
        </w:rPr>
        <w:t xml:space="preserve">Nº. 198, Noviembre 2020. </w:t>
      </w:r>
    </w:p>
    <w:p w14:paraId="11AD1E18" w14:textId="77777777" w:rsidR="00B55B74" w:rsidRPr="00B55B74" w:rsidRDefault="00B55B74" w:rsidP="00673A7C">
      <w:pPr>
        <w:ind w:left="360"/>
        <w:contextualSpacing/>
        <w:jc w:val="both"/>
        <w:rPr>
          <w:caps/>
          <w:sz w:val="20"/>
          <w:szCs w:val="20"/>
        </w:rPr>
      </w:pPr>
    </w:p>
    <w:p w14:paraId="39684800" w14:textId="77777777" w:rsidR="00B55B74" w:rsidRPr="00B55B74" w:rsidRDefault="00B55B74" w:rsidP="00673A7C">
      <w:pPr>
        <w:numPr>
          <w:ilvl w:val="0"/>
          <w:numId w:val="5"/>
        </w:numPr>
        <w:ind w:left="360"/>
        <w:contextualSpacing/>
        <w:jc w:val="both"/>
        <w:rPr>
          <w:sz w:val="20"/>
          <w:szCs w:val="20"/>
        </w:rPr>
      </w:pPr>
      <w:r w:rsidRPr="00B55B74">
        <w:rPr>
          <w:caps/>
          <w:sz w:val="20"/>
          <w:szCs w:val="20"/>
        </w:rPr>
        <w:t xml:space="preserve">Otaola, M. A. </w:t>
      </w:r>
      <w:r w:rsidRPr="00B55B74">
        <w:rPr>
          <w:sz w:val="20"/>
          <w:szCs w:val="20"/>
        </w:rPr>
        <w:t xml:space="preserve">“Aplicación del plazo de prescripción quinquenal a contratos de seguros aplicables a consumidores: Un abordaje pro homine”: </w:t>
      </w:r>
      <w:r w:rsidRPr="00B55B74">
        <w:rPr>
          <w:i/>
          <w:sz w:val="20"/>
          <w:szCs w:val="20"/>
        </w:rPr>
        <w:t>Revista de responsabilidad civil y seguros: publicación mensual de doctrina, jurisprudencia y legislación</w:t>
      </w:r>
      <w:r w:rsidRPr="00B55B74">
        <w:rPr>
          <w:sz w:val="20"/>
          <w:szCs w:val="20"/>
        </w:rPr>
        <w:t>, Año 22, Nº. 8, 2020, págs. 246-252.</w:t>
      </w:r>
    </w:p>
    <w:p w14:paraId="709EF433" w14:textId="77777777" w:rsidR="00B55B74" w:rsidRPr="00B55B74" w:rsidRDefault="00B55B74" w:rsidP="00673A7C">
      <w:pPr>
        <w:ind w:left="360"/>
        <w:contextualSpacing/>
        <w:jc w:val="both"/>
        <w:rPr>
          <w:sz w:val="20"/>
          <w:szCs w:val="20"/>
        </w:rPr>
      </w:pPr>
    </w:p>
    <w:p w14:paraId="1D0B3E51" w14:textId="77777777" w:rsidR="00B55B74" w:rsidRPr="00B55B74" w:rsidRDefault="00B55B74" w:rsidP="00673A7C">
      <w:pPr>
        <w:numPr>
          <w:ilvl w:val="0"/>
          <w:numId w:val="5"/>
        </w:numPr>
        <w:ind w:left="360"/>
        <w:contextualSpacing/>
        <w:jc w:val="both"/>
        <w:rPr>
          <w:caps/>
          <w:sz w:val="20"/>
          <w:szCs w:val="20"/>
        </w:rPr>
      </w:pPr>
      <w:r w:rsidRPr="00B55B74">
        <w:rPr>
          <w:caps/>
          <w:sz w:val="20"/>
          <w:szCs w:val="20"/>
        </w:rPr>
        <w:t xml:space="preserve">Otero Lastres, J. M. </w:t>
      </w:r>
      <w:r w:rsidRPr="00B55B74">
        <w:rPr>
          <w:sz w:val="20"/>
          <w:szCs w:val="20"/>
        </w:rPr>
        <w:t>“La protección de los consumidores cuarenta años después”</w:t>
      </w:r>
      <w:r w:rsidRPr="00B55B74">
        <w:rPr>
          <w:caps/>
          <w:sz w:val="20"/>
          <w:szCs w:val="20"/>
        </w:rPr>
        <w:t xml:space="preserve">: </w:t>
      </w:r>
      <w:r w:rsidRPr="00B55B74">
        <w:rPr>
          <w:i/>
          <w:sz w:val="20"/>
          <w:szCs w:val="20"/>
        </w:rPr>
        <w:t>Actas de derecho industrial y derecho de autor</w:t>
      </w:r>
      <w:r w:rsidRPr="00B55B74">
        <w:rPr>
          <w:sz w:val="20"/>
          <w:szCs w:val="20"/>
        </w:rPr>
        <w:t>, Tomo 40, 2019-2020, págs. 189-222.</w:t>
      </w:r>
    </w:p>
    <w:p w14:paraId="53627195" w14:textId="77777777" w:rsidR="00B55B74" w:rsidRPr="00B55B74" w:rsidRDefault="00B55B74" w:rsidP="00673A7C">
      <w:pPr>
        <w:ind w:left="360"/>
        <w:contextualSpacing/>
        <w:jc w:val="both"/>
        <w:rPr>
          <w:caps/>
          <w:sz w:val="20"/>
          <w:szCs w:val="20"/>
        </w:rPr>
      </w:pPr>
    </w:p>
    <w:p w14:paraId="02AC37E6" w14:textId="77777777" w:rsidR="00B55B74" w:rsidRPr="00B55B74" w:rsidRDefault="00B55B74" w:rsidP="00673A7C">
      <w:pPr>
        <w:numPr>
          <w:ilvl w:val="0"/>
          <w:numId w:val="5"/>
        </w:numPr>
        <w:ind w:left="360"/>
        <w:contextualSpacing/>
        <w:jc w:val="both"/>
        <w:rPr>
          <w:sz w:val="20"/>
          <w:szCs w:val="20"/>
        </w:rPr>
      </w:pPr>
      <w:r w:rsidRPr="00B55B74">
        <w:rPr>
          <w:caps/>
          <w:sz w:val="20"/>
          <w:szCs w:val="20"/>
        </w:rPr>
        <w:t xml:space="preserve">Perea González, A. </w:t>
      </w:r>
      <w:r w:rsidRPr="00B55B74">
        <w:rPr>
          <w:sz w:val="20"/>
          <w:szCs w:val="20"/>
        </w:rPr>
        <w:t xml:space="preserve">“Diálogos para el futuro judicial X. El mediador concursal”: </w:t>
      </w:r>
      <w:r w:rsidRPr="00B55B74">
        <w:rPr>
          <w:i/>
          <w:sz w:val="20"/>
          <w:szCs w:val="20"/>
        </w:rPr>
        <w:t>Diario La Ley</w:t>
      </w:r>
      <w:r w:rsidRPr="00B55B74">
        <w:rPr>
          <w:sz w:val="20"/>
          <w:szCs w:val="20"/>
        </w:rPr>
        <w:t>, Nº 9707, 2020.</w:t>
      </w:r>
    </w:p>
    <w:p w14:paraId="23E93312" w14:textId="77777777" w:rsidR="00B55B74" w:rsidRPr="00B55B74" w:rsidRDefault="00B55B74" w:rsidP="00673A7C">
      <w:pPr>
        <w:ind w:left="360"/>
        <w:contextualSpacing/>
        <w:jc w:val="both"/>
        <w:rPr>
          <w:sz w:val="20"/>
          <w:szCs w:val="20"/>
        </w:rPr>
      </w:pPr>
    </w:p>
    <w:p w14:paraId="4458FC14" w14:textId="77777777" w:rsidR="00B55B74" w:rsidRPr="00B55B74" w:rsidRDefault="00B55B74" w:rsidP="00673A7C">
      <w:pPr>
        <w:numPr>
          <w:ilvl w:val="0"/>
          <w:numId w:val="5"/>
        </w:numPr>
        <w:ind w:left="360"/>
        <w:contextualSpacing/>
        <w:jc w:val="both"/>
        <w:rPr>
          <w:sz w:val="20"/>
          <w:szCs w:val="20"/>
        </w:rPr>
      </w:pPr>
      <w:r w:rsidRPr="00B55B74">
        <w:rPr>
          <w:caps/>
          <w:sz w:val="20"/>
          <w:szCs w:val="20"/>
        </w:rPr>
        <w:t xml:space="preserve">Perestrelo de Oliveira, M. </w:t>
      </w:r>
      <w:r w:rsidRPr="00B55B74">
        <w:rPr>
          <w:sz w:val="20"/>
          <w:szCs w:val="20"/>
        </w:rPr>
        <w:t>“</w:t>
      </w:r>
      <w:proofErr w:type="spellStart"/>
      <w:r w:rsidRPr="00B55B74">
        <w:rPr>
          <w:sz w:val="20"/>
          <w:szCs w:val="20"/>
        </w:rPr>
        <w:t>Operações</w:t>
      </w:r>
      <w:proofErr w:type="spellEnd"/>
      <w:r w:rsidRPr="00B55B74">
        <w:rPr>
          <w:sz w:val="20"/>
          <w:szCs w:val="20"/>
        </w:rPr>
        <w:t xml:space="preserve"> de crédito, </w:t>
      </w:r>
      <w:proofErr w:type="spellStart"/>
      <w:r w:rsidRPr="00B55B74">
        <w:rPr>
          <w:sz w:val="20"/>
          <w:szCs w:val="20"/>
        </w:rPr>
        <w:t>financiamentos</w:t>
      </w:r>
      <w:proofErr w:type="spellEnd"/>
      <w:r w:rsidRPr="00B55B74">
        <w:rPr>
          <w:sz w:val="20"/>
          <w:szCs w:val="20"/>
        </w:rPr>
        <w:t xml:space="preserve"> </w:t>
      </w:r>
      <w:proofErr w:type="spellStart"/>
      <w:r w:rsidRPr="00B55B74">
        <w:rPr>
          <w:sz w:val="20"/>
          <w:szCs w:val="20"/>
        </w:rPr>
        <w:t>internacionais</w:t>
      </w:r>
      <w:proofErr w:type="spellEnd"/>
      <w:r w:rsidRPr="00B55B74">
        <w:rPr>
          <w:sz w:val="20"/>
          <w:szCs w:val="20"/>
        </w:rPr>
        <w:t xml:space="preserve"> e </w:t>
      </w:r>
      <w:proofErr w:type="spellStart"/>
      <w:r w:rsidRPr="00B55B74">
        <w:rPr>
          <w:sz w:val="20"/>
          <w:szCs w:val="20"/>
        </w:rPr>
        <w:t>moratória</w:t>
      </w:r>
      <w:proofErr w:type="spellEnd"/>
      <w:r w:rsidRPr="00B55B74">
        <w:rPr>
          <w:sz w:val="20"/>
          <w:szCs w:val="20"/>
        </w:rPr>
        <w:t xml:space="preserve"> </w:t>
      </w:r>
      <w:proofErr w:type="spellStart"/>
      <w:r w:rsidRPr="00B55B74">
        <w:rPr>
          <w:sz w:val="20"/>
          <w:szCs w:val="20"/>
        </w:rPr>
        <w:t>bancária</w:t>
      </w:r>
      <w:proofErr w:type="spellEnd"/>
      <w:r w:rsidRPr="00B55B74">
        <w:rPr>
          <w:sz w:val="20"/>
          <w:szCs w:val="20"/>
        </w:rPr>
        <w:t xml:space="preserve"> em tempos de </w:t>
      </w:r>
      <w:proofErr w:type="spellStart"/>
      <w:r w:rsidRPr="00B55B74">
        <w:rPr>
          <w:sz w:val="20"/>
          <w:szCs w:val="20"/>
        </w:rPr>
        <w:t>Covid</w:t>
      </w:r>
      <w:proofErr w:type="spellEnd"/>
      <w:r w:rsidRPr="00B55B74">
        <w:rPr>
          <w:sz w:val="20"/>
          <w:szCs w:val="20"/>
        </w:rPr>
        <w:t xml:space="preserve">- 19”: </w:t>
      </w:r>
      <w:r w:rsidRPr="00B55B74">
        <w:rPr>
          <w:i/>
          <w:sz w:val="20"/>
          <w:szCs w:val="20"/>
        </w:rPr>
        <w:t xml:space="preserve">Revista da </w:t>
      </w:r>
      <w:proofErr w:type="spellStart"/>
      <w:r w:rsidRPr="00B55B74">
        <w:rPr>
          <w:i/>
          <w:sz w:val="20"/>
          <w:szCs w:val="20"/>
        </w:rPr>
        <w:t>Faculdade</w:t>
      </w:r>
      <w:proofErr w:type="spellEnd"/>
      <w:r w:rsidRPr="00B55B74">
        <w:rPr>
          <w:i/>
          <w:sz w:val="20"/>
          <w:szCs w:val="20"/>
        </w:rPr>
        <w:t xml:space="preserve"> de </w:t>
      </w:r>
      <w:proofErr w:type="spellStart"/>
      <w:r w:rsidRPr="00B55B74">
        <w:rPr>
          <w:i/>
          <w:sz w:val="20"/>
          <w:szCs w:val="20"/>
        </w:rPr>
        <w:t>Direito</w:t>
      </w:r>
      <w:proofErr w:type="spellEnd"/>
      <w:r w:rsidRPr="00B55B74">
        <w:rPr>
          <w:i/>
          <w:sz w:val="20"/>
          <w:szCs w:val="20"/>
        </w:rPr>
        <w:t xml:space="preserve"> da </w:t>
      </w:r>
      <w:proofErr w:type="spellStart"/>
      <w:r w:rsidRPr="00B55B74">
        <w:rPr>
          <w:i/>
          <w:sz w:val="20"/>
          <w:szCs w:val="20"/>
        </w:rPr>
        <w:t>Universidade</w:t>
      </w:r>
      <w:proofErr w:type="spellEnd"/>
      <w:r w:rsidRPr="00B55B74">
        <w:rPr>
          <w:i/>
          <w:sz w:val="20"/>
          <w:szCs w:val="20"/>
        </w:rPr>
        <w:t xml:space="preserve"> de Lisboa</w:t>
      </w:r>
      <w:r w:rsidRPr="00B55B74">
        <w:rPr>
          <w:sz w:val="20"/>
          <w:szCs w:val="20"/>
        </w:rPr>
        <w:t xml:space="preserve">, Vol. 61, Nº. 1, 2020 (Ejemplar dedicado a: COVID-19 e o </w:t>
      </w:r>
      <w:proofErr w:type="spellStart"/>
      <w:r w:rsidRPr="00B55B74">
        <w:rPr>
          <w:sz w:val="20"/>
          <w:szCs w:val="20"/>
        </w:rPr>
        <w:t>Direito</w:t>
      </w:r>
      <w:proofErr w:type="spellEnd"/>
      <w:r w:rsidRPr="00B55B74">
        <w:rPr>
          <w:sz w:val="20"/>
          <w:szCs w:val="20"/>
        </w:rPr>
        <w:t>), págs. 429-454.</w:t>
      </w:r>
    </w:p>
    <w:p w14:paraId="24CB6123" w14:textId="77777777" w:rsidR="00B55B74" w:rsidRPr="00B55B74" w:rsidRDefault="00B55B74" w:rsidP="00673A7C">
      <w:pPr>
        <w:ind w:left="360"/>
        <w:contextualSpacing/>
        <w:jc w:val="both"/>
        <w:rPr>
          <w:sz w:val="20"/>
          <w:szCs w:val="20"/>
        </w:rPr>
      </w:pPr>
    </w:p>
    <w:p w14:paraId="295A3556" w14:textId="77777777" w:rsidR="00B55B74" w:rsidRPr="00B55B74" w:rsidRDefault="00B55B74" w:rsidP="00673A7C">
      <w:pPr>
        <w:numPr>
          <w:ilvl w:val="0"/>
          <w:numId w:val="5"/>
        </w:numPr>
        <w:ind w:left="360"/>
        <w:contextualSpacing/>
        <w:jc w:val="both"/>
        <w:rPr>
          <w:sz w:val="20"/>
          <w:szCs w:val="20"/>
        </w:rPr>
      </w:pPr>
      <w:r w:rsidRPr="00B55B74">
        <w:rPr>
          <w:caps/>
          <w:sz w:val="20"/>
          <w:szCs w:val="20"/>
        </w:rPr>
        <w:t xml:space="preserve">Pérez Daudí, V. </w:t>
      </w:r>
      <w:r w:rsidRPr="00B55B74">
        <w:rPr>
          <w:sz w:val="20"/>
          <w:szCs w:val="20"/>
        </w:rPr>
        <w:t xml:space="preserve">“La prueba en el proceso de consumo: las facultades del juez y las normas de prueba como mecanismo de igualdad de las partes”: </w:t>
      </w:r>
      <w:r w:rsidRPr="00B55B74">
        <w:rPr>
          <w:i/>
          <w:sz w:val="20"/>
          <w:szCs w:val="20"/>
        </w:rPr>
        <w:t>Revista jurídica de Catalunya</w:t>
      </w:r>
      <w:r w:rsidRPr="00B55B74">
        <w:rPr>
          <w:sz w:val="20"/>
          <w:szCs w:val="20"/>
        </w:rPr>
        <w:t>, Vol. 119, Nº 2, 2020, págs. 297-320.</w:t>
      </w:r>
    </w:p>
    <w:p w14:paraId="04BCF1DF" w14:textId="77777777" w:rsidR="00B55B74" w:rsidRPr="00B55B74" w:rsidRDefault="00B55B74" w:rsidP="00673A7C">
      <w:pPr>
        <w:ind w:left="360"/>
        <w:contextualSpacing/>
        <w:jc w:val="both"/>
        <w:rPr>
          <w:sz w:val="20"/>
          <w:szCs w:val="20"/>
        </w:rPr>
      </w:pPr>
    </w:p>
    <w:p w14:paraId="5F97B261" w14:textId="77777777" w:rsidR="00B55B74" w:rsidRPr="00B55B74" w:rsidRDefault="00B55B74" w:rsidP="00673A7C">
      <w:pPr>
        <w:numPr>
          <w:ilvl w:val="0"/>
          <w:numId w:val="5"/>
        </w:numPr>
        <w:ind w:left="360"/>
        <w:contextualSpacing/>
        <w:jc w:val="both"/>
        <w:rPr>
          <w:sz w:val="20"/>
          <w:szCs w:val="20"/>
        </w:rPr>
      </w:pPr>
      <w:r w:rsidRPr="00B55B74">
        <w:rPr>
          <w:caps/>
          <w:sz w:val="20"/>
          <w:szCs w:val="20"/>
        </w:rPr>
        <w:t>Poch</w:t>
      </w:r>
      <w:r w:rsidRPr="00B55B74">
        <w:rPr>
          <w:sz w:val="20"/>
          <w:szCs w:val="20"/>
        </w:rPr>
        <w:t>, A. “</w:t>
      </w:r>
      <w:proofErr w:type="spellStart"/>
      <w:r w:rsidRPr="00B55B74">
        <w:rPr>
          <w:sz w:val="20"/>
          <w:szCs w:val="20"/>
        </w:rPr>
        <w:t>Dieselgate</w:t>
      </w:r>
      <w:proofErr w:type="spellEnd"/>
      <w:r w:rsidRPr="00B55B74">
        <w:rPr>
          <w:sz w:val="20"/>
          <w:szCs w:val="20"/>
        </w:rPr>
        <w:t xml:space="preserve">: la responsabilidad directa del fabricante como consecuencia de la manipulación de las emisiones contaminantes de los motores diésel”: </w:t>
      </w:r>
      <w:r w:rsidRPr="00B55B74">
        <w:rPr>
          <w:i/>
          <w:sz w:val="20"/>
          <w:szCs w:val="20"/>
        </w:rPr>
        <w:t xml:space="preserve">Revista de Derecho </w:t>
      </w:r>
      <w:proofErr w:type="spellStart"/>
      <w:r w:rsidRPr="00B55B74">
        <w:rPr>
          <w:i/>
          <w:sz w:val="20"/>
          <w:szCs w:val="20"/>
        </w:rPr>
        <w:t>vLex</w:t>
      </w:r>
      <w:proofErr w:type="spellEnd"/>
      <w:r w:rsidRPr="00B55B74">
        <w:rPr>
          <w:sz w:val="20"/>
          <w:szCs w:val="20"/>
        </w:rPr>
        <w:t xml:space="preserve">, Nº. 197, Octubre 2020. </w:t>
      </w:r>
    </w:p>
    <w:p w14:paraId="59A3202F" w14:textId="77777777" w:rsidR="00B55B74" w:rsidRPr="00B55B74" w:rsidRDefault="00B55B74" w:rsidP="00673A7C">
      <w:pPr>
        <w:ind w:left="360"/>
        <w:contextualSpacing/>
        <w:jc w:val="both"/>
        <w:rPr>
          <w:sz w:val="20"/>
          <w:szCs w:val="20"/>
        </w:rPr>
      </w:pPr>
    </w:p>
    <w:p w14:paraId="621688F5" w14:textId="77777777" w:rsidR="00B55B74" w:rsidRPr="00B55B74" w:rsidRDefault="00B55B74" w:rsidP="00673A7C">
      <w:pPr>
        <w:numPr>
          <w:ilvl w:val="0"/>
          <w:numId w:val="5"/>
        </w:numPr>
        <w:ind w:left="360"/>
        <w:contextualSpacing/>
        <w:jc w:val="both"/>
        <w:rPr>
          <w:sz w:val="20"/>
          <w:szCs w:val="20"/>
        </w:rPr>
      </w:pPr>
      <w:r w:rsidRPr="00B55B74">
        <w:rPr>
          <w:caps/>
          <w:sz w:val="20"/>
          <w:szCs w:val="20"/>
        </w:rPr>
        <w:t xml:space="preserve">Polo Roca, A. </w:t>
      </w:r>
      <w:r w:rsidRPr="00B55B74">
        <w:rPr>
          <w:sz w:val="20"/>
          <w:szCs w:val="20"/>
        </w:rPr>
        <w:t xml:space="preserve">“Geolocalización, motores de búsqueda y cookies: tres grandes retos para la protección de datos”: </w:t>
      </w:r>
      <w:r w:rsidRPr="00B55B74">
        <w:rPr>
          <w:i/>
          <w:sz w:val="20"/>
          <w:szCs w:val="20"/>
        </w:rPr>
        <w:t>Revista jurídica de Castilla y León</w:t>
      </w:r>
      <w:r w:rsidRPr="00B55B74">
        <w:rPr>
          <w:sz w:val="20"/>
          <w:szCs w:val="20"/>
        </w:rPr>
        <w:t>, Nº. 52, 2020, págs. 141-184.</w:t>
      </w:r>
    </w:p>
    <w:p w14:paraId="15910FB3" w14:textId="77777777" w:rsidR="00B55B74" w:rsidRPr="00B55B74" w:rsidRDefault="00B55B74" w:rsidP="00673A7C">
      <w:pPr>
        <w:ind w:left="360"/>
        <w:contextualSpacing/>
        <w:jc w:val="both"/>
        <w:rPr>
          <w:sz w:val="20"/>
          <w:szCs w:val="20"/>
        </w:rPr>
      </w:pPr>
    </w:p>
    <w:p w14:paraId="791400B1" w14:textId="77777777" w:rsidR="00B55B74" w:rsidRPr="00B55B74" w:rsidRDefault="00B55B74" w:rsidP="00673A7C">
      <w:pPr>
        <w:numPr>
          <w:ilvl w:val="0"/>
          <w:numId w:val="5"/>
        </w:numPr>
        <w:ind w:left="360"/>
        <w:contextualSpacing/>
        <w:jc w:val="both"/>
        <w:rPr>
          <w:sz w:val="20"/>
          <w:szCs w:val="20"/>
        </w:rPr>
      </w:pPr>
      <w:r w:rsidRPr="00B55B74">
        <w:rPr>
          <w:caps/>
          <w:sz w:val="20"/>
          <w:szCs w:val="20"/>
        </w:rPr>
        <w:t>Quaglia, M. C. y Raschetti, F.</w:t>
      </w:r>
      <w:r w:rsidRPr="00B55B74">
        <w:rPr>
          <w:sz w:val="20"/>
          <w:szCs w:val="20"/>
        </w:rPr>
        <w:t xml:space="preserve"> “Cuestiones prácticas sobre el sujeto activo, la obligación de informar y la solidaridad en el régimen de garantías en la relación de consumo”: </w:t>
      </w:r>
      <w:r w:rsidRPr="00B55B74">
        <w:rPr>
          <w:i/>
          <w:sz w:val="20"/>
          <w:szCs w:val="20"/>
        </w:rPr>
        <w:t>Revista de responsabilidad civil y seguros: publicación mensual de doctrina, jurisprudencia y legislación</w:t>
      </w:r>
      <w:r w:rsidRPr="00B55B74">
        <w:rPr>
          <w:sz w:val="20"/>
          <w:szCs w:val="20"/>
        </w:rPr>
        <w:t>, Año 22, Nº. 9, 2020, págs. 57-69.</w:t>
      </w:r>
    </w:p>
    <w:p w14:paraId="0F6B8F20" w14:textId="77777777" w:rsidR="00B55B74" w:rsidRPr="00B55B74" w:rsidRDefault="00B55B74" w:rsidP="00673A7C">
      <w:pPr>
        <w:ind w:left="360"/>
        <w:contextualSpacing/>
        <w:jc w:val="both"/>
        <w:rPr>
          <w:sz w:val="20"/>
          <w:szCs w:val="20"/>
        </w:rPr>
      </w:pPr>
    </w:p>
    <w:p w14:paraId="2C5E65D0" w14:textId="77777777" w:rsidR="00B55B74" w:rsidRPr="00B55B74" w:rsidRDefault="00B55B74" w:rsidP="00673A7C">
      <w:pPr>
        <w:numPr>
          <w:ilvl w:val="0"/>
          <w:numId w:val="5"/>
        </w:numPr>
        <w:ind w:left="360"/>
        <w:contextualSpacing/>
        <w:jc w:val="both"/>
        <w:rPr>
          <w:sz w:val="20"/>
          <w:szCs w:val="20"/>
        </w:rPr>
      </w:pPr>
      <w:r w:rsidRPr="00B55B74">
        <w:rPr>
          <w:sz w:val="20"/>
          <w:szCs w:val="20"/>
        </w:rPr>
        <w:t xml:space="preserve">REINHART SCHULLER, R. “Nulidad de los créditos </w:t>
      </w:r>
      <w:proofErr w:type="spellStart"/>
      <w:r w:rsidRPr="00B55B74">
        <w:rPr>
          <w:sz w:val="20"/>
          <w:szCs w:val="20"/>
        </w:rPr>
        <w:t>revolving</w:t>
      </w:r>
      <w:proofErr w:type="spellEnd"/>
      <w:r w:rsidRPr="00B55B74">
        <w:rPr>
          <w:sz w:val="20"/>
          <w:szCs w:val="20"/>
        </w:rPr>
        <w:t xml:space="preserve"> a través de la normativa de usura”: </w:t>
      </w:r>
      <w:r w:rsidRPr="00B55B74">
        <w:rPr>
          <w:i/>
          <w:sz w:val="20"/>
          <w:szCs w:val="20"/>
        </w:rPr>
        <w:t>Revista CESCO de Derecho de Consumo</w:t>
      </w:r>
      <w:r w:rsidRPr="00B55B74">
        <w:rPr>
          <w:sz w:val="20"/>
          <w:szCs w:val="20"/>
        </w:rPr>
        <w:t xml:space="preserve">, nº 36 (octubre-diciembre) 2020, págs. 47-89. </w:t>
      </w:r>
    </w:p>
    <w:p w14:paraId="3C74B654" w14:textId="77777777" w:rsidR="00B55B74" w:rsidRPr="00B55B74" w:rsidRDefault="00B55B74" w:rsidP="00673A7C">
      <w:pPr>
        <w:ind w:left="360"/>
        <w:contextualSpacing/>
        <w:jc w:val="both"/>
        <w:rPr>
          <w:sz w:val="20"/>
          <w:szCs w:val="20"/>
        </w:rPr>
      </w:pPr>
    </w:p>
    <w:p w14:paraId="64837F38" w14:textId="77777777" w:rsidR="00B55B74" w:rsidRPr="00B55B74" w:rsidRDefault="00B55B74" w:rsidP="00673A7C">
      <w:pPr>
        <w:numPr>
          <w:ilvl w:val="0"/>
          <w:numId w:val="5"/>
        </w:numPr>
        <w:ind w:left="360"/>
        <w:contextualSpacing/>
        <w:jc w:val="both"/>
        <w:rPr>
          <w:sz w:val="20"/>
          <w:szCs w:val="20"/>
        </w:rPr>
      </w:pPr>
      <w:r w:rsidRPr="00B55B74">
        <w:rPr>
          <w:caps/>
          <w:sz w:val="20"/>
          <w:szCs w:val="20"/>
        </w:rPr>
        <w:t xml:space="preserve">Román Llamosi, S. </w:t>
      </w:r>
      <w:r w:rsidRPr="00B55B74">
        <w:rPr>
          <w:sz w:val="20"/>
          <w:szCs w:val="20"/>
        </w:rPr>
        <w:t xml:space="preserve">“El control de las condiciones generales de contratación en contratos celebrados con consumidores y usuarios”: </w:t>
      </w:r>
      <w:r w:rsidRPr="00B55B74">
        <w:rPr>
          <w:i/>
          <w:sz w:val="20"/>
          <w:szCs w:val="20"/>
        </w:rPr>
        <w:t xml:space="preserve">Revista de Derecho </w:t>
      </w:r>
      <w:proofErr w:type="spellStart"/>
      <w:r w:rsidRPr="00B55B74">
        <w:rPr>
          <w:i/>
          <w:sz w:val="20"/>
          <w:szCs w:val="20"/>
        </w:rPr>
        <w:t>vLex</w:t>
      </w:r>
      <w:proofErr w:type="spellEnd"/>
      <w:r w:rsidRPr="00B55B74">
        <w:rPr>
          <w:sz w:val="20"/>
          <w:szCs w:val="20"/>
        </w:rPr>
        <w:t xml:space="preserve">, Nº. 198, Noviembre 2020. </w:t>
      </w:r>
    </w:p>
    <w:p w14:paraId="23B464DB" w14:textId="77777777" w:rsidR="00B55B74" w:rsidRPr="00B55B74" w:rsidRDefault="00B55B74" w:rsidP="00673A7C">
      <w:pPr>
        <w:ind w:left="360"/>
        <w:contextualSpacing/>
        <w:jc w:val="both"/>
        <w:rPr>
          <w:sz w:val="20"/>
          <w:szCs w:val="20"/>
        </w:rPr>
      </w:pPr>
    </w:p>
    <w:p w14:paraId="5A8DF368" w14:textId="77777777" w:rsidR="00B55B74" w:rsidRPr="00B55B74" w:rsidRDefault="00B55B74" w:rsidP="00673A7C">
      <w:pPr>
        <w:numPr>
          <w:ilvl w:val="0"/>
          <w:numId w:val="5"/>
        </w:numPr>
        <w:ind w:left="360"/>
        <w:contextualSpacing/>
        <w:jc w:val="both"/>
        <w:rPr>
          <w:sz w:val="20"/>
          <w:szCs w:val="20"/>
        </w:rPr>
      </w:pPr>
      <w:r w:rsidRPr="00B55B74">
        <w:rPr>
          <w:caps/>
          <w:sz w:val="20"/>
          <w:szCs w:val="20"/>
        </w:rPr>
        <w:t xml:space="preserve">Rubí Navarrete, J. </w:t>
      </w:r>
      <w:r w:rsidRPr="00B55B74">
        <w:rPr>
          <w:sz w:val="20"/>
          <w:szCs w:val="20"/>
        </w:rPr>
        <w:t>“La protección de datos personales en la pandemia de COVID-19”: Comunicaciones en propiedad industrial y derecho de la competencia, Nº. 90 (mayo-agosto), 2020, págs. 5-19.</w:t>
      </w:r>
    </w:p>
    <w:p w14:paraId="12BFD26C" w14:textId="77777777" w:rsidR="00B55B74" w:rsidRPr="00B55B74" w:rsidRDefault="00B55B74" w:rsidP="00673A7C">
      <w:pPr>
        <w:ind w:left="360"/>
        <w:contextualSpacing/>
        <w:jc w:val="both"/>
        <w:rPr>
          <w:sz w:val="20"/>
          <w:szCs w:val="20"/>
        </w:rPr>
      </w:pPr>
    </w:p>
    <w:p w14:paraId="63F83374" w14:textId="77777777" w:rsidR="00B55B74" w:rsidRPr="00B55B74" w:rsidRDefault="00B55B74" w:rsidP="00673A7C">
      <w:pPr>
        <w:numPr>
          <w:ilvl w:val="0"/>
          <w:numId w:val="5"/>
        </w:numPr>
        <w:ind w:left="360"/>
        <w:contextualSpacing/>
        <w:jc w:val="both"/>
        <w:rPr>
          <w:sz w:val="20"/>
          <w:szCs w:val="20"/>
        </w:rPr>
      </w:pPr>
      <w:r w:rsidRPr="00B55B74">
        <w:rPr>
          <w:caps/>
          <w:sz w:val="20"/>
          <w:szCs w:val="20"/>
        </w:rPr>
        <w:t xml:space="preserve">Sáenz de Jubera Higuero, B. </w:t>
      </w:r>
      <w:r w:rsidRPr="00B55B74">
        <w:rPr>
          <w:sz w:val="20"/>
          <w:szCs w:val="20"/>
        </w:rPr>
        <w:t xml:space="preserve">“Cláusula "rebus sic </w:t>
      </w:r>
      <w:proofErr w:type="spellStart"/>
      <w:r w:rsidRPr="00B55B74">
        <w:rPr>
          <w:sz w:val="20"/>
          <w:szCs w:val="20"/>
        </w:rPr>
        <w:t>stantibus</w:t>
      </w:r>
      <w:proofErr w:type="spellEnd"/>
      <w:r w:rsidRPr="00B55B74">
        <w:rPr>
          <w:sz w:val="20"/>
          <w:szCs w:val="20"/>
        </w:rPr>
        <w:t xml:space="preserve">": fundamento y doctrina jurisprudencial sobre su aplicación, presupuestos y efectos”: </w:t>
      </w:r>
      <w:r w:rsidRPr="00B55B74">
        <w:rPr>
          <w:i/>
          <w:sz w:val="20"/>
          <w:szCs w:val="20"/>
        </w:rPr>
        <w:t>Revista Crítica de Derecho Inmobiliario</w:t>
      </w:r>
      <w:r w:rsidRPr="00B55B74">
        <w:rPr>
          <w:sz w:val="20"/>
          <w:szCs w:val="20"/>
        </w:rPr>
        <w:t>, Año nº 96, Nº 780, 2020, págs. 2391-2409.</w:t>
      </w:r>
    </w:p>
    <w:p w14:paraId="43DAC826" w14:textId="77777777" w:rsidR="00B55B74" w:rsidRPr="00B55B74" w:rsidRDefault="00B55B74" w:rsidP="00673A7C">
      <w:pPr>
        <w:ind w:left="360"/>
        <w:contextualSpacing/>
        <w:jc w:val="both"/>
        <w:rPr>
          <w:sz w:val="20"/>
          <w:szCs w:val="20"/>
        </w:rPr>
      </w:pPr>
    </w:p>
    <w:p w14:paraId="3B3D3FEF" w14:textId="77777777" w:rsidR="00B55B74" w:rsidRPr="00B55B74" w:rsidRDefault="00B55B74" w:rsidP="00673A7C">
      <w:pPr>
        <w:numPr>
          <w:ilvl w:val="0"/>
          <w:numId w:val="5"/>
        </w:numPr>
        <w:ind w:left="360"/>
        <w:contextualSpacing/>
        <w:jc w:val="both"/>
        <w:rPr>
          <w:sz w:val="20"/>
          <w:szCs w:val="20"/>
        </w:rPr>
      </w:pPr>
      <w:r w:rsidRPr="00B55B74">
        <w:rPr>
          <w:caps/>
          <w:sz w:val="20"/>
          <w:szCs w:val="20"/>
        </w:rPr>
        <w:t>Sánchez García</w:t>
      </w:r>
      <w:r w:rsidRPr="00B55B74">
        <w:rPr>
          <w:sz w:val="20"/>
          <w:szCs w:val="20"/>
        </w:rPr>
        <w:t xml:space="preserve">, J. M. “Transparencia vs </w:t>
      </w:r>
      <w:proofErr w:type="spellStart"/>
      <w:r w:rsidRPr="00B55B74">
        <w:rPr>
          <w:sz w:val="20"/>
          <w:szCs w:val="20"/>
        </w:rPr>
        <w:t>abusividad</w:t>
      </w:r>
      <w:proofErr w:type="spellEnd"/>
      <w:r w:rsidRPr="00B55B74">
        <w:rPr>
          <w:sz w:val="20"/>
          <w:szCs w:val="20"/>
        </w:rPr>
        <w:t xml:space="preserve"> conforme a los principios fijados por el TJUE en la interpretación de la Directiva 93/13”: </w:t>
      </w:r>
      <w:r w:rsidRPr="00B55B74">
        <w:rPr>
          <w:i/>
          <w:sz w:val="20"/>
          <w:szCs w:val="20"/>
        </w:rPr>
        <w:t xml:space="preserve">Revista de Derecho </w:t>
      </w:r>
      <w:proofErr w:type="spellStart"/>
      <w:r w:rsidRPr="00B55B74">
        <w:rPr>
          <w:i/>
          <w:sz w:val="20"/>
          <w:szCs w:val="20"/>
        </w:rPr>
        <w:t>vLex</w:t>
      </w:r>
      <w:proofErr w:type="spellEnd"/>
      <w:r w:rsidRPr="00B55B74">
        <w:rPr>
          <w:sz w:val="20"/>
          <w:szCs w:val="20"/>
        </w:rPr>
        <w:t xml:space="preserve">, Nº. 199, Diciembre 2020. </w:t>
      </w:r>
    </w:p>
    <w:p w14:paraId="37CA7D68" w14:textId="77777777" w:rsidR="00B55B74" w:rsidRPr="00B55B74" w:rsidRDefault="00B55B74" w:rsidP="00673A7C">
      <w:pPr>
        <w:ind w:left="360"/>
        <w:contextualSpacing/>
        <w:jc w:val="both"/>
        <w:rPr>
          <w:sz w:val="20"/>
          <w:szCs w:val="20"/>
        </w:rPr>
      </w:pPr>
    </w:p>
    <w:p w14:paraId="6E39C07E" w14:textId="77777777" w:rsidR="00B55B74" w:rsidRPr="00B55B74" w:rsidRDefault="00B55B74" w:rsidP="00673A7C">
      <w:pPr>
        <w:numPr>
          <w:ilvl w:val="0"/>
          <w:numId w:val="5"/>
        </w:numPr>
        <w:ind w:left="360"/>
        <w:contextualSpacing/>
        <w:jc w:val="both"/>
        <w:rPr>
          <w:sz w:val="20"/>
          <w:szCs w:val="20"/>
        </w:rPr>
      </w:pPr>
      <w:r w:rsidRPr="00B55B74">
        <w:rPr>
          <w:caps/>
          <w:sz w:val="20"/>
          <w:szCs w:val="20"/>
        </w:rPr>
        <w:t xml:space="preserve">Sánchez López, C. </w:t>
      </w:r>
      <w:r w:rsidRPr="00B55B74">
        <w:rPr>
          <w:sz w:val="20"/>
          <w:szCs w:val="20"/>
        </w:rPr>
        <w:t xml:space="preserve">“La protección del consumidor español en su relación contractual con un empresario o profesional de un País Europeo”: </w:t>
      </w:r>
      <w:r w:rsidRPr="00B55B74">
        <w:rPr>
          <w:i/>
          <w:sz w:val="20"/>
          <w:szCs w:val="20"/>
        </w:rPr>
        <w:t>Diario La Ley</w:t>
      </w:r>
      <w:r w:rsidRPr="00B55B74">
        <w:rPr>
          <w:sz w:val="20"/>
          <w:szCs w:val="20"/>
        </w:rPr>
        <w:t>, Nº 9739, 2020.</w:t>
      </w:r>
    </w:p>
    <w:p w14:paraId="389A8714" w14:textId="77777777" w:rsidR="00B55B74" w:rsidRPr="00B55B74" w:rsidRDefault="00B55B74" w:rsidP="00673A7C">
      <w:pPr>
        <w:ind w:left="360"/>
        <w:contextualSpacing/>
        <w:jc w:val="both"/>
        <w:rPr>
          <w:sz w:val="20"/>
          <w:szCs w:val="20"/>
        </w:rPr>
      </w:pPr>
    </w:p>
    <w:p w14:paraId="1B3CD3EC" w14:textId="77777777" w:rsidR="00B55B74" w:rsidRPr="00B55B74" w:rsidRDefault="00B55B74" w:rsidP="00673A7C">
      <w:pPr>
        <w:numPr>
          <w:ilvl w:val="0"/>
          <w:numId w:val="5"/>
        </w:numPr>
        <w:ind w:left="360"/>
        <w:contextualSpacing/>
        <w:jc w:val="both"/>
        <w:rPr>
          <w:sz w:val="20"/>
          <w:szCs w:val="20"/>
        </w:rPr>
      </w:pPr>
      <w:r w:rsidRPr="00B55B74">
        <w:rPr>
          <w:caps/>
          <w:sz w:val="20"/>
          <w:szCs w:val="20"/>
        </w:rPr>
        <w:t xml:space="preserve">Segura Moreiras, A. y  Suárez Puga, E. </w:t>
      </w:r>
      <w:r w:rsidRPr="00B55B74">
        <w:rPr>
          <w:sz w:val="20"/>
          <w:szCs w:val="20"/>
        </w:rPr>
        <w:t xml:space="preserve">“Cláusulas de referenciación IRPH: cuestiones litigiosas y algunas propuestas de resolución”: </w:t>
      </w:r>
      <w:r w:rsidRPr="00B55B74">
        <w:rPr>
          <w:i/>
          <w:sz w:val="20"/>
          <w:szCs w:val="20"/>
        </w:rPr>
        <w:t>Revista de derecho bancario y bursátil</w:t>
      </w:r>
      <w:r w:rsidRPr="00B55B74">
        <w:rPr>
          <w:sz w:val="20"/>
          <w:szCs w:val="20"/>
        </w:rPr>
        <w:t>, Año nº 39, Nº 159, 2020, págs. 151-182.</w:t>
      </w:r>
    </w:p>
    <w:p w14:paraId="079ACD6B" w14:textId="77777777" w:rsidR="00B55B74" w:rsidRPr="00B55B74" w:rsidRDefault="00B55B74" w:rsidP="00673A7C">
      <w:pPr>
        <w:ind w:left="360"/>
        <w:contextualSpacing/>
        <w:jc w:val="both"/>
        <w:rPr>
          <w:sz w:val="20"/>
          <w:szCs w:val="20"/>
        </w:rPr>
      </w:pPr>
    </w:p>
    <w:p w14:paraId="58C73CB0" w14:textId="77777777" w:rsidR="00B55B74" w:rsidRPr="00B55B74" w:rsidRDefault="00B55B74" w:rsidP="00673A7C">
      <w:pPr>
        <w:numPr>
          <w:ilvl w:val="0"/>
          <w:numId w:val="5"/>
        </w:numPr>
        <w:ind w:left="360"/>
        <w:contextualSpacing/>
        <w:jc w:val="both"/>
        <w:rPr>
          <w:sz w:val="20"/>
          <w:szCs w:val="20"/>
        </w:rPr>
      </w:pPr>
      <w:r w:rsidRPr="00B55B74">
        <w:rPr>
          <w:caps/>
          <w:sz w:val="20"/>
          <w:szCs w:val="20"/>
        </w:rPr>
        <w:t>Serra i Camús, M</w:t>
      </w:r>
      <w:r w:rsidRPr="00B55B74">
        <w:rPr>
          <w:sz w:val="20"/>
          <w:szCs w:val="20"/>
        </w:rPr>
        <w:t>. “</w:t>
      </w:r>
      <w:proofErr w:type="spellStart"/>
      <w:r w:rsidRPr="00B55B74">
        <w:rPr>
          <w:sz w:val="20"/>
          <w:szCs w:val="20"/>
        </w:rPr>
        <w:t>Efectes</w:t>
      </w:r>
      <w:proofErr w:type="spellEnd"/>
      <w:r w:rsidRPr="00B55B74">
        <w:rPr>
          <w:sz w:val="20"/>
          <w:szCs w:val="20"/>
        </w:rPr>
        <w:t xml:space="preserve"> de la Covid-19 sobre </w:t>
      </w:r>
      <w:proofErr w:type="spellStart"/>
      <w:r w:rsidRPr="00B55B74">
        <w:rPr>
          <w:sz w:val="20"/>
          <w:szCs w:val="20"/>
        </w:rPr>
        <w:t>els</w:t>
      </w:r>
      <w:proofErr w:type="spellEnd"/>
      <w:r w:rsidRPr="00B55B74">
        <w:rPr>
          <w:sz w:val="20"/>
          <w:szCs w:val="20"/>
        </w:rPr>
        <w:t xml:space="preserve"> contractes </w:t>
      </w:r>
      <w:proofErr w:type="spellStart"/>
      <w:r w:rsidRPr="00B55B74">
        <w:rPr>
          <w:sz w:val="20"/>
          <w:szCs w:val="20"/>
        </w:rPr>
        <w:t>civils</w:t>
      </w:r>
      <w:proofErr w:type="spellEnd"/>
      <w:r w:rsidRPr="00B55B74">
        <w:rPr>
          <w:sz w:val="20"/>
          <w:szCs w:val="20"/>
        </w:rPr>
        <w:t xml:space="preserve">. Cas </w:t>
      </w:r>
      <w:proofErr w:type="spellStart"/>
      <w:r w:rsidRPr="00B55B74">
        <w:rPr>
          <w:sz w:val="20"/>
          <w:szCs w:val="20"/>
        </w:rPr>
        <w:t>fortuït</w:t>
      </w:r>
      <w:proofErr w:type="spellEnd"/>
      <w:r w:rsidRPr="00B55B74">
        <w:rPr>
          <w:sz w:val="20"/>
          <w:szCs w:val="20"/>
        </w:rPr>
        <w:t xml:space="preserve">, </w:t>
      </w:r>
      <w:proofErr w:type="spellStart"/>
      <w:r w:rsidRPr="00B55B74">
        <w:rPr>
          <w:sz w:val="20"/>
          <w:szCs w:val="20"/>
        </w:rPr>
        <w:t>impossibilitat</w:t>
      </w:r>
      <w:proofErr w:type="spellEnd"/>
      <w:r w:rsidRPr="00B55B74">
        <w:rPr>
          <w:sz w:val="20"/>
          <w:szCs w:val="20"/>
        </w:rPr>
        <w:t xml:space="preserve"> de </w:t>
      </w:r>
      <w:proofErr w:type="spellStart"/>
      <w:r w:rsidRPr="00B55B74">
        <w:rPr>
          <w:sz w:val="20"/>
          <w:szCs w:val="20"/>
        </w:rPr>
        <w:t>compliment</w:t>
      </w:r>
      <w:proofErr w:type="spellEnd"/>
      <w:r w:rsidRPr="00B55B74">
        <w:rPr>
          <w:sz w:val="20"/>
          <w:szCs w:val="20"/>
        </w:rPr>
        <w:t xml:space="preserve"> i </w:t>
      </w:r>
      <w:proofErr w:type="spellStart"/>
      <w:r w:rsidRPr="00B55B74">
        <w:rPr>
          <w:sz w:val="20"/>
          <w:szCs w:val="20"/>
        </w:rPr>
        <w:t>clàusula</w:t>
      </w:r>
      <w:proofErr w:type="spellEnd"/>
      <w:r w:rsidRPr="00B55B74">
        <w:rPr>
          <w:sz w:val="20"/>
          <w:szCs w:val="20"/>
        </w:rPr>
        <w:t xml:space="preserve"> rebus sic </w:t>
      </w:r>
      <w:proofErr w:type="spellStart"/>
      <w:r w:rsidRPr="00B55B74">
        <w:rPr>
          <w:sz w:val="20"/>
          <w:szCs w:val="20"/>
        </w:rPr>
        <w:t>stantibus</w:t>
      </w:r>
      <w:proofErr w:type="spellEnd"/>
      <w:r w:rsidRPr="00B55B74">
        <w:rPr>
          <w:sz w:val="20"/>
          <w:szCs w:val="20"/>
        </w:rPr>
        <w:t xml:space="preserve"> (</w:t>
      </w:r>
      <w:proofErr w:type="spellStart"/>
      <w:r w:rsidRPr="00B55B74">
        <w:rPr>
          <w:sz w:val="20"/>
          <w:szCs w:val="20"/>
        </w:rPr>
        <w:t>Part</w:t>
      </w:r>
      <w:proofErr w:type="spellEnd"/>
      <w:r w:rsidRPr="00B55B74">
        <w:rPr>
          <w:sz w:val="20"/>
          <w:szCs w:val="20"/>
        </w:rPr>
        <w:t xml:space="preserve"> Primera)”: </w:t>
      </w:r>
      <w:r w:rsidRPr="00B55B74">
        <w:rPr>
          <w:i/>
          <w:sz w:val="20"/>
          <w:szCs w:val="20"/>
        </w:rPr>
        <w:t>Revista jurídica de Catalunya</w:t>
      </w:r>
      <w:r w:rsidRPr="00B55B74">
        <w:rPr>
          <w:sz w:val="20"/>
          <w:szCs w:val="20"/>
        </w:rPr>
        <w:t>, Vol. 119, Nº 2, 2020, págs. 321-344.</w:t>
      </w:r>
    </w:p>
    <w:p w14:paraId="6E701C54" w14:textId="77777777" w:rsidR="00B55B74" w:rsidRPr="00B55B74" w:rsidRDefault="00B55B74" w:rsidP="00673A7C">
      <w:pPr>
        <w:ind w:left="360"/>
        <w:contextualSpacing/>
        <w:jc w:val="both"/>
        <w:rPr>
          <w:sz w:val="20"/>
          <w:szCs w:val="20"/>
        </w:rPr>
      </w:pPr>
    </w:p>
    <w:p w14:paraId="5DFBAE09" w14:textId="77777777" w:rsidR="00B55B74" w:rsidRPr="00B55B74" w:rsidRDefault="00B55B74" w:rsidP="00673A7C">
      <w:pPr>
        <w:numPr>
          <w:ilvl w:val="0"/>
          <w:numId w:val="5"/>
        </w:numPr>
        <w:ind w:left="360"/>
        <w:contextualSpacing/>
        <w:jc w:val="both"/>
        <w:rPr>
          <w:sz w:val="20"/>
          <w:szCs w:val="20"/>
        </w:rPr>
      </w:pPr>
      <w:r w:rsidRPr="00B55B74">
        <w:rPr>
          <w:caps/>
          <w:sz w:val="20"/>
          <w:szCs w:val="20"/>
        </w:rPr>
        <w:t xml:space="preserve">Solé Feliu, J. </w:t>
      </w:r>
      <w:r w:rsidRPr="00B55B74">
        <w:rPr>
          <w:sz w:val="20"/>
          <w:szCs w:val="20"/>
        </w:rPr>
        <w:t xml:space="preserve">“Responsabilidad del suministrador y daños causados por productos defectuosos. Comentario a la STS de 21 de enero de 2020 (RJ 2020, 646)”: </w:t>
      </w:r>
      <w:r w:rsidRPr="00B55B74">
        <w:rPr>
          <w:i/>
          <w:sz w:val="20"/>
          <w:szCs w:val="20"/>
        </w:rPr>
        <w:t xml:space="preserve">Cuadernos </w:t>
      </w:r>
      <w:proofErr w:type="spellStart"/>
      <w:r w:rsidRPr="00B55B74">
        <w:rPr>
          <w:i/>
          <w:sz w:val="20"/>
          <w:szCs w:val="20"/>
        </w:rPr>
        <w:t>Civitas</w:t>
      </w:r>
      <w:proofErr w:type="spellEnd"/>
      <w:r w:rsidRPr="00B55B74">
        <w:rPr>
          <w:i/>
          <w:sz w:val="20"/>
          <w:szCs w:val="20"/>
        </w:rPr>
        <w:t xml:space="preserve"> de jurisprudencia civil</w:t>
      </w:r>
      <w:r w:rsidRPr="00B55B74">
        <w:rPr>
          <w:sz w:val="20"/>
          <w:szCs w:val="20"/>
        </w:rPr>
        <w:t>, Nº 114, 2020, págs. 345-374.</w:t>
      </w:r>
    </w:p>
    <w:p w14:paraId="1B508249" w14:textId="77777777" w:rsidR="00B55B74" w:rsidRPr="00B55B74" w:rsidRDefault="00B55B74" w:rsidP="00673A7C">
      <w:pPr>
        <w:ind w:left="360"/>
        <w:contextualSpacing/>
        <w:jc w:val="both"/>
        <w:rPr>
          <w:sz w:val="20"/>
          <w:szCs w:val="20"/>
        </w:rPr>
      </w:pPr>
    </w:p>
    <w:p w14:paraId="7AA2FD63" w14:textId="77777777" w:rsidR="00B55B74" w:rsidRPr="00B55B74" w:rsidRDefault="00B55B74" w:rsidP="00673A7C">
      <w:pPr>
        <w:numPr>
          <w:ilvl w:val="0"/>
          <w:numId w:val="5"/>
        </w:numPr>
        <w:ind w:left="360"/>
        <w:contextualSpacing/>
        <w:jc w:val="both"/>
        <w:rPr>
          <w:sz w:val="20"/>
          <w:szCs w:val="20"/>
        </w:rPr>
      </w:pPr>
      <w:r w:rsidRPr="00B55B74">
        <w:rPr>
          <w:caps/>
          <w:sz w:val="20"/>
          <w:szCs w:val="20"/>
        </w:rPr>
        <w:t xml:space="preserve">Stuyck, J. </w:t>
      </w:r>
      <w:r w:rsidRPr="00B55B74">
        <w:rPr>
          <w:sz w:val="20"/>
          <w:szCs w:val="20"/>
        </w:rPr>
        <w:t xml:space="preserve">“La </w:t>
      </w:r>
      <w:proofErr w:type="spellStart"/>
      <w:r w:rsidRPr="00B55B74">
        <w:rPr>
          <w:sz w:val="20"/>
          <w:szCs w:val="20"/>
        </w:rPr>
        <w:t>protection</w:t>
      </w:r>
      <w:proofErr w:type="spellEnd"/>
      <w:r w:rsidRPr="00B55B74">
        <w:rPr>
          <w:sz w:val="20"/>
          <w:szCs w:val="20"/>
        </w:rPr>
        <w:t xml:space="preserve"> </w:t>
      </w:r>
      <w:proofErr w:type="spellStart"/>
      <w:r w:rsidRPr="00B55B74">
        <w:rPr>
          <w:sz w:val="20"/>
          <w:szCs w:val="20"/>
        </w:rPr>
        <w:t>européenne</w:t>
      </w:r>
      <w:proofErr w:type="spellEnd"/>
      <w:r w:rsidRPr="00B55B74">
        <w:rPr>
          <w:sz w:val="20"/>
          <w:szCs w:val="20"/>
        </w:rPr>
        <w:t xml:space="preserve"> des </w:t>
      </w:r>
      <w:proofErr w:type="spellStart"/>
      <w:r w:rsidRPr="00B55B74">
        <w:rPr>
          <w:sz w:val="20"/>
          <w:szCs w:val="20"/>
        </w:rPr>
        <w:t>consommateurs</w:t>
      </w:r>
      <w:proofErr w:type="spellEnd"/>
      <w:r w:rsidRPr="00B55B74">
        <w:rPr>
          <w:sz w:val="20"/>
          <w:szCs w:val="20"/>
        </w:rPr>
        <w:t xml:space="preserve"> </w:t>
      </w:r>
      <w:proofErr w:type="spellStart"/>
      <w:r w:rsidRPr="00B55B74">
        <w:rPr>
          <w:sz w:val="20"/>
          <w:szCs w:val="20"/>
        </w:rPr>
        <w:t>face</w:t>
      </w:r>
      <w:proofErr w:type="spellEnd"/>
      <w:r w:rsidRPr="00B55B74">
        <w:rPr>
          <w:sz w:val="20"/>
          <w:szCs w:val="20"/>
        </w:rPr>
        <w:t xml:space="preserve"> à la </w:t>
      </w:r>
      <w:proofErr w:type="spellStart"/>
      <w:r w:rsidRPr="00B55B74">
        <w:rPr>
          <w:sz w:val="20"/>
          <w:szCs w:val="20"/>
        </w:rPr>
        <w:t>crise</w:t>
      </w:r>
      <w:proofErr w:type="spellEnd"/>
      <w:r w:rsidRPr="00B55B74">
        <w:rPr>
          <w:sz w:val="20"/>
          <w:szCs w:val="20"/>
        </w:rPr>
        <w:t xml:space="preserve"> de la Covid</w:t>
      </w:r>
      <w:r w:rsidRPr="00B55B74">
        <w:rPr>
          <w:rFonts w:ascii="Cambria Math" w:hAnsi="Cambria Math" w:cs="Cambria Math"/>
          <w:sz w:val="20"/>
          <w:szCs w:val="20"/>
        </w:rPr>
        <w:t>‑</w:t>
      </w:r>
      <w:r w:rsidRPr="00B55B74">
        <w:rPr>
          <w:sz w:val="20"/>
          <w:szCs w:val="20"/>
        </w:rPr>
        <w:t xml:space="preserve">19”: </w:t>
      </w:r>
      <w:proofErr w:type="spellStart"/>
      <w:r w:rsidRPr="00B55B74">
        <w:rPr>
          <w:i/>
          <w:sz w:val="20"/>
          <w:szCs w:val="20"/>
        </w:rPr>
        <w:t>Revue</w:t>
      </w:r>
      <w:proofErr w:type="spellEnd"/>
      <w:r w:rsidRPr="00B55B74">
        <w:rPr>
          <w:i/>
          <w:sz w:val="20"/>
          <w:szCs w:val="20"/>
        </w:rPr>
        <w:t xml:space="preserve"> des affaires </w:t>
      </w:r>
      <w:proofErr w:type="spellStart"/>
      <w:r w:rsidRPr="00B55B74">
        <w:rPr>
          <w:i/>
          <w:sz w:val="20"/>
          <w:szCs w:val="20"/>
        </w:rPr>
        <w:t>europeennes</w:t>
      </w:r>
      <w:proofErr w:type="spellEnd"/>
      <w:r w:rsidRPr="00B55B74">
        <w:rPr>
          <w:sz w:val="20"/>
          <w:szCs w:val="20"/>
        </w:rPr>
        <w:t>, Nº 2, 2020, págs. 273-281.</w:t>
      </w:r>
    </w:p>
    <w:p w14:paraId="59DFBB1F" w14:textId="77777777" w:rsidR="00B55B74" w:rsidRPr="00B55B74" w:rsidRDefault="00B55B74" w:rsidP="00673A7C">
      <w:pPr>
        <w:ind w:left="360"/>
        <w:contextualSpacing/>
        <w:jc w:val="both"/>
        <w:rPr>
          <w:sz w:val="20"/>
          <w:szCs w:val="20"/>
        </w:rPr>
      </w:pPr>
    </w:p>
    <w:p w14:paraId="771A6D59" w14:textId="77777777" w:rsidR="00B55B74" w:rsidRPr="00B55B74" w:rsidRDefault="00B55B74" w:rsidP="00673A7C">
      <w:pPr>
        <w:numPr>
          <w:ilvl w:val="0"/>
          <w:numId w:val="5"/>
        </w:numPr>
        <w:ind w:left="360"/>
        <w:contextualSpacing/>
        <w:jc w:val="both"/>
        <w:rPr>
          <w:sz w:val="20"/>
          <w:szCs w:val="20"/>
        </w:rPr>
      </w:pPr>
      <w:r w:rsidRPr="00B55B74">
        <w:rPr>
          <w:caps/>
          <w:sz w:val="20"/>
          <w:szCs w:val="20"/>
        </w:rPr>
        <w:t xml:space="preserve">Tapia Hermida, A. J. </w:t>
      </w:r>
      <w:r w:rsidRPr="00B55B74">
        <w:rPr>
          <w:sz w:val="20"/>
          <w:szCs w:val="20"/>
        </w:rPr>
        <w:t xml:space="preserve">“Nueva jurisprudencia bancaria del TJUE”: </w:t>
      </w:r>
      <w:r w:rsidRPr="00B55B74">
        <w:rPr>
          <w:i/>
          <w:sz w:val="20"/>
          <w:szCs w:val="20"/>
        </w:rPr>
        <w:t>Diario La Ley</w:t>
      </w:r>
      <w:r w:rsidRPr="00B55B74">
        <w:rPr>
          <w:sz w:val="20"/>
          <w:szCs w:val="20"/>
        </w:rPr>
        <w:t>, Nº 9691, 2020.</w:t>
      </w:r>
    </w:p>
    <w:p w14:paraId="4BE1EE69" w14:textId="77777777" w:rsidR="00B55B74" w:rsidRPr="00B55B74" w:rsidRDefault="00B55B74" w:rsidP="00673A7C">
      <w:pPr>
        <w:ind w:left="360"/>
        <w:contextualSpacing/>
        <w:jc w:val="both"/>
        <w:rPr>
          <w:sz w:val="20"/>
          <w:szCs w:val="20"/>
        </w:rPr>
      </w:pPr>
    </w:p>
    <w:p w14:paraId="35840E62" w14:textId="77777777" w:rsidR="00B55B74" w:rsidRPr="00B55B74" w:rsidRDefault="00B55B74" w:rsidP="00673A7C">
      <w:pPr>
        <w:numPr>
          <w:ilvl w:val="0"/>
          <w:numId w:val="5"/>
        </w:numPr>
        <w:ind w:left="360"/>
        <w:contextualSpacing/>
        <w:jc w:val="both"/>
        <w:rPr>
          <w:sz w:val="20"/>
          <w:szCs w:val="20"/>
        </w:rPr>
      </w:pPr>
      <w:r w:rsidRPr="00B55B74">
        <w:rPr>
          <w:caps/>
          <w:sz w:val="20"/>
          <w:szCs w:val="20"/>
        </w:rPr>
        <w:t xml:space="preserve">Vela Torres, P. J. </w:t>
      </w:r>
      <w:r w:rsidRPr="00B55B74">
        <w:rPr>
          <w:sz w:val="20"/>
          <w:szCs w:val="20"/>
        </w:rPr>
        <w:t xml:space="preserve">“Pronunciamiento sobre costas en los litigios sobre cláusulas abusivas en caso de estimación total de la demanda con apreciación de serias dudas de derecho”: </w:t>
      </w:r>
      <w:r w:rsidRPr="00B55B74">
        <w:rPr>
          <w:i/>
          <w:sz w:val="20"/>
          <w:szCs w:val="20"/>
        </w:rPr>
        <w:t>Diario La Ley</w:t>
      </w:r>
      <w:r w:rsidRPr="00B55B74">
        <w:rPr>
          <w:sz w:val="20"/>
          <w:szCs w:val="20"/>
        </w:rPr>
        <w:t>, Nº 9741, 2020.</w:t>
      </w:r>
    </w:p>
    <w:p w14:paraId="26289015" w14:textId="77777777" w:rsidR="00B55B74" w:rsidRPr="00B55B74" w:rsidRDefault="00B55B74" w:rsidP="00673A7C">
      <w:pPr>
        <w:ind w:left="360"/>
        <w:contextualSpacing/>
        <w:jc w:val="both"/>
        <w:rPr>
          <w:sz w:val="20"/>
          <w:szCs w:val="20"/>
        </w:rPr>
      </w:pPr>
    </w:p>
    <w:p w14:paraId="7D2C3E3B" w14:textId="77777777" w:rsidR="00B55B74" w:rsidRPr="00B55B74" w:rsidRDefault="00B55B74" w:rsidP="00673A7C">
      <w:pPr>
        <w:numPr>
          <w:ilvl w:val="0"/>
          <w:numId w:val="5"/>
        </w:numPr>
        <w:ind w:left="360"/>
        <w:contextualSpacing/>
        <w:jc w:val="both"/>
        <w:rPr>
          <w:sz w:val="20"/>
          <w:szCs w:val="20"/>
        </w:rPr>
      </w:pPr>
      <w:r w:rsidRPr="00B55B74">
        <w:rPr>
          <w:caps/>
          <w:sz w:val="20"/>
          <w:szCs w:val="20"/>
        </w:rPr>
        <w:t xml:space="preserve">Velasco Jiménez, C. </w:t>
      </w:r>
      <w:r w:rsidRPr="00B55B74">
        <w:rPr>
          <w:sz w:val="20"/>
          <w:szCs w:val="20"/>
        </w:rPr>
        <w:t xml:space="preserve">“Cláusulas abusivas y condiciones generales de la contratación en el plan de choque para la Administración de Justicia tras el Estado de Alarma”: </w:t>
      </w:r>
      <w:r w:rsidRPr="00B55B74">
        <w:rPr>
          <w:i/>
          <w:sz w:val="20"/>
          <w:szCs w:val="20"/>
        </w:rPr>
        <w:t>Diario La Ley</w:t>
      </w:r>
      <w:r w:rsidRPr="00B55B74">
        <w:rPr>
          <w:sz w:val="20"/>
          <w:szCs w:val="20"/>
        </w:rPr>
        <w:t>, Nº 9692, 2020.</w:t>
      </w:r>
    </w:p>
    <w:p w14:paraId="255C5E03" w14:textId="77777777" w:rsidR="00B55B74" w:rsidRPr="00B55B74" w:rsidRDefault="00B55B74" w:rsidP="00673A7C">
      <w:pPr>
        <w:ind w:left="360"/>
        <w:contextualSpacing/>
        <w:jc w:val="both"/>
        <w:rPr>
          <w:sz w:val="20"/>
          <w:szCs w:val="20"/>
        </w:rPr>
      </w:pPr>
    </w:p>
    <w:p w14:paraId="638F673D" w14:textId="77777777" w:rsidR="00B55B74" w:rsidRPr="00B55B74" w:rsidRDefault="00B55B74" w:rsidP="00673A7C">
      <w:pPr>
        <w:numPr>
          <w:ilvl w:val="0"/>
          <w:numId w:val="5"/>
        </w:numPr>
        <w:ind w:left="360"/>
        <w:contextualSpacing/>
        <w:jc w:val="both"/>
        <w:rPr>
          <w:sz w:val="20"/>
          <w:szCs w:val="20"/>
        </w:rPr>
      </w:pPr>
      <w:r w:rsidRPr="00B55B74">
        <w:rPr>
          <w:caps/>
          <w:sz w:val="20"/>
          <w:szCs w:val="20"/>
        </w:rPr>
        <w:t xml:space="preserve">Vivas Tesón, I. </w:t>
      </w:r>
      <w:r w:rsidRPr="00B55B74">
        <w:rPr>
          <w:sz w:val="20"/>
          <w:szCs w:val="20"/>
        </w:rPr>
        <w:t xml:space="preserve">“El resarcimiento de daños morales por cláusulas abusivas en contratos bancarios con consumidores: presente y ¿futuro?”: </w:t>
      </w:r>
      <w:r w:rsidRPr="00B55B74">
        <w:rPr>
          <w:i/>
          <w:sz w:val="20"/>
          <w:szCs w:val="20"/>
        </w:rPr>
        <w:t>Revista Crítica de Derecho Inmobiliario</w:t>
      </w:r>
      <w:r w:rsidRPr="00B55B74">
        <w:rPr>
          <w:sz w:val="20"/>
          <w:szCs w:val="20"/>
        </w:rPr>
        <w:t>, Año nº 96, Nº 780, 2020, págs. 2410-2429.</w:t>
      </w:r>
    </w:p>
    <w:p w14:paraId="0F787A50" w14:textId="77777777" w:rsidR="00B55B74" w:rsidRPr="00B55B74" w:rsidRDefault="00B55B74" w:rsidP="00673A7C">
      <w:pPr>
        <w:ind w:left="360"/>
        <w:contextualSpacing/>
        <w:jc w:val="both"/>
        <w:rPr>
          <w:sz w:val="20"/>
          <w:szCs w:val="20"/>
        </w:rPr>
      </w:pPr>
    </w:p>
    <w:p w14:paraId="1BF8F8CD" w14:textId="77777777" w:rsidR="00B55B74" w:rsidRPr="00B55B74" w:rsidRDefault="00B55B74" w:rsidP="00673A7C">
      <w:pPr>
        <w:numPr>
          <w:ilvl w:val="0"/>
          <w:numId w:val="5"/>
        </w:numPr>
        <w:ind w:left="360"/>
        <w:contextualSpacing/>
        <w:jc w:val="both"/>
        <w:rPr>
          <w:sz w:val="20"/>
          <w:szCs w:val="20"/>
        </w:rPr>
      </w:pPr>
      <w:r w:rsidRPr="00B55B74">
        <w:rPr>
          <w:caps/>
          <w:sz w:val="20"/>
          <w:szCs w:val="20"/>
        </w:rPr>
        <w:t xml:space="preserve">Zaragoza Cano, F. y Antonietty Adame, A. </w:t>
      </w:r>
      <w:r w:rsidRPr="00B55B74">
        <w:rPr>
          <w:sz w:val="20"/>
          <w:szCs w:val="20"/>
        </w:rPr>
        <w:t xml:space="preserve">“La validez de la cláusula IRPH: examen de los controles de transparencia y </w:t>
      </w:r>
      <w:proofErr w:type="spellStart"/>
      <w:r w:rsidRPr="00B55B74">
        <w:rPr>
          <w:sz w:val="20"/>
          <w:szCs w:val="20"/>
        </w:rPr>
        <w:t>abusividad</w:t>
      </w:r>
      <w:proofErr w:type="spellEnd"/>
      <w:r w:rsidRPr="00B55B74">
        <w:rPr>
          <w:sz w:val="20"/>
          <w:szCs w:val="20"/>
        </w:rPr>
        <w:t xml:space="preserve">. Estado actual de la cuestión tras la Sentencia del TJUE de 3 de marzo de 2020”: </w:t>
      </w:r>
      <w:r w:rsidRPr="00B55B74">
        <w:rPr>
          <w:i/>
          <w:sz w:val="20"/>
          <w:szCs w:val="20"/>
        </w:rPr>
        <w:t>Diario La Ley</w:t>
      </w:r>
      <w:r w:rsidRPr="00B55B74">
        <w:rPr>
          <w:sz w:val="20"/>
          <w:szCs w:val="20"/>
        </w:rPr>
        <w:t>, Nº 9707, 2020.</w:t>
      </w:r>
    </w:p>
    <w:p w14:paraId="396D8A9E" w14:textId="77777777" w:rsidR="00B55B74" w:rsidRPr="00B55B74" w:rsidRDefault="00B55B74" w:rsidP="00673A7C">
      <w:pPr>
        <w:ind w:left="360"/>
        <w:contextualSpacing/>
        <w:jc w:val="both"/>
        <w:rPr>
          <w:sz w:val="20"/>
          <w:szCs w:val="20"/>
        </w:rPr>
      </w:pPr>
    </w:p>
    <w:p w14:paraId="3A6BA771" w14:textId="77777777" w:rsidR="00CE63DC" w:rsidRDefault="00CE63DC" w:rsidP="00673A7C">
      <w:pPr>
        <w:rPr>
          <w:rFonts w:cstheme="minorHAnsi"/>
          <w:sz w:val="20"/>
          <w:szCs w:val="20"/>
        </w:rPr>
      </w:pPr>
    </w:p>
    <w:p w14:paraId="4F035DEF" w14:textId="77777777" w:rsidR="00CE63DC" w:rsidRDefault="00CE63DC" w:rsidP="00CE63DC">
      <w:pPr>
        <w:rPr>
          <w:rFonts w:cstheme="minorHAnsi"/>
          <w:sz w:val="20"/>
          <w:szCs w:val="20"/>
        </w:rPr>
      </w:pPr>
    </w:p>
    <w:p w14:paraId="4F378964" w14:textId="77777777" w:rsidR="00CE63DC" w:rsidRDefault="00CE63DC" w:rsidP="00CE63DC">
      <w:pPr>
        <w:rPr>
          <w:rFonts w:cstheme="minorHAnsi"/>
          <w:sz w:val="20"/>
          <w:szCs w:val="20"/>
        </w:rPr>
      </w:pPr>
    </w:p>
    <w:p w14:paraId="209EACED" w14:textId="77777777" w:rsidR="00CE63DC" w:rsidRDefault="00CE63DC" w:rsidP="00CE63DC">
      <w:pPr>
        <w:rPr>
          <w:rFonts w:cstheme="minorHAnsi"/>
          <w:sz w:val="20"/>
          <w:szCs w:val="20"/>
        </w:rPr>
      </w:pPr>
    </w:p>
    <w:p w14:paraId="025CD3A6" w14:textId="77777777" w:rsidR="00CE63DC" w:rsidRDefault="00CE63DC" w:rsidP="00CE63DC">
      <w:pPr>
        <w:rPr>
          <w:rFonts w:cstheme="minorHAnsi"/>
          <w:sz w:val="20"/>
          <w:szCs w:val="20"/>
        </w:rPr>
      </w:pPr>
    </w:p>
    <w:p w14:paraId="3E3028B9" w14:textId="77777777" w:rsidR="00CE63DC" w:rsidRDefault="00CE63DC" w:rsidP="00CE63DC">
      <w:pPr>
        <w:rPr>
          <w:rFonts w:cstheme="minorHAnsi"/>
          <w:sz w:val="20"/>
          <w:szCs w:val="20"/>
        </w:rPr>
      </w:pPr>
    </w:p>
    <w:p w14:paraId="58971B7F" w14:textId="77777777" w:rsidR="00CE63DC" w:rsidRDefault="00CE63DC" w:rsidP="00CE63DC">
      <w:pPr>
        <w:rPr>
          <w:rFonts w:cstheme="minorHAnsi"/>
          <w:sz w:val="20"/>
          <w:szCs w:val="20"/>
        </w:rPr>
      </w:pPr>
    </w:p>
    <w:p w14:paraId="3806C342" w14:textId="77777777" w:rsidR="00CE63DC" w:rsidRDefault="00CE63DC" w:rsidP="00CE63DC">
      <w:pPr>
        <w:rPr>
          <w:rFonts w:cstheme="minorHAnsi"/>
          <w:sz w:val="20"/>
          <w:szCs w:val="20"/>
        </w:rPr>
      </w:pPr>
    </w:p>
    <w:p w14:paraId="767D98EF" w14:textId="77777777" w:rsidR="00CE63DC" w:rsidRDefault="00CE63DC" w:rsidP="00CE63DC">
      <w:pPr>
        <w:rPr>
          <w:rFonts w:cstheme="minorHAnsi"/>
          <w:sz w:val="20"/>
          <w:szCs w:val="20"/>
        </w:rPr>
      </w:pPr>
    </w:p>
    <w:p w14:paraId="4B61007C" w14:textId="77777777" w:rsidR="00B55B74" w:rsidRDefault="00B55B74" w:rsidP="00CE63DC">
      <w:pPr>
        <w:rPr>
          <w:rFonts w:cstheme="minorHAnsi"/>
          <w:sz w:val="20"/>
          <w:szCs w:val="20"/>
        </w:rPr>
      </w:pPr>
    </w:p>
    <w:p w14:paraId="635C7208" w14:textId="77777777" w:rsidR="00B55B74" w:rsidRDefault="00B55B74" w:rsidP="00CE63DC">
      <w:pPr>
        <w:rPr>
          <w:rFonts w:cstheme="minorHAnsi"/>
          <w:sz w:val="20"/>
          <w:szCs w:val="20"/>
        </w:rPr>
      </w:pPr>
    </w:p>
    <w:p w14:paraId="6C8F86B4" w14:textId="77777777" w:rsidR="00B55B74" w:rsidRDefault="00B55B74" w:rsidP="00CE63DC">
      <w:pPr>
        <w:rPr>
          <w:rFonts w:cstheme="minorHAnsi"/>
          <w:sz w:val="20"/>
          <w:szCs w:val="20"/>
        </w:rPr>
      </w:pPr>
    </w:p>
    <w:p w14:paraId="592F9383" w14:textId="77777777" w:rsidR="00B55B74" w:rsidRDefault="00B55B74" w:rsidP="00CE63DC">
      <w:pPr>
        <w:rPr>
          <w:rFonts w:cstheme="minorHAnsi"/>
          <w:sz w:val="20"/>
          <w:szCs w:val="20"/>
        </w:rPr>
      </w:pPr>
    </w:p>
    <w:p w14:paraId="113AE6A1" w14:textId="77777777" w:rsidR="00B55B74" w:rsidRDefault="00B55B74" w:rsidP="00CE63DC">
      <w:pPr>
        <w:rPr>
          <w:rFonts w:cstheme="minorHAnsi"/>
          <w:sz w:val="20"/>
          <w:szCs w:val="20"/>
        </w:rPr>
      </w:pPr>
    </w:p>
    <w:p w14:paraId="1BAE6065" w14:textId="77777777" w:rsidR="00B55B74" w:rsidRDefault="00B55B74" w:rsidP="00CE63DC">
      <w:pPr>
        <w:rPr>
          <w:rFonts w:cstheme="minorHAnsi"/>
          <w:sz w:val="20"/>
          <w:szCs w:val="20"/>
        </w:rPr>
      </w:pPr>
    </w:p>
    <w:p w14:paraId="0BB4B51F" w14:textId="77777777" w:rsidR="00B55B74" w:rsidRDefault="00B55B74" w:rsidP="00CE63DC">
      <w:pPr>
        <w:rPr>
          <w:rFonts w:cstheme="minorHAnsi"/>
          <w:sz w:val="20"/>
          <w:szCs w:val="20"/>
        </w:rPr>
      </w:pPr>
    </w:p>
    <w:p w14:paraId="2E95231B" w14:textId="77777777" w:rsidR="00B55B74" w:rsidRDefault="00B55B74" w:rsidP="00CE63DC">
      <w:pPr>
        <w:rPr>
          <w:rFonts w:cstheme="minorHAnsi"/>
          <w:sz w:val="20"/>
          <w:szCs w:val="20"/>
        </w:rPr>
      </w:pPr>
    </w:p>
    <w:p w14:paraId="2A70892B" w14:textId="77777777" w:rsidR="00B55B74" w:rsidRDefault="00B55B74" w:rsidP="00CE63DC">
      <w:pPr>
        <w:rPr>
          <w:rFonts w:cstheme="minorHAnsi"/>
          <w:sz w:val="20"/>
          <w:szCs w:val="20"/>
        </w:rPr>
      </w:pPr>
    </w:p>
    <w:p w14:paraId="3A4AFF9A" w14:textId="77777777" w:rsidR="00B55B74" w:rsidRDefault="00B55B74" w:rsidP="00CE63DC">
      <w:pPr>
        <w:rPr>
          <w:rFonts w:cstheme="minorHAnsi"/>
          <w:sz w:val="20"/>
          <w:szCs w:val="20"/>
        </w:rPr>
      </w:pPr>
    </w:p>
    <w:p w14:paraId="6A3C8DA3" w14:textId="77777777" w:rsidR="00B55B74" w:rsidRDefault="00B55B74" w:rsidP="00CE63DC">
      <w:pPr>
        <w:rPr>
          <w:rFonts w:cstheme="minorHAnsi"/>
          <w:sz w:val="20"/>
          <w:szCs w:val="20"/>
        </w:rPr>
      </w:pPr>
    </w:p>
    <w:p w14:paraId="30128620" w14:textId="77777777" w:rsidR="00B55B74" w:rsidRDefault="00B55B74" w:rsidP="00CE63DC">
      <w:pPr>
        <w:rPr>
          <w:rFonts w:cstheme="minorHAnsi"/>
          <w:sz w:val="20"/>
          <w:szCs w:val="20"/>
        </w:rPr>
      </w:pPr>
    </w:p>
    <w:p w14:paraId="51B04048" w14:textId="77777777" w:rsidR="00B55B74" w:rsidRDefault="00B55B74" w:rsidP="00CE63DC">
      <w:pPr>
        <w:rPr>
          <w:rFonts w:cstheme="minorHAnsi"/>
          <w:sz w:val="20"/>
          <w:szCs w:val="20"/>
        </w:rPr>
      </w:pPr>
    </w:p>
    <w:p w14:paraId="719EEF02" w14:textId="77777777" w:rsidR="00B55B74" w:rsidRDefault="00B55B74" w:rsidP="00CE63DC">
      <w:pPr>
        <w:rPr>
          <w:rFonts w:cstheme="minorHAnsi"/>
          <w:sz w:val="20"/>
          <w:szCs w:val="20"/>
        </w:rPr>
      </w:pPr>
    </w:p>
    <w:p w14:paraId="79440C4B" w14:textId="77777777" w:rsidR="00B55B74" w:rsidRDefault="00B55B74" w:rsidP="00CE63DC">
      <w:pPr>
        <w:rPr>
          <w:rFonts w:cstheme="minorHAnsi"/>
          <w:sz w:val="20"/>
          <w:szCs w:val="20"/>
        </w:rPr>
      </w:pPr>
    </w:p>
    <w:p w14:paraId="4298A117" w14:textId="77777777" w:rsidR="00B55B74" w:rsidRDefault="00B55B74" w:rsidP="00CE63DC">
      <w:pPr>
        <w:rPr>
          <w:rFonts w:cstheme="minorHAnsi"/>
          <w:sz w:val="20"/>
          <w:szCs w:val="20"/>
        </w:rPr>
      </w:pPr>
    </w:p>
    <w:p w14:paraId="7468D554" w14:textId="77777777" w:rsidR="00B55B74" w:rsidRDefault="00B55B74" w:rsidP="00CE63DC">
      <w:pPr>
        <w:rPr>
          <w:rFonts w:cstheme="minorHAnsi"/>
          <w:sz w:val="20"/>
          <w:szCs w:val="20"/>
        </w:rPr>
      </w:pPr>
    </w:p>
    <w:p w14:paraId="7781716A" w14:textId="77777777" w:rsidR="00B44604" w:rsidRPr="00CE63DC" w:rsidRDefault="00B44604" w:rsidP="00CE63DC">
      <w:pPr>
        <w:rPr>
          <w:rFonts w:cstheme="minorHAnsi"/>
          <w:sz w:val="20"/>
          <w:szCs w:val="20"/>
        </w:rPr>
      </w:pPr>
    </w:p>
    <w:p w14:paraId="3BE8FA80" w14:textId="77777777" w:rsidR="00CE63DC" w:rsidRDefault="00CE63DC" w:rsidP="003F49BB">
      <w:pPr>
        <w:spacing w:beforeLines="100" w:before="240" w:afterLines="100" w:after="240"/>
        <w:jc w:val="center"/>
        <w:rPr>
          <w:sz w:val="16"/>
          <w:szCs w:val="16"/>
        </w:rPr>
      </w:pPr>
    </w:p>
    <w:p w14:paraId="73DED83D" w14:textId="77777777" w:rsidR="003F49BB" w:rsidRPr="003F49BB" w:rsidRDefault="003F49BB" w:rsidP="003F49BB">
      <w:pPr>
        <w:spacing w:beforeLines="100" w:before="240" w:afterLines="100" w:after="240"/>
        <w:jc w:val="center"/>
        <w:rPr>
          <w:sz w:val="16"/>
          <w:szCs w:val="16"/>
        </w:rPr>
      </w:pPr>
      <w:r w:rsidRPr="003F49BB">
        <w:rPr>
          <w:sz w:val="16"/>
          <w:szCs w:val="16"/>
        </w:rPr>
        <w:t>Si algún autor, profesional o investigador conoce la publicación de algún trabajo sobre Derecho y consumo, puede facilitarnos la referencia para publicarlo dentro del presente in</w:t>
      </w:r>
      <w:r>
        <w:rPr>
          <w:sz w:val="16"/>
          <w:szCs w:val="16"/>
        </w:rPr>
        <w:t xml:space="preserve">forme, </w:t>
      </w:r>
      <w:r w:rsidRPr="003F49BB">
        <w:rPr>
          <w:sz w:val="16"/>
          <w:szCs w:val="16"/>
        </w:rPr>
        <w:t>en el periodo correspondiente.</w:t>
      </w:r>
    </w:p>
    <w:sectPr w:rsidR="003F49BB" w:rsidRPr="003F49BB" w:rsidSect="000562B1">
      <w:footerReference w:type="default" r:id="rId10"/>
      <w:pgSz w:w="11906" w:h="16838"/>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C60C79" w14:textId="77777777" w:rsidR="002C3D5D" w:rsidRDefault="002C3D5D" w:rsidP="000562B1">
      <w:pPr>
        <w:spacing w:after="0" w:line="240" w:lineRule="auto"/>
      </w:pPr>
      <w:r>
        <w:separator/>
      </w:r>
    </w:p>
  </w:endnote>
  <w:endnote w:type="continuationSeparator" w:id="0">
    <w:p w14:paraId="3BD5EA17" w14:textId="77777777" w:rsidR="002C3D5D" w:rsidRDefault="002C3D5D" w:rsidP="00056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1363187"/>
      <w:docPartObj>
        <w:docPartGallery w:val="Page Numbers (Bottom of Page)"/>
        <w:docPartUnique/>
      </w:docPartObj>
    </w:sdtPr>
    <w:sdtEndPr>
      <w:rPr>
        <w:rFonts w:cstheme="minorHAnsi"/>
      </w:rPr>
    </w:sdtEndPr>
    <w:sdtContent>
      <w:p w14:paraId="63290595" w14:textId="77777777" w:rsidR="00827C04" w:rsidRPr="000562B1" w:rsidRDefault="00827C04">
        <w:pPr>
          <w:pStyle w:val="Piedepgina"/>
          <w:jc w:val="right"/>
          <w:rPr>
            <w:rFonts w:cstheme="minorHAnsi"/>
          </w:rPr>
        </w:pPr>
        <w:r w:rsidRPr="000562B1">
          <w:rPr>
            <w:rFonts w:cstheme="minorHAnsi"/>
          </w:rPr>
          <w:fldChar w:fldCharType="begin"/>
        </w:r>
        <w:r w:rsidRPr="000562B1">
          <w:rPr>
            <w:rFonts w:cstheme="minorHAnsi"/>
          </w:rPr>
          <w:instrText>PAGE   \* MERGEFORMAT</w:instrText>
        </w:r>
        <w:r w:rsidRPr="000562B1">
          <w:rPr>
            <w:rFonts w:cstheme="minorHAnsi"/>
          </w:rPr>
          <w:fldChar w:fldCharType="separate"/>
        </w:r>
        <w:r w:rsidR="00B44604">
          <w:rPr>
            <w:rFonts w:cstheme="minorHAnsi"/>
            <w:noProof/>
          </w:rPr>
          <w:t>7</w:t>
        </w:r>
        <w:r w:rsidRPr="000562B1">
          <w:rPr>
            <w:rFonts w:cstheme="minorHAnsi"/>
          </w:rPr>
          <w:fldChar w:fldCharType="end"/>
        </w:r>
      </w:p>
    </w:sdtContent>
  </w:sdt>
  <w:p w14:paraId="37C823B9" w14:textId="77777777" w:rsidR="00827C04" w:rsidRDefault="00827C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51B51B" w14:textId="77777777" w:rsidR="002C3D5D" w:rsidRDefault="002C3D5D" w:rsidP="000562B1">
      <w:pPr>
        <w:spacing w:after="0" w:line="240" w:lineRule="auto"/>
      </w:pPr>
      <w:r>
        <w:separator/>
      </w:r>
    </w:p>
  </w:footnote>
  <w:footnote w:type="continuationSeparator" w:id="0">
    <w:p w14:paraId="29CF6BCE" w14:textId="77777777" w:rsidR="002C3D5D" w:rsidRDefault="002C3D5D" w:rsidP="000562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315AE"/>
    <w:multiLevelType w:val="hybridMultilevel"/>
    <w:tmpl w:val="F6222D90"/>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4397483"/>
    <w:multiLevelType w:val="hybridMultilevel"/>
    <w:tmpl w:val="2014F256"/>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CA75E7F"/>
    <w:multiLevelType w:val="hybridMultilevel"/>
    <w:tmpl w:val="08249B3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D4075B9"/>
    <w:multiLevelType w:val="hybridMultilevel"/>
    <w:tmpl w:val="55201CA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13A1A64"/>
    <w:multiLevelType w:val="hybridMultilevel"/>
    <w:tmpl w:val="370E71BC"/>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8CB4682"/>
    <w:multiLevelType w:val="hybridMultilevel"/>
    <w:tmpl w:val="F922407E"/>
    <w:lvl w:ilvl="0" w:tplc="45FE9F5A">
      <w:start w:val="1"/>
      <w:numFmt w:val="bullet"/>
      <w:lvlText w:val="-"/>
      <w:lvlJc w:val="left"/>
      <w:pPr>
        <w:ind w:left="720" w:hanging="360"/>
      </w:pPr>
      <w:rPr>
        <w:rFonts w:ascii="Calibri" w:hAnsi="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78D6"/>
    <w:rsid w:val="00020F4E"/>
    <w:rsid w:val="000562B1"/>
    <w:rsid w:val="0012310A"/>
    <w:rsid w:val="001342BF"/>
    <w:rsid w:val="0017035A"/>
    <w:rsid w:val="00181687"/>
    <w:rsid w:val="001B39D6"/>
    <w:rsid w:val="001E467C"/>
    <w:rsid w:val="00226C2F"/>
    <w:rsid w:val="002321F9"/>
    <w:rsid w:val="002920B4"/>
    <w:rsid w:val="002C3D5D"/>
    <w:rsid w:val="00326C94"/>
    <w:rsid w:val="003662F8"/>
    <w:rsid w:val="003C7E66"/>
    <w:rsid w:val="003E66AA"/>
    <w:rsid w:val="003F49BB"/>
    <w:rsid w:val="003F4BCA"/>
    <w:rsid w:val="00410FE1"/>
    <w:rsid w:val="004158D3"/>
    <w:rsid w:val="00474518"/>
    <w:rsid w:val="004D794A"/>
    <w:rsid w:val="0051297C"/>
    <w:rsid w:val="005524C4"/>
    <w:rsid w:val="005527B0"/>
    <w:rsid w:val="005B7019"/>
    <w:rsid w:val="005E340F"/>
    <w:rsid w:val="005F0DEC"/>
    <w:rsid w:val="005F1DFB"/>
    <w:rsid w:val="005F3752"/>
    <w:rsid w:val="00633110"/>
    <w:rsid w:val="00656A1A"/>
    <w:rsid w:val="00673A7C"/>
    <w:rsid w:val="006B172C"/>
    <w:rsid w:val="007C2FE3"/>
    <w:rsid w:val="008251E3"/>
    <w:rsid w:val="00827C04"/>
    <w:rsid w:val="00846866"/>
    <w:rsid w:val="008D2AC3"/>
    <w:rsid w:val="008D6849"/>
    <w:rsid w:val="00916F83"/>
    <w:rsid w:val="00923CBC"/>
    <w:rsid w:val="0093649B"/>
    <w:rsid w:val="009432D4"/>
    <w:rsid w:val="00952BF5"/>
    <w:rsid w:val="009E7932"/>
    <w:rsid w:val="00A00862"/>
    <w:rsid w:val="00A178D6"/>
    <w:rsid w:val="00A21DDE"/>
    <w:rsid w:val="00A535EC"/>
    <w:rsid w:val="00A95CE0"/>
    <w:rsid w:val="00B00158"/>
    <w:rsid w:val="00B03532"/>
    <w:rsid w:val="00B065EF"/>
    <w:rsid w:val="00B40032"/>
    <w:rsid w:val="00B42623"/>
    <w:rsid w:val="00B44604"/>
    <w:rsid w:val="00B55B74"/>
    <w:rsid w:val="00B917BF"/>
    <w:rsid w:val="00BE3615"/>
    <w:rsid w:val="00C41A52"/>
    <w:rsid w:val="00C45C39"/>
    <w:rsid w:val="00C660D0"/>
    <w:rsid w:val="00C67BF4"/>
    <w:rsid w:val="00C943B2"/>
    <w:rsid w:val="00C97832"/>
    <w:rsid w:val="00CB0586"/>
    <w:rsid w:val="00CE63DC"/>
    <w:rsid w:val="00D364FB"/>
    <w:rsid w:val="00D37249"/>
    <w:rsid w:val="00D827B7"/>
    <w:rsid w:val="00DA30E6"/>
    <w:rsid w:val="00DC326F"/>
    <w:rsid w:val="00E37172"/>
    <w:rsid w:val="00E618E3"/>
    <w:rsid w:val="00E7533D"/>
    <w:rsid w:val="00E843AB"/>
    <w:rsid w:val="00E86324"/>
    <w:rsid w:val="00EE05FD"/>
    <w:rsid w:val="00FA6DED"/>
    <w:rsid w:val="00FF618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1F9BF5"/>
  <w15:docId w15:val="{D424B7B4-3C7E-4C81-A703-C46E89537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3615"/>
    <w:pPr>
      <w:ind w:left="720"/>
      <w:contextualSpacing/>
    </w:pPr>
  </w:style>
  <w:style w:type="paragraph" w:styleId="Textodeglobo">
    <w:name w:val="Balloon Text"/>
    <w:basedOn w:val="Normal"/>
    <w:link w:val="TextodegloboCar"/>
    <w:uiPriority w:val="99"/>
    <w:semiHidden/>
    <w:unhideWhenUsed/>
    <w:rsid w:val="00C660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60D0"/>
    <w:rPr>
      <w:rFonts w:ascii="Tahoma" w:hAnsi="Tahoma" w:cs="Tahoma"/>
      <w:sz w:val="16"/>
      <w:szCs w:val="16"/>
    </w:rPr>
  </w:style>
  <w:style w:type="paragraph" w:styleId="Encabezado">
    <w:name w:val="header"/>
    <w:basedOn w:val="Normal"/>
    <w:link w:val="EncabezadoCar"/>
    <w:uiPriority w:val="99"/>
    <w:unhideWhenUsed/>
    <w:rsid w:val="000562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562B1"/>
  </w:style>
  <w:style w:type="paragraph" w:styleId="Piedepgina">
    <w:name w:val="footer"/>
    <w:basedOn w:val="Normal"/>
    <w:link w:val="PiedepginaCar"/>
    <w:uiPriority w:val="99"/>
    <w:unhideWhenUsed/>
    <w:rsid w:val="000562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62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5219153">
      <w:bodyDiv w:val="1"/>
      <w:marLeft w:val="0"/>
      <w:marRight w:val="0"/>
      <w:marTop w:val="0"/>
      <w:marBottom w:val="0"/>
      <w:divBdr>
        <w:top w:val="none" w:sz="0" w:space="0" w:color="auto"/>
        <w:left w:val="none" w:sz="0" w:space="0" w:color="auto"/>
        <w:bottom w:val="none" w:sz="0" w:space="0" w:color="auto"/>
        <w:right w:val="none" w:sz="0" w:space="0" w:color="auto"/>
      </w:divBdr>
      <w:divsChild>
        <w:div w:id="709261901">
          <w:marLeft w:val="0"/>
          <w:marRight w:val="0"/>
          <w:marTop w:val="0"/>
          <w:marBottom w:val="150"/>
          <w:divBdr>
            <w:top w:val="none" w:sz="0" w:space="0" w:color="auto"/>
            <w:left w:val="none" w:sz="0" w:space="0" w:color="auto"/>
            <w:bottom w:val="none" w:sz="0" w:space="0" w:color="auto"/>
            <w:right w:val="none" w:sz="0" w:space="0" w:color="auto"/>
          </w:divBdr>
        </w:div>
        <w:div w:id="54663381">
          <w:marLeft w:val="0"/>
          <w:marRight w:val="0"/>
          <w:marTop w:val="0"/>
          <w:marBottom w:val="300"/>
          <w:divBdr>
            <w:top w:val="none" w:sz="0" w:space="0" w:color="auto"/>
            <w:left w:val="none" w:sz="0" w:space="0" w:color="auto"/>
            <w:bottom w:val="none" w:sz="0" w:space="0" w:color="auto"/>
            <w:right w:val="none" w:sz="0" w:space="0" w:color="auto"/>
          </w:divBdr>
          <w:divsChild>
            <w:div w:id="20587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29A3F-B488-4D01-8323-D2F678ED4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2613</Words>
  <Characters>14373</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BASTANTE GONZALEZ</dc:creator>
  <cp:lastModifiedBy>VICTOR BASTANTE GRANELL</cp:lastModifiedBy>
  <cp:revision>7</cp:revision>
  <cp:lastPrinted>2020-10-27T11:47:00Z</cp:lastPrinted>
  <dcterms:created xsi:type="dcterms:W3CDTF">2021-01-24T12:46:00Z</dcterms:created>
  <dcterms:modified xsi:type="dcterms:W3CDTF">2021-03-03T18:34:00Z</dcterms:modified>
</cp:coreProperties>
</file>