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7D5E329" w14:textId="77777777" w:rsidR="00656A1A" w:rsidRDefault="00DA30E6" w:rsidP="00656A1A">
      <w:pPr>
        <w:spacing w:beforeLines="100" w:before="240" w:afterLines="100" w:after="240"/>
        <w:jc w:val="center"/>
        <w:rPr>
          <w:noProof/>
          <w:lang w:eastAsia="es-ES"/>
        </w:rPr>
      </w:pPr>
      <w:r>
        <w:rPr>
          <w:noProof/>
          <w:lang w:eastAsia="es-ES"/>
        </w:rPr>
        <w:drawing>
          <wp:anchor distT="0" distB="0" distL="114300" distR="114300" simplePos="0" relativeHeight="251666432" behindDoc="1" locked="0" layoutInCell="1" allowOverlap="1" wp14:anchorId="471A90E6" wp14:editId="6135A164">
            <wp:simplePos x="0" y="0"/>
            <wp:positionH relativeFrom="column">
              <wp:posOffset>-1080135</wp:posOffset>
            </wp:positionH>
            <wp:positionV relativeFrom="paragraph">
              <wp:posOffset>-899795</wp:posOffset>
            </wp:positionV>
            <wp:extent cx="7560860" cy="10708052"/>
            <wp:effectExtent l="0" t="0" r="2540" b="0"/>
            <wp:wrapNone/>
            <wp:docPr id="2" name="Imagen 2" descr="C:\Users\Jesus\Downloads\Red and Grayscale Corporate Company Annual Report (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sus\Downloads\Red and Grayscale Corporate Company Annual Report (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67988" cy="1071814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786F4B" w14:textId="77777777" w:rsidR="00D37249" w:rsidRDefault="00D37249" w:rsidP="00656A1A">
      <w:pPr>
        <w:spacing w:beforeLines="100" w:before="240" w:afterLines="100" w:after="240"/>
        <w:jc w:val="center"/>
        <w:rPr>
          <w:noProof/>
          <w:lang w:eastAsia="es-ES"/>
        </w:rPr>
      </w:pPr>
    </w:p>
    <w:p w14:paraId="5E524A17" w14:textId="77777777" w:rsidR="00D37249" w:rsidRDefault="00D37249" w:rsidP="00656A1A">
      <w:pPr>
        <w:spacing w:beforeLines="100" w:before="240" w:afterLines="100" w:after="240"/>
        <w:jc w:val="center"/>
        <w:rPr>
          <w:noProof/>
          <w:lang w:eastAsia="es-ES"/>
        </w:rPr>
      </w:pPr>
    </w:p>
    <w:p w14:paraId="15F136E4" w14:textId="77777777" w:rsidR="00D37249" w:rsidRDefault="00D37249" w:rsidP="00656A1A">
      <w:pPr>
        <w:spacing w:beforeLines="100" w:before="240" w:afterLines="100" w:after="240"/>
        <w:jc w:val="center"/>
        <w:rPr>
          <w:noProof/>
          <w:lang w:eastAsia="es-ES"/>
        </w:rPr>
      </w:pPr>
    </w:p>
    <w:p w14:paraId="61D376D5" w14:textId="77777777" w:rsidR="00D37249" w:rsidRDefault="00D37249" w:rsidP="00656A1A">
      <w:pPr>
        <w:spacing w:beforeLines="100" w:before="240" w:afterLines="100" w:after="240"/>
        <w:jc w:val="center"/>
        <w:rPr>
          <w:noProof/>
          <w:lang w:eastAsia="es-ES"/>
        </w:rPr>
      </w:pPr>
    </w:p>
    <w:p w14:paraId="0882B774" w14:textId="77777777" w:rsidR="00D37249" w:rsidRDefault="00D37249" w:rsidP="00656A1A">
      <w:pPr>
        <w:spacing w:beforeLines="100" w:before="240" w:afterLines="100" w:after="240"/>
        <w:jc w:val="center"/>
        <w:rPr>
          <w:noProof/>
          <w:lang w:eastAsia="es-ES"/>
        </w:rPr>
      </w:pPr>
    </w:p>
    <w:p w14:paraId="19C48A1A" w14:textId="77777777" w:rsidR="00D37249" w:rsidRDefault="00D37249" w:rsidP="00656A1A">
      <w:pPr>
        <w:spacing w:beforeLines="100" w:before="240" w:afterLines="100" w:after="240"/>
        <w:jc w:val="center"/>
        <w:rPr>
          <w:noProof/>
          <w:lang w:eastAsia="es-ES"/>
        </w:rPr>
      </w:pPr>
    </w:p>
    <w:p w14:paraId="23F2BA53" w14:textId="77777777" w:rsidR="00D37249" w:rsidRDefault="00D37249" w:rsidP="00656A1A">
      <w:pPr>
        <w:spacing w:beforeLines="100" w:before="240" w:afterLines="100" w:after="240"/>
        <w:jc w:val="center"/>
        <w:rPr>
          <w:noProof/>
          <w:lang w:eastAsia="es-ES"/>
        </w:rPr>
      </w:pPr>
    </w:p>
    <w:p w14:paraId="31E2C271" w14:textId="77777777" w:rsidR="00D37249" w:rsidRDefault="00D37249"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59264" behindDoc="0" locked="0" layoutInCell="1" allowOverlap="1" wp14:anchorId="617D715D" wp14:editId="2472D62D">
                <wp:simplePos x="0" y="0"/>
                <wp:positionH relativeFrom="column">
                  <wp:posOffset>-697998</wp:posOffset>
                </wp:positionH>
                <wp:positionV relativeFrom="paragraph">
                  <wp:posOffset>76427</wp:posOffset>
                </wp:positionV>
                <wp:extent cx="6236970" cy="5117911"/>
                <wp:effectExtent l="0" t="0" r="0" b="6985"/>
                <wp:wrapNone/>
                <wp:docPr id="4" name="4 Cuadro de texto"/>
                <wp:cNvGraphicFramePr/>
                <a:graphic xmlns:a="http://schemas.openxmlformats.org/drawingml/2006/main">
                  <a:graphicData uri="http://schemas.microsoft.com/office/word/2010/wordprocessingShape">
                    <wps:wsp>
                      <wps:cNvSpPr txBox="1"/>
                      <wps:spPr>
                        <a:xfrm>
                          <a:off x="0" y="0"/>
                          <a:ext cx="6236970" cy="511791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436CF4" w14:textId="35BB01A6" w:rsidR="00827C04" w:rsidRPr="0085768E" w:rsidRDefault="00C57D67">
                            <w:pPr>
                              <w:rPr>
                                <w:rFonts w:ascii="Times New Roman" w:hAnsi="Times New Roman" w:cs="Times New Roman"/>
                                <w:b/>
                                <w:color w:val="FFFFFF" w:themeColor="background1"/>
                                <w:sz w:val="36"/>
                                <w:szCs w:val="36"/>
                              </w:rPr>
                            </w:pPr>
                            <w:r>
                              <w:rPr>
                                <w:rFonts w:ascii="Times New Roman" w:hAnsi="Times New Roman" w:cs="Times New Roman"/>
                                <w:b/>
                                <w:color w:val="FFFFFF" w:themeColor="background1"/>
                                <w:sz w:val="36"/>
                                <w:szCs w:val="36"/>
                              </w:rPr>
                              <w:t>Enero-marzo 2021</w:t>
                            </w:r>
                          </w:p>
                          <w:p w14:paraId="2EB7BD8F" w14:textId="77777777" w:rsidR="00827C04" w:rsidRPr="0085768E" w:rsidRDefault="00827C04">
                            <w:pPr>
                              <w:rPr>
                                <w:rFonts w:ascii="Times New Roman" w:hAnsi="Times New Roman" w:cs="Times New Roman"/>
                                <w:b/>
                                <w:color w:val="FFFFFF" w:themeColor="background1"/>
                                <w:sz w:val="36"/>
                                <w:szCs w:val="36"/>
                              </w:rPr>
                            </w:pPr>
                          </w:p>
                          <w:p w14:paraId="59EFE686" w14:textId="77777777" w:rsidR="00827C04" w:rsidRPr="0085768E" w:rsidRDefault="00827C04" w:rsidP="005F1DFB">
                            <w:pPr>
                              <w:spacing w:after="0" w:line="240" w:lineRule="auto"/>
                              <w:rPr>
                                <w:rFonts w:ascii="Times New Roman" w:hAnsi="Times New Roman" w:cs="Times New Roman"/>
                                <w:b/>
                                <w:color w:val="FFFFFF" w:themeColor="background1"/>
                                <w:sz w:val="96"/>
                                <w:szCs w:val="96"/>
                              </w:rPr>
                            </w:pPr>
                            <w:r w:rsidRPr="0085768E">
                              <w:rPr>
                                <w:rFonts w:ascii="Times New Roman" w:hAnsi="Times New Roman" w:cs="Times New Roman"/>
                                <w:b/>
                                <w:color w:val="FFFFFF" w:themeColor="background1"/>
                                <w:sz w:val="96"/>
                                <w:szCs w:val="96"/>
                              </w:rPr>
                              <w:t>INFORME</w:t>
                            </w:r>
                          </w:p>
                          <w:p w14:paraId="636B78C5" w14:textId="3A3E65BC" w:rsidR="00827C04" w:rsidRPr="0085768E" w:rsidRDefault="00C57D67" w:rsidP="005F1DFB">
                            <w:pPr>
                              <w:spacing w:after="0" w:line="240" w:lineRule="auto"/>
                              <w:rPr>
                                <w:rFonts w:ascii="Times New Roman" w:hAnsi="Times New Roman" w:cs="Times New Roman"/>
                                <w:b/>
                                <w:sz w:val="36"/>
                                <w:szCs w:val="36"/>
                              </w:rPr>
                            </w:pPr>
                            <w:r>
                              <w:rPr>
                                <w:rFonts w:ascii="Times New Roman" w:hAnsi="Times New Roman" w:cs="Times New Roman"/>
                                <w:b/>
                                <w:sz w:val="36"/>
                                <w:szCs w:val="36"/>
                              </w:rPr>
                              <w:t>CONSUMO Y DERECHO</w:t>
                            </w:r>
                            <w:r w:rsidR="00827C04" w:rsidRPr="0085768E">
                              <w:rPr>
                                <w:rFonts w:ascii="Times New Roman" w:hAnsi="Times New Roman" w:cs="Times New Roman"/>
                                <w:b/>
                                <w:sz w:val="36"/>
                                <w:szCs w:val="36"/>
                              </w:rPr>
                              <w:t xml:space="preserve"> (</w:t>
                            </w:r>
                            <w:r>
                              <w:rPr>
                                <w:rFonts w:ascii="Times New Roman" w:hAnsi="Times New Roman" w:cs="Times New Roman"/>
                                <w:b/>
                                <w:sz w:val="36"/>
                                <w:szCs w:val="36"/>
                              </w:rPr>
                              <w:t>JURISPRUDENCIA</w:t>
                            </w:r>
                            <w:r w:rsidR="00827C04" w:rsidRPr="0085768E">
                              <w:rPr>
                                <w:rFonts w:ascii="Times New Roman" w:hAnsi="Times New Roman" w:cs="Times New Roman"/>
                                <w:b/>
                                <w:sz w:val="36"/>
                                <w:szCs w:val="36"/>
                              </w:rPr>
                              <w:t>)</w:t>
                            </w:r>
                          </w:p>
                          <w:p w14:paraId="2D051275" w14:textId="77777777" w:rsidR="00827C04" w:rsidRPr="0085768E" w:rsidRDefault="00827C04" w:rsidP="005F1DFB">
                            <w:pPr>
                              <w:spacing w:after="0" w:line="240" w:lineRule="auto"/>
                              <w:rPr>
                                <w:rFonts w:ascii="Times New Roman" w:hAnsi="Times New Roman" w:cs="Times New Roman"/>
                                <w:b/>
                                <w:color w:val="FFFFFF" w:themeColor="background1"/>
                                <w:sz w:val="36"/>
                                <w:szCs w:val="36"/>
                              </w:rPr>
                            </w:pPr>
                          </w:p>
                          <w:p w14:paraId="36A1D3C4" w14:textId="77777777" w:rsidR="00827C04" w:rsidRPr="0085768E" w:rsidRDefault="00827C04" w:rsidP="005F1DFB">
                            <w:pPr>
                              <w:spacing w:after="0" w:line="240" w:lineRule="auto"/>
                              <w:rPr>
                                <w:rFonts w:ascii="Times New Roman" w:hAnsi="Times New Roman" w:cs="Times New Roman"/>
                                <w:b/>
                                <w:color w:val="FFFFFF" w:themeColor="background1"/>
                                <w:sz w:val="36"/>
                                <w:szCs w:val="36"/>
                              </w:rPr>
                            </w:pPr>
                          </w:p>
                          <w:p w14:paraId="7945E80E" w14:textId="77777777" w:rsidR="00827C04" w:rsidRPr="0085768E" w:rsidRDefault="00827C04" w:rsidP="005F1DFB">
                            <w:pPr>
                              <w:spacing w:after="0" w:line="240" w:lineRule="auto"/>
                              <w:rPr>
                                <w:rFonts w:ascii="Times New Roman" w:hAnsi="Times New Roman" w:cs="Times New Roman"/>
                                <w:b/>
                                <w:color w:val="FFFFFF" w:themeColor="background1"/>
                              </w:rPr>
                            </w:pPr>
                          </w:p>
                          <w:p w14:paraId="09E469D5" w14:textId="77777777" w:rsidR="00827C04" w:rsidRPr="0085768E" w:rsidRDefault="00827C04" w:rsidP="005F1DFB">
                            <w:pPr>
                              <w:spacing w:after="0" w:line="240" w:lineRule="auto"/>
                              <w:rPr>
                                <w:rFonts w:ascii="Times New Roman" w:hAnsi="Times New Roman" w:cs="Times New Roman"/>
                                <w:b/>
                                <w:color w:val="FFFFFF" w:themeColor="background1"/>
                              </w:rPr>
                            </w:pPr>
                          </w:p>
                          <w:p w14:paraId="1ABCD6E4" w14:textId="77777777" w:rsidR="00827C04" w:rsidRPr="0085768E" w:rsidRDefault="00827C04" w:rsidP="005F1DFB">
                            <w:pPr>
                              <w:spacing w:after="0" w:line="240" w:lineRule="auto"/>
                              <w:rPr>
                                <w:rFonts w:ascii="Times New Roman" w:hAnsi="Times New Roman" w:cs="Times New Roman"/>
                                <w:b/>
                                <w:color w:val="FFFFFF" w:themeColor="background1"/>
                              </w:rPr>
                            </w:pPr>
                          </w:p>
                          <w:p w14:paraId="598C9961" w14:textId="77777777" w:rsidR="00827C04" w:rsidRPr="0085768E" w:rsidRDefault="00827C04" w:rsidP="005F1DFB">
                            <w:pPr>
                              <w:spacing w:after="0" w:line="240" w:lineRule="auto"/>
                              <w:rPr>
                                <w:rFonts w:ascii="Times New Roman" w:hAnsi="Times New Roman" w:cs="Times New Roman"/>
                                <w:b/>
                                <w:color w:val="FFFFFF" w:themeColor="background1"/>
                              </w:rPr>
                            </w:pPr>
                          </w:p>
                          <w:p w14:paraId="01E5130E" w14:textId="77777777" w:rsidR="00827C04" w:rsidRPr="0085768E" w:rsidRDefault="00827C04" w:rsidP="005F1DFB">
                            <w:pPr>
                              <w:spacing w:after="0" w:line="240" w:lineRule="auto"/>
                              <w:rPr>
                                <w:rFonts w:ascii="Times New Roman" w:hAnsi="Times New Roman" w:cs="Times New Roman"/>
                                <w:b/>
                                <w:color w:val="FFFFFF" w:themeColor="background1"/>
                              </w:rPr>
                            </w:pPr>
                          </w:p>
                          <w:p w14:paraId="4C18BA61" w14:textId="77777777" w:rsidR="00827C04" w:rsidRPr="0085768E" w:rsidRDefault="00827C04" w:rsidP="005F1DFB">
                            <w:pPr>
                              <w:spacing w:after="0" w:line="240" w:lineRule="auto"/>
                              <w:rPr>
                                <w:rFonts w:ascii="Times New Roman" w:hAnsi="Times New Roman" w:cs="Times New Roman"/>
                                <w:b/>
                                <w:color w:val="FFFFFF" w:themeColor="background1"/>
                              </w:rPr>
                            </w:pPr>
                          </w:p>
                          <w:p w14:paraId="6BB30137" w14:textId="77777777" w:rsidR="00827C04" w:rsidRPr="0085768E" w:rsidRDefault="00827C04" w:rsidP="005F1DFB">
                            <w:pPr>
                              <w:spacing w:after="0" w:line="240" w:lineRule="auto"/>
                              <w:rPr>
                                <w:rFonts w:ascii="Times New Roman" w:hAnsi="Times New Roman" w:cs="Times New Roman"/>
                                <w:b/>
                                <w:color w:val="FFFFFF" w:themeColor="background1"/>
                              </w:rPr>
                            </w:pPr>
                          </w:p>
                          <w:p w14:paraId="0E34383D" w14:textId="77777777" w:rsidR="00827C04" w:rsidRPr="0085768E" w:rsidRDefault="00827C04" w:rsidP="005F1DFB">
                            <w:pPr>
                              <w:spacing w:after="0" w:line="240" w:lineRule="auto"/>
                              <w:rPr>
                                <w:rFonts w:ascii="Times New Roman" w:hAnsi="Times New Roman" w:cs="Times New Roman"/>
                                <w:b/>
                              </w:rPr>
                            </w:pPr>
                          </w:p>
                          <w:p w14:paraId="045E4226" w14:textId="7350820F" w:rsidR="00827C04" w:rsidRPr="0085768E" w:rsidRDefault="000B5305" w:rsidP="005F1DFB">
                            <w:pPr>
                              <w:spacing w:after="0" w:line="240" w:lineRule="auto"/>
                              <w:rPr>
                                <w:rFonts w:ascii="Times New Roman" w:hAnsi="Times New Roman" w:cs="Times New Roman"/>
                                <w:sz w:val="20"/>
                                <w:szCs w:val="20"/>
                              </w:rPr>
                            </w:pPr>
                            <w:r>
                              <w:rPr>
                                <w:rFonts w:ascii="Times New Roman" w:hAnsi="Times New Roman" w:cs="Times New Roman"/>
                                <w:sz w:val="20"/>
                                <w:szCs w:val="20"/>
                              </w:rPr>
                              <w:t>LUCÍA MORENO GARCÍA</w:t>
                            </w:r>
                          </w:p>
                          <w:p w14:paraId="2F1C51F2" w14:textId="505E9A55" w:rsidR="00827C04" w:rsidRPr="0085768E" w:rsidRDefault="00827C04" w:rsidP="005F1DFB">
                            <w:pPr>
                              <w:spacing w:after="0" w:line="240" w:lineRule="auto"/>
                              <w:rPr>
                                <w:rFonts w:ascii="Times New Roman" w:hAnsi="Times New Roman" w:cs="Times New Roman"/>
                                <w:sz w:val="20"/>
                                <w:szCs w:val="20"/>
                              </w:rPr>
                            </w:pPr>
                            <w:r w:rsidRPr="0085768E">
                              <w:rPr>
                                <w:rFonts w:ascii="Times New Roman" w:hAnsi="Times New Roman" w:cs="Times New Roman"/>
                                <w:sz w:val="20"/>
                                <w:szCs w:val="20"/>
                              </w:rPr>
                              <w:t>Profesor</w:t>
                            </w:r>
                            <w:r w:rsidR="000B5305">
                              <w:rPr>
                                <w:rFonts w:ascii="Times New Roman" w:hAnsi="Times New Roman" w:cs="Times New Roman"/>
                                <w:sz w:val="20"/>
                                <w:szCs w:val="20"/>
                              </w:rPr>
                              <w:t>a</w:t>
                            </w:r>
                            <w:r w:rsidRPr="0085768E">
                              <w:rPr>
                                <w:rFonts w:ascii="Times New Roman" w:hAnsi="Times New Roman" w:cs="Times New Roman"/>
                                <w:sz w:val="20"/>
                                <w:szCs w:val="20"/>
                              </w:rPr>
                              <w:t xml:space="preserve"> Ayudante Doctor</w:t>
                            </w:r>
                            <w:r w:rsidR="000B5305">
                              <w:rPr>
                                <w:rFonts w:ascii="Times New Roman" w:hAnsi="Times New Roman" w:cs="Times New Roman"/>
                                <w:sz w:val="20"/>
                                <w:szCs w:val="20"/>
                              </w:rPr>
                              <w:t>a (acreditada a Contratada Doctora)</w:t>
                            </w:r>
                          </w:p>
                          <w:p w14:paraId="6C8075D8" w14:textId="7E26874D" w:rsidR="00827C04" w:rsidRPr="0085768E" w:rsidRDefault="00827C04" w:rsidP="005F1DFB">
                            <w:pPr>
                              <w:spacing w:after="0" w:line="240" w:lineRule="auto"/>
                              <w:rPr>
                                <w:rFonts w:ascii="Times New Roman" w:hAnsi="Times New Roman" w:cs="Times New Roman"/>
                                <w:sz w:val="20"/>
                                <w:szCs w:val="20"/>
                              </w:rPr>
                            </w:pPr>
                            <w:r w:rsidRPr="0085768E">
                              <w:rPr>
                                <w:rFonts w:ascii="Times New Roman" w:hAnsi="Times New Roman" w:cs="Times New Roman"/>
                                <w:sz w:val="20"/>
                                <w:szCs w:val="20"/>
                              </w:rPr>
                              <w:t>Universidad de Almería</w:t>
                            </w:r>
                          </w:p>
                          <w:p w14:paraId="1735E3DF" w14:textId="13F71D5D" w:rsidR="00827C04" w:rsidRPr="0085768E" w:rsidRDefault="000B5305" w:rsidP="005F1DFB">
                            <w:pPr>
                              <w:spacing w:after="0" w:line="240" w:lineRule="auto"/>
                              <w:rPr>
                                <w:rFonts w:ascii="Times New Roman" w:hAnsi="Times New Roman" w:cs="Times New Roman"/>
                                <w:i/>
                                <w:sz w:val="20"/>
                                <w:szCs w:val="20"/>
                              </w:rPr>
                            </w:pPr>
                            <w:r>
                              <w:rPr>
                                <w:rFonts w:ascii="Times New Roman" w:hAnsi="Times New Roman" w:cs="Times New Roman"/>
                                <w:i/>
                                <w:sz w:val="20"/>
                                <w:szCs w:val="20"/>
                              </w:rPr>
                              <w:t>lmg567@ual.es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17D715D" id="_x0000_t202" coordsize="21600,21600" o:spt="202" path="m,l,21600r21600,l21600,xe">
                <v:stroke joinstyle="miter"/>
                <v:path gradientshapeok="t" o:connecttype="rect"/>
              </v:shapetype>
              <v:shape id="4 Cuadro de texto" o:spid="_x0000_s1026" type="#_x0000_t202" style="position:absolute;left:0;text-align:left;margin-left:-54.95pt;margin-top:6pt;width:491.1pt;height:40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" filled="f" stroked="f" strokeweight=".5pt">
                <v:textbox>
                  <w:txbxContent>
                    <w:p w14:paraId="4D436CF4" w14:textId="35BB01A6" w:rsidR="00827C04" w:rsidRPr="0085768E" w:rsidRDefault="00C57D67">
                      <w:pPr>
                        <w:rPr>
                          <w:rFonts w:ascii="Times New Roman" w:hAnsi="Times New Roman" w:cs="Times New Roman"/>
                          <w:b/>
                          <w:color w:val="FFFFFF" w:themeColor="background1"/>
                          <w:sz w:val="36"/>
                          <w:szCs w:val="36"/>
                        </w:rPr>
                      </w:pPr>
                      <w:r>
                        <w:rPr>
                          <w:rFonts w:ascii="Times New Roman" w:hAnsi="Times New Roman" w:cs="Times New Roman"/>
                          <w:b/>
                          <w:color w:val="FFFFFF" w:themeColor="background1"/>
                          <w:sz w:val="36"/>
                          <w:szCs w:val="36"/>
                        </w:rPr>
                        <w:t>Enero-marzo 2021</w:t>
                      </w:r>
                    </w:p>
                    <w:p w14:paraId="2EB7BD8F" w14:textId="77777777" w:rsidR="00827C04" w:rsidRPr="0085768E" w:rsidRDefault="00827C04">
                      <w:pPr>
                        <w:rPr>
                          <w:rFonts w:ascii="Times New Roman" w:hAnsi="Times New Roman" w:cs="Times New Roman"/>
                          <w:b/>
                          <w:color w:val="FFFFFF" w:themeColor="background1"/>
                          <w:sz w:val="36"/>
                          <w:szCs w:val="36"/>
                        </w:rPr>
                      </w:pPr>
                    </w:p>
                    <w:p w14:paraId="59EFE686" w14:textId="77777777" w:rsidR="00827C04" w:rsidRPr="0085768E" w:rsidRDefault="00827C04" w:rsidP="005F1DFB">
                      <w:pPr>
                        <w:spacing w:after="0" w:line="240" w:lineRule="auto"/>
                        <w:rPr>
                          <w:rFonts w:ascii="Times New Roman" w:hAnsi="Times New Roman" w:cs="Times New Roman"/>
                          <w:b/>
                          <w:color w:val="FFFFFF" w:themeColor="background1"/>
                          <w:sz w:val="96"/>
                          <w:szCs w:val="96"/>
                        </w:rPr>
                      </w:pPr>
                      <w:r w:rsidRPr="0085768E">
                        <w:rPr>
                          <w:rFonts w:ascii="Times New Roman" w:hAnsi="Times New Roman" w:cs="Times New Roman"/>
                          <w:b/>
                          <w:color w:val="FFFFFF" w:themeColor="background1"/>
                          <w:sz w:val="96"/>
                          <w:szCs w:val="96"/>
                        </w:rPr>
                        <w:t>INFORME</w:t>
                      </w:r>
                    </w:p>
                    <w:p w14:paraId="636B78C5" w14:textId="3A3E65BC" w:rsidR="00827C04" w:rsidRPr="0085768E" w:rsidRDefault="00C57D67" w:rsidP="005F1DFB">
                      <w:pPr>
                        <w:spacing w:after="0" w:line="240" w:lineRule="auto"/>
                        <w:rPr>
                          <w:rFonts w:ascii="Times New Roman" w:hAnsi="Times New Roman" w:cs="Times New Roman"/>
                          <w:b/>
                          <w:sz w:val="36"/>
                          <w:szCs w:val="36"/>
                        </w:rPr>
                      </w:pPr>
                      <w:r>
                        <w:rPr>
                          <w:rFonts w:ascii="Times New Roman" w:hAnsi="Times New Roman" w:cs="Times New Roman"/>
                          <w:b/>
                          <w:sz w:val="36"/>
                          <w:szCs w:val="36"/>
                        </w:rPr>
                        <w:t>CONSUMO Y DERECHO</w:t>
                      </w:r>
                      <w:r w:rsidR="00827C04" w:rsidRPr="0085768E">
                        <w:rPr>
                          <w:rFonts w:ascii="Times New Roman" w:hAnsi="Times New Roman" w:cs="Times New Roman"/>
                          <w:b/>
                          <w:sz w:val="36"/>
                          <w:szCs w:val="36"/>
                        </w:rPr>
                        <w:t xml:space="preserve"> (</w:t>
                      </w:r>
                      <w:r>
                        <w:rPr>
                          <w:rFonts w:ascii="Times New Roman" w:hAnsi="Times New Roman" w:cs="Times New Roman"/>
                          <w:b/>
                          <w:sz w:val="36"/>
                          <w:szCs w:val="36"/>
                        </w:rPr>
                        <w:t>JURISPRUDENCIA</w:t>
                      </w:r>
                      <w:r w:rsidR="00827C04" w:rsidRPr="0085768E">
                        <w:rPr>
                          <w:rFonts w:ascii="Times New Roman" w:hAnsi="Times New Roman" w:cs="Times New Roman"/>
                          <w:b/>
                          <w:sz w:val="36"/>
                          <w:szCs w:val="36"/>
                        </w:rPr>
                        <w:t>)</w:t>
                      </w:r>
                    </w:p>
                    <w:p w14:paraId="2D051275" w14:textId="77777777" w:rsidR="00827C04" w:rsidRPr="0085768E" w:rsidRDefault="00827C04" w:rsidP="005F1DFB">
                      <w:pPr>
                        <w:spacing w:after="0" w:line="240" w:lineRule="auto"/>
                        <w:rPr>
                          <w:rFonts w:ascii="Times New Roman" w:hAnsi="Times New Roman" w:cs="Times New Roman"/>
                          <w:b/>
                          <w:color w:val="FFFFFF" w:themeColor="background1"/>
                          <w:sz w:val="36"/>
                          <w:szCs w:val="36"/>
                        </w:rPr>
                      </w:pPr>
                    </w:p>
                    <w:p w14:paraId="36A1D3C4" w14:textId="77777777" w:rsidR="00827C04" w:rsidRPr="0085768E" w:rsidRDefault="00827C04" w:rsidP="005F1DFB">
                      <w:pPr>
                        <w:spacing w:after="0" w:line="240" w:lineRule="auto"/>
                        <w:rPr>
                          <w:rFonts w:ascii="Times New Roman" w:hAnsi="Times New Roman" w:cs="Times New Roman"/>
                          <w:b/>
                          <w:color w:val="FFFFFF" w:themeColor="background1"/>
                          <w:sz w:val="36"/>
                          <w:szCs w:val="36"/>
                        </w:rPr>
                      </w:pPr>
                    </w:p>
                    <w:p w14:paraId="7945E80E" w14:textId="77777777" w:rsidR="00827C04" w:rsidRPr="0085768E" w:rsidRDefault="00827C04" w:rsidP="005F1DFB">
                      <w:pPr>
                        <w:spacing w:after="0" w:line="240" w:lineRule="auto"/>
                        <w:rPr>
                          <w:rFonts w:ascii="Times New Roman" w:hAnsi="Times New Roman" w:cs="Times New Roman"/>
                          <w:b/>
                          <w:color w:val="FFFFFF" w:themeColor="background1"/>
                        </w:rPr>
                      </w:pPr>
                    </w:p>
                    <w:p w14:paraId="09E469D5" w14:textId="77777777" w:rsidR="00827C04" w:rsidRPr="0085768E" w:rsidRDefault="00827C04" w:rsidP="005F1DFB">
                      <w:pPr>
                        <w:spacing w:after="0" w:line="240" w:lineRule="auto"/>
                        <w:rPr>
                          <w:rFonts w:ascii="Times New Roman" w:hAnsi="Times New Roman" w:cs="Times New Roman"/>
                          <w:b/>
                          <w:color w:val="FFFFFF" w:themeColor="background1"/>
                        </w:rPr>
                      </w:pPr>
                    </w:p>
                    <w:p w14:paraId="1ABCD6E4" w14:textId="77777777" w:rsidR="00827C04" w:rsidRPr="0085768E" w:rsidRDefault="00827C04" w:rsidP="005F1DFB">
                      <w:pPr>
                        <w:spacing w:after="0" w:line="240" w:lineRule="auto"/>
                        <w:rPr>
                          <w:rFonts w:ascii="Times New Roman" w:hAnsi="Times New Roman" w:cs="Times New Roman"/>
                          <w:b/>
                          <w:color w:val="FFFFFF" w:themeColor="background1"/>
                        </w:rPr>
                      </w:pPr>
                    </w:p>
                    <w:p w14:paraId="598C9961" w14:textId="77777777" w:rsidR="00827C04" w:rsidRPr="0085768E" w:rsidRDefault="00827C04" w:rsidP="005F1DFB">
                      <w:pPr>
                        <w:spacing w:after="0" w:line="240" w:lineRule="auto"/>
                        <w:rPr>
                          <w:rFonts w:ascii="Times New Roman" w:hAnsi="Times New Roman" w:cs="Times New Roman"/>
                          <w:b/>
                          <w:color w:val="FFFFFF" w:themeColor="background1"/>
                        </w:rPr>
                      </w:pPr>
                    </w:p>
                    <w:p w14:paraId="01E5130E" w14:textId="77777777" w:rsidR="00827C04" w:rsidRPr="0085768E" w:rsidRDefault="00827C04" w:rsidP="005F1DFB">
                      <w:pPr>
                        <w:spacing w:after="0" w:line="240" w:lineRule="auto"/>
                        <w:rPr>
                          <w:rFonts w:ascii="Times New Roman" w:hAnsi="Times New Roman" w:cs="Times New Roman"/>
                          <w:b/>
                          <w:color w:val="FFFFFF" w:themeColor="background1"/>
                        </w:rPr>
                      </w:pPr>
                    </w:p>
                    <w:p w14:paraId="4C18BA61" w14:textId="77777777" w:rsidR="00827C04" w:rsidRPr="0085768E" w:rsidRDefault="00827C04" w:rsidP="005F1DFB">
                      <w:pPr>
                        <w:spacing w:after="0" w:line="240" w:lineRule="auto"/>
                        <w:rPr>
                          <w:rFonts w:ascii="Times New Roman" w:hAnsi="Times New Roman" w:cs="Times New Roman"/>
                          <w:b/>
                          <w:color w:val="FFFFFF" w:themeColor="background1"/>
                        </w:rPr>
                      </w:pPr>
                    </w:p>
                    <w:p w14:paraId="6BB30137" w14:textId="77777777" w:rsidR="00827C04" w:rsidRPr="0085768E" w:rsidRDefault="00827C04" w:rsidP="005F1DFB">
                      <w:pPr>
                        <w:spacing w:after="0" w:line="240" w:lineRule="auto"/>
                        <w:rPr>
                          <w:rFonts w:ascii="Times New Roman" w:hAnsi="Times New Roman" w:cs="Times New Roman"/>
                          <w:b/>
                          <w:color w:val="FFFFFF" w:themeColor="background1"/>
                        </w:rPr>
                      </w:pPr>
                    </w:p>
                    <w:p w14:paraId="0E34383D" w14:textId="77777777" w:rsidR="00827C04" w:rsidRPr="0085768E" w:rsidRDefault="00827C04" w:rsidP="005F1DFB">
                      <w:pPr>
                        <w:spacing w:after="0" w:line="240" w:lineRule="auto"/>
                        <w:rPr>
                          <w:rFonts w:ascii="Times New Roman" w:hAnsi="Times New Roman" w:cs="Times New Roman"/>
                          <w:b/>
                        </w:rPr>
                      </w:pPr>
                    </w:p>
                    <w:p w14:paraId="045E4226" w14:textId="7350820F" w:rsidR="00827C04" w:rsidRPr="0085768E" w:rsidRDefault="000B5305" w:rsidP="005F1DFB">
                      <w:pPr>
                        <w:spacing w:after="0" w:line="240" w:lineRule="auto"/>
                        <w:rPr>
                          <w:rFonts w:ascii="Times New Roman" w:hAnsi="Times New Roman" w:cs="Times New Roman"/>
                          <w:sz w:val="20"/>
                          <w:szCs w:val="20"/>
                        </w:rPr>
                      </w:pPr>
                      <w:r>
                        <w:rPr>
                          <w:rFonts w:ascii="Times New Roman" w:hAnsi="Times New Roman" w:cs="Times New Roman"/>
                          <w:sz w:val="20"/>
                          <w:szCs w:val="20"/>
                        </w:rPr>
                        <w:t>LUCÍA MORENO GARCÍA</w:t>
                      </w:r>
                    </w:p>
                    <w:p w14:paraId="2F1C51F2" w14:textId="505E9A55" w:rsidR="00827C04" w:rsidRPr="0085768E" w:rsidRDefault="00827C04" w:rsidP="005F1DFB">
                      <w:pPr>
                        <w:spacing w:after="0" w:line="240" w:lineRule="auto"/>
                        <w:rPr>
                          <w:rFonts w:ascii="Times New Roman" w:hAnsi="Times New Roman" w:cs="Times New Roman"/>
                          <w:sz w:val="20"/>
                          <w:szCs w:val="20"/>
                        </w:rPr>
                      </w:pPr>
                      <w:r w:rsidRPr="0085768E">
                        <w:rPr>
                          <w:rFonts w:ascii="Times New Roman" w:hAnsi="Times New Roman" w:cs="Times New Roman"/>
                          <w:sz w:val="20"/>
                          <w:szCs w:val="20"/>
                        </w:rPr>
                        <w:t>Profesor</w:t>
                      </w:r>
                      <w:r w:rsidR="000B5305">
                        <w:rPr>
                          <w:rFonts w:ascii="Times New Roman" w:hAnsi="Times New Roman" w:cs="Times New Roman"/>
                          <w:sz w:val="20"/>
                          <w:szCs w:val="20"/>
                        </w:rPr>
                        <w:t>a</w:t>
                      </w:r>
                      <w:r w:rsidRPr="0085768E">
                        <w:rPr>
                          <w:rFonts w:ascii="Times New Roman" w:hAnsi="Times New Roman" w:cs="Times New Roman"/>
                          <w:sz w:val="20"/>
                          <w:szCs w:val="20"/>
                        </w:rPr>
                        <w:t xml:space="preserve"> Ayudante Doctor</w:t>
                      </w:r>
                      <w:r w:rsidR="000B5305">
                        <w:rPr>
                          <w:rFonts w:ascii="Times New Roman" w:hAnsi="Times New Roman" w:cs="Times New Roman"/>
                          <w:sz w:val="20"/>
                          <w:szCs w:val="20"/>
                        </w:rPr>
                        <w:t>a (acreditada a Contratada Doctora)</w:t>
                      </w:r>
                    </w:p>
                    <w:p w14:paraId="6C8075D8" w14:textId="7E26874D" w:rsidR="00827C04" w:rsidRPr="0085768E" w:rsidRDefault="00827C04" w:rsidP="005F1DFB">
                      <w:pPr>
                        <w:spacing w:after="0" w:line="240" w:lineRule="auto"/>
                        <w:rPr>
                          <w:rFonts w:ascii="Times New Roman" w:hAnsi="Times New Roman" w:cs="Times New Roman"/>
                          <w:sz w:val="20"/>
                          <w:szCs w:val="20"/>
                        </w:rPr>
                      </w:pPr>
                      <w:r w:rsidRPr="0085768E">
                        <w:rPr>
                          <w:rFonts w:ascii="Times New Roman" w:hAnsi="Times New Roman" w:cs="Times New Roman"/>
                          <w:sz w:val="20"/>
                          <w:szCs w:val="20"/>
                        </w:rPr>
                        <w:t>Universidad de Almería</w:t>
                      </w:r>
                    </w:p>
                    <w:p w14:paraId="1735E3DF" w14:textId="13F71D5D" w:rsidR="00827C04" w:rsidRPr="0085768E" w:rsidRDefault="000B5305" w:rsidP="005F1DFB">
                      <w:pPr>
                        <w:spacing w:after="0" w:line="240" w:lineRule="auto"/>
                        <w:rPr>
                          <w:rFonts w:ascii="Times New Roman" w:hAnsi="Times New Roman" w:cs="Times New Roman"/>
                          <w:i/>
                          <w:sz w:val="20"/>
                          <w:szCs w:val="20"/>
                        </w:rPr>
                      </w:pPr>
                      <w:r>
                        <w:rPr>
                          <w:rFonts w:ascii="Times New Roman" w:hAnsi="Times New Roman" w:cs="Times New Roman"/>
                          <w:i/>
                          <w:sz w:val="20"/>
                          <w:szCs w:val="20"/>
                        </w:rPr>
                        <w:t>lmg567@ual.es</w:t>
                      </w:r>
                    </w:p>
                  </w:txbxContent>
                </v:textbox>
              </v:shape>
            </w:pict>
          </mc:Fallback>
        </mc:AlternateContent>
      </w:r>
    </w:p>
    <w:p w14:paraId="634A3D0B" w14:textId="77777777" w:rsidR="00D37249" w:rsidRDefault="00D37249" w:rsidP="00656A1A">
      <w:pPr>
        <w:spacing w:beforeLines="100" w:before="240" w:afterLines="100" w:after="240"/>
        <w:jc w:val="center"/>
        <w:rPr>
          <w:noProof/>
          <w:lang w:eastAsia="es-ES"/>
        </w:rPr>
      </w:pPr>
    </w:p>
    <w:p w14:paraId="3214C097" w14:textId="77777777" w:rsidR="00D37249" w:rsidRDefault="00D37249" w:rsidP="00656A1A">
      <w:pPr>
        <w:spacing w:beforeLines="100" w:before="240" w:afterLines="100" w:after="240"/>
        <w:jc w:val="center"/>
        <w:rPr>
          <w:noProof/>
          <w:lang w:eastAsia="es-ES"/>
        </w:rPr>
      </w:pPr>
    </w:p>
    <w:p w14:paraId="612D226B" w14:textId="77777777" w:rsidR="00D37249" w:rsidRDefault="00D37249" w:rsidP="00656A1A">
      <w:pPr>
        <w:spacing w:beforeLines="100" w:before="240" w:afterLines="100" w:after="240"/>
        <w:jc w:val="center"/>
        <w:rPr>
          <w:noProof/>
          <w:lang w:eastAsia="es-ES"/>
        </w:rPr>
      </w:pPr>
    </w:p>
    <w:p w14:paraId="1B8E3A3D" w14:textId="77777777" w:rsidR="00D37249" w:rsidRDefault="00D37249" w:rsidP="00656A1A">
      <w:pPr>
        <w:spacing w:beforeLines="100" w:before="240" w:afterLines="100" w:after="240"/>
        <w:jc w:val="center"/>
        <w:rPr>
          <w:noProof/>
          <w:lang w:eastAsia="es-ES"/>
        </w:rPr>
      </w:pPr>
    </w:p>
    <w:p w14:paraId="3A5D080F" w14:textId="77777777" w:rsidR="00D37249" w:rsidRDefault="00D37249" w:rsidP="00656A1A">
      <w:pPr>
        <w:spacing w:beforeLines="100" w:before="240" w:afterLines="100" w:after="240"/>
        <w:jc w:val="center"/>
        <w:rPr>
          <w:noProof/>
          <w:lang w:eastAsia="es-ES"/>
        </w:rPr>
      </w:pPr>
    </w:p>
    <w:p w14:paraId="1E0AEF62" w14:textId="77777777" w:rsidR="00D37249" w:rsidRDefault="00D37249" w:rsidP="00656A1A">
      <w:pPr>
        <w:spacing w:beforeLines="100" w:before="240" w:afterLines="100" w:after="240"/>
        <w:jc w:val="center"/>
        <w:rPr>
          <w:noProof/>
          <w:lang w:eastAsia="es-ES"/>
        </w:rPr>
      </w:pPr>
    </w:p>
    <w:p w14:paraId="248E4477" w14:textId="77777777" w:rsidR="00D37249" w:rsidRDefault="00D37249" w:rsidP="00656A1A">
      <w:pPr>
        <w:spacing w:beforeLines="100" w:before="240" w:afterLines="100" w:after="240"/>
        <w:jc w:val="center"/>
        <w:rPr>
          <w:noProof/>
          <w:lang w:eastAsia="es-ES"/>
        </w:rPr>
      </w:pPr>
    </w:p>
    <w:p w14:paraId="00E5561C" w14:textId="77777777" w:rsidR="00D37249" w:rsidRDefault="00D37249" w:rsidP="00656A1A">
      <w:pPr>
        <w:spacing w:beforeLines="100" w:before="240" w:afterLines="100" w:after="240"/>
        <w:jc w:val="center"/>
        <w:rPr>
          <w:noProof/>
          <w:lang w:eastAsia="es-ES"/>
        </w:rPr>
      </w:pPr>
    </w:p>
    <w:p w14:paraId="79253195" w14:textId="77777777" w:rsidR="00D37249" w:rsidRDefault="00D37249" w:rsidP="00656A1A">
      <w:pPr>
        <w:spacing w:beforeLines="100" w:before="240" w:afterLines="100" w:after="240"/>
        <w:jc w:val="center"/>
        <w:rPr>
          <w:noProof/>
          <w:lang w:eastAsia="es-ES"/>
        </w:rPr>
      </w:pPr>
    </w:p>
    <w:p w14:paraId="22EC10ED" w14:textId="77777777" w:rsidR="00D37249" w:rsidRDefault="00D37249" w:rsidP="00656A1A">
      <w:pPr>
        <w:spacing w:beforeLines="100" w:before="240" w:afterLines="100" w:after="240"/>
        <w:jc w:val="center"/>
        <w:rPr>
          <w:noProof/>
          <w:lang w:eastAsia="es-ES"/>
        </w:rPr>
      </w:pPr>
    </w:p>
    <w:p w14:paraId="55521369" w14:textId="77777777" w:rsidR="00D37249" w:rsidRDefault="00D37249" w:rsidP="00656A1A">
      <w:pPr>
        <w:spacing w:beforeLines="100" w:before="240" w:afterLines="100" w:after="240"/>
        <w:jc w:val="center"/>
        <w:rPr>
          <w:noProof/>
          <w:lang w:eastAsia="es-ES"/>
        </w:rPr>
      </w:pPr>
    </w:p>
    <w:p w14:paraId="48BF8FA4" w14:textId="77777777" w:rsidR="00D37249" w:rsidRDefault="00D37249" w:rsidP="00656A1A">
      <w:pPr>
        <w:spacing w:beforeLines="100" w:before="240" w:afterLines="100" w:after="240"/>
        <w:jc w:val="center"/>
        <w:rPr>
          <w:noProof/>
          <w:lang w:eastAsia="es-ES"/>
        </w:rPr>
      </w:pPr>
    </w:p>
    <w:p w14:paraId="77F66103" w14:textId="77777777" w:rsidR="00D37249" w:rsidRDefault="00D37249" w:rsidP="00656A1A">
      <w:pPr>
        <w:spacing w:beforeLines="100" w:before="240" w:afterLines="100" w:after="240"/>
        <w:jc w:val="center"/>
        <w:rPr>
          <w:noProof/>
          <w:lang w:eastAsia="es-ES"/>
        </w:rPr>
      </w:pPr>
    </w:p>
    <w:p w14:paraId="41F4B982" w14:textId="77777777" w:rsidR="00D37249" w:rsidRDefault="00D37249" w:rsidP="00656A1A">
      <w:pPr>
        <w:spacing w:beforeLines="100" w:before="240" w:afterLines="100" w:after="240"/>
        <w:jc w:val="center"/>
        <w:rPr>
          <w:noProof/>
          <w:lang w:eastAsia="es-ES"/>
        </w:rPr>
      </w:pPr>
    </w:p>
    <w:p w14:paraId="647D8F29" w14:textId="77777777" w:rsidR="00D37249" w:rsidRDefault="00D37249" w:rsidP="00656A1A">
      <w:pPr>
        <w:spacing w:beforeLines="100" w:before="240" w:afterLines="100" w:after="240"/>
        <w:jc w:val="center"/>
        <w:rPr>
          <w:noProof/>
          <w:lang w:eastAsia="es-ES"/>
        </w:rPr>
      </w:pPr>
    </w:p>
    <w:p w14:paraId="3FE9F70E" w14:textId="77777777" w:rsidR="00D37249" w:rsidRDefault="005F0DEC" w:rsidP="00656A1A">
      <w:pPr>
        <w:spacing w:beforeLines="100" w:before="240" w:afterLines="100" w:after="240"/>
        <w:jc w:val="center"/>
        <w:rPr>
          <w:noProof/>
          <w:lang w:eastAsia="es-ES"/>
        </w:rPr>
      </w:pPr>
      <w:r>
        <w:rPr>
          <w:noProof/>
          <w:lang w:eastAsia="es-ES"/>
        </w:rPr>
        <mc:AlternateContent>
          <mc:Choice Requires="wps">
            <w:drawing>
              <wp:anchor distT="0" distB="0" distL="114300" distR="114300" simplePos="0" relativeHeight="251660288" behindDoc="0" locked="0" layoutInCell="1" allowOverlap="1" wp14:anchorId="648F4A92" wp14:editId="682CB527">
                <wp:simplePos x="0" y="0"/>
                <wp:positionH relativeFrom="column">
                  <wp:posOffset>5288354</wp:posOffset>
                </wp:positionH>
                <wp:positionV relativeFrom="paragraph">
                  <wp:posOffset>504175</wp:posOffset>
                </wp:positionV>
                <wp:extent cx="1190360" cy="786396"/>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1190360" cy="7863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0130AB" w14:textId="77777777" w:rsidR="00827C04" w:rsidRPr="005F0DEC" w:rsidRDefault="00827C04">
                            <w:pPr>
                              <w:rPr>
                                <w:rFonts w:ascii="Monotype Corsiva" w:hAnsi="Monotype Corsiva"/>
                                <w:b/>
                                <w:color w:val="FFFFFF" w:themeColor="background1"/>
                                <w:sz w:val="72"/>
                                <w:szCs w:val="72"/>
                              </w:rPr>
                            </w:pPr>
                            <w:proofErr w:type="spellStart"/>
                            <w:r w:rsidRPr="005F0DEC">
                              <w:rPr>
                                <w:rFonts w:ascii="Monotype Corsiva" w:hAnsi="Monotype Corsiva"/>
                                <w:b/>
                                <w:color w:val="FFFFFF" w:themeColor="background1"/>
                                <w:sz w:val="72"/>
                                <w:szCs w:val="72"/>
                              </w:rPr>
                              <w:t>NyR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8F4A92" id="1 Cuadro de texto" o:spid="_x0000_s1027" type="#_x0000_t202" style="position:absolute;left:0;text-align:left;margin-left:416.4pt;margin-top:39.7pt;width:93.75pt;height:61.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" filled="f" stroked="f" strokeweight=".5pt">
                <v:textbox>
                  <w:txbxContent>
                    <w:p w14:paraId="320130AB" w14:textId="77777777" w:rsidR="00827C04" w:rsidRPr="005F0DEC" w:rsidRDefault="00827C04">
                      <w:pPr>
                        <w:rPr>
                          <w:rFonts w:ascii="Monotype Corsiva" w:hAnsi="Monotype Corsiva"/>
                          <w:b/>
                          <w:color w:val="FFFFFF" w:themeColor="background1"/>
                          <w:sz w:val="72"/>
                          <w:szCs w:val="72"/>
                        </w:rPr>
                      </w:pPr>
                      <w:proofErr w:type="spellStart"/>
                      <w:r w:rsidRPr="005F0DEC">
                        <w:rPr>
                          <w:rFonts w:ascii="Monotype Corsiva" w:hAnsi="Monotype Corsiva"/>
                          <w:b/>
                          <w:color w:val="FFFFFF" w:themeColor="background1"/>
                          <w:sz w:val="72"/>
                          <w:szCs w:val="72"/>
                        </w:rPr>
                        <w:t>NyR</w:t>
                      </w:r>
                      <w:proofErr w:type="spellEnd"/>
                    </w:p>
                  </w:txbxContent>
                </v:textbox>
              </v:shape>
            </w:pict>
          </mc:Fallback>
        </mc:AlternateContent>
      </w:r>
    </w:p>
    <w:p w14:paraId="58C683B8" w14:textId="77777777" w:rsidR="00226C2F" w:rsidRDefault="00226C2F" w:rsidP="00226C2F">
      <w:pPr>
        <w:spacing w:after="0" w:line="240" w:lineRule="auto"/>
        <w:jc w:val="center"/>
        <w:rPr>
          <w:rFonts w:cstheme="minorHAnsi"/>
          <w:b/>
          <w:color w:val="FFFFFF" w:themeColor="background1"/>
          <w:sz w:val="32"/>
          <w:szCs w:val="32"/>
        </w:rPr>
      </w:pPr>
    </w:p>
    <w:p w14:paraId="52B812AB" w14:textId="12E39D86" w:rsidR="00226C2F" w:rsidRPr="008A254E" w:rsidRDefault="008A254E" w:rsidP="00226C2F">
      <w:pPr>
        <w:spacing w:after="0" w:line="240" w:lineRule="auto"/>
        <w:jc w:val="center"/>
        <w:rPr>
          <w:rFonts w:ascii="Times New Roman" w:hAnsi="Times New Roman" w:cs="Times New Roman"/>
          <w:b/>
          <w:color w:val="000000" w:themeColor="text1"/>
          <w:sz w:val="28"/>
          <w:szCs w:val="28"/>
        </w:rPr>
      </w:pPr>
      <w:r w:rsidRPr="008A254E">
        <w:rPr>
          <w:rFonts w:ascii="Times New Roman" w:hAnsi="Times New Roman" w:cs="Times New Roman"/>
          <w:b/>
          <w:color w:val="000000" w:themeColor="text1"/>
          <w:sz w:val="28"/>
          <w:szCs w:val="28"/>
        </w:rPr>
        <w:t>JURISPRUDENCIA (Selección)</w:t>
      </w:r>
    </w:p>
    <w:p w14:paraId="411ED0DB" w14:textId="563F3DB8" w:rsidR="008A254E" w:rsidRDefault="008A254E" w:rsidP="00226C2F">
      <w:pPr>
        <w:spacing w:after="0" w:line="240" w:lineRule="auto"/>
        <w:jc w:val="center"/>
        <w:rPr>
          <w:rFonts w:ascii="Times New Roman" w:hAnsi="Times New Roman" w:cs="Times New Roman"/>
          <w:b/>
          <w:color w:val="000000" w:themeColor="text1"/>
          <w:sz w:val="24"/>
          <w:szCs w:val="24"/>
        </w:rPr>
      </w:pPr>
    </w:p>
    <w:p w14:paraId="532FA5B7" w14:textId="0A7A061D" w:rsidR="008A254E" w:rsidRDefault="00C37DE5" w:rsidP="00226C2F">
      <w:pPr>
        <w:spacing w:after="0" w:line="240" w:lineRule="auto"/>
        <w:jc w:val="center"/>
        <w:rPr>
          <w:rFonts w:ascii="Times New Roman" w:hAnsi="Times New Roman" w:cs="Times New Roman"/>
          <w:b/>
          <w:color w:val="000000" w:themeColor="text1"/>
          <w:sz w:val="24"/>
          <w:szCs w:val="24"/>
        </w:rPr>
      </w:pPr>
      <w:r>
        <w:rPr>
          <w:noProof/>
        </w:rPr>
        <w:pict w14:anchorId="06493299">
          <v:rect id="_x0000_i1031" alt="" style="width:425.2pt;height:.05pt;mso-width-percent:0;mso-height-percent:0;mso-width-percent:0;mso-height-percent:0" o:hralign="center" o:hrstd="t" o:hr="t" fillcolor="#a0a0a0" stroked="f"/>
        </w:pict>
      </w:r>
    </w:p>
    <w:p w14:paraId="0F20CAE2" w14:textId="7813EB68" w:rsidR="008A254E" w:rsidRDefault="008A254E" w:rsidP="00226C2F">
      <w:pPr>
        <w:spacing w:after="0" w:line="240" w:lineRule="auto"/>
        <w:jc w:val="center"/>
        <w:rPr>
          <w:rFonts w:ascii="Times New Roman" w:hAnsi="Times New Roman" w:cs="Times New Roman"/>
          <w:b/>
          <w:color w:val="000000" w:themeColor="text1"/>
          <w:sz w:val="24"/>
          <w:szCs w:val="24"/>
        </w:rPr>
      </w:pPr>
    </w:p>
    <w:p w14:paraId="07F9CDB7" w14:textId="77777777" w:rsidR="008A254E" w:rsidRDefault="008A254E" w:rsidP="00226C2F">
      <w:pPr>
        <w:spacing w:after="0" w:line="240" w:lineRule="auto"/>
        <w:jc w:val="center"/>
        <w:rPr>
          <w:rFonts w:ascii="Times New Roman" w:hAnsi="Times New Roman" w:cs="Times New Roman"/>
          <w:b/>
          <w:color w:val="000000" w:themeColor="text1"/>
          <w:sz w:val="24"/>
          <w:szCs w:val="24"/>
        </w:rPr>
      </w:pPr>
    </w:p>
    <w:p w14:paraId="4EEF1885" w14:textId="458C7777" w:rsidR="002B1E17" w:rsidRPr="002B1E17" w:rsidRDefault="002B1E17" w:rsidP="002B1E17">
      <w:pPr>
        <w:spacing w:after="120"/>
        <w:jc w:val="center"/>
        <w:rPr>
          <w:rFonts w:ascii="Times New Roman" w:hAnsi="Times New Roman" w:cs="Times New Roman"/>
          <w:b/>
          <w:bCs/>
          <w:sz w:val="24"/>
          <w:szCs w:val="24"/>
        </w:rPr>
      </w:pPr>
      <w:r w:rsidRPr="002B1E17">
        <w:rPr>
          <w:rFonts w:ascii="Times New Roman" w:hAnsi="Times New Roman" w:cs="Times New Roman"/>
          <w:b/>
          <w:bCs/>
          <w:sz w:val="24"/>
          <w:szCs w:val="24"/>
        </w:rPr>
        <w:t>T</w:t>
      </w:r>
      <w:r>
        <w:rPr>
          <w:rFonts w:ascii="Times New Roman" w:hAnsi="Times New Roman" w:cs="Times New Roman"/>
          <w:b/>
          <w:bCs/>
          <w:sz w:val="24"/>
          <w:szCs w:val="24"/>
        </w:rPr>
        <w:t>JUE</w:t>
      </w:r>
    </w:p>
    <w:p w14:paraId="6DF6200F" w14:textId="77777777" w:rsidR="002B1E17" w:rsidRPr="002B1E17" w:rsidRDefault="002B1E17" w:rsidP="002B1E17">
      <w:pPr>
        <w:spacing w:after="240"/>
        <w:jc w:val="both"/>
        <w:rPr>
          <w:rFonts w:ascii="Times New Roman" w:hAnsi="Times New Roman" w:cs="Times New Roman"/>
          <w:b/>
          <w:bCs/>
          <w:sz w:val="24"/>
          <w:szCs w:val="24"/>
        </w:rPr>
      </w:pPr>
      <w:r w:rsidRPr="002B1E17">
        <w:rPr>
          <w:rFonts w:ascii="Times New Roman" w:hAnsi="Times New Roman" w:cs="Times New Roman"/>
          <w:b/>
          <w:bCs/>
          <w:sz w:val="24"/>
          <w:szCs w:val="24"/>
        </w:rPr>
        <w:t>Sentencias</w:t>
      </w:r>
    </w:p>
    <w:p w14:paraId="1638CF3F" w14:textId="77777777" w:rsidR="002B1E17" w:rsidRPr="002B1E17" w:rsidRDefault="00C37DE5" w:rsidP="002B1E17">
      <w:pPr>
        <w:spacing w:after="240"/>
        <w:jc w:val="both"/>
        <w:rPr>
          <w:rFonts w:ascii="Times New Roman" w:hAnsi="Times New Roman" w:cs="Times New Roman"/>
          <w:sz w:val="24"/>
          <w:szCs w:val="24"/>
        </w:rPr>
      </w:pPr>
      <w:hyperlink r:id="rId9" w:anchor="ctx1" w:history="1">
        <w:r w:rsidR="002B1E17" w:rsidRPr="002B1E17">
          <w:rPr>
            <w:rStyle w:val="Hipervnculo"/>
            <w:rFonts w:ascii="Times New Roman" w:hAnsi="Times New Roman" w:cs="Times New Roman"/>
            <w:sz w:val="24"/>
            <w:szCs w:val="24"/>
          </w:rPr>
          <w:t xml:space="preserve">Sentencia del Tribunal de Justicia (Sala Primera), de 27 de enero de 2021 (asuntos acumulados C-229/19 y C-289/19, </w:t>
        </w:r>
        <w:proofErr w:type="spellStart"/>
        <w:r w:rsidR="002B1E17" w:rsidRPr="002B1E17">
          <w:rPr>
            <w:rStyle w:val="Hipervnculo"/>
            <w:rFonts w:ascii="Times New Roman" w:hAnsi="Times New Roman" w:cs="Times New Roman"/>
            <w:sz w:val="24"/>
            <w:szCs w:val="24"/>
          </w:rPr>
          <w:t>Dexia</w:t>
        </w:r>
        <w:proofErr w:type="spellEnd"/>
        <w:r w:rsidR="002B1E17" w:rsidRPr="002B1E17">
          <w:rPr>
            <w:rStyle w:val="Hipervnculo"/>
            <w:rFonts w:ascii="Times New Roman" w:hAnsi="Times New Roman" w:cs="Times New Roman"/>
            <w:sz w:val="24"/>
            <w:szCs w:val="24"/>
          </w:rPr>
          <w:t xml:space="preserve"> </w:t>
        </w:r>
        <w:proofErr w:type="spellStart"/>
        <w:r w:rsidR="002B1E17" w:rsidRPr="002B1E17">
          <w:rPr>
            <w:rStyle w:val="Hipervnculo"/>
            <w:rFonts w:ascii="Times New Roman" w:hAnsi="Times New Roman" w:cs="Times New Roman"/>
            <w:sz w:val="24"/>
            <w:szCs w:val="24"/>
          </w:rPr>
          <w:t>Nederland</w:t>
        </w:r>
        <w:proofErr w:type="spellEnd"/>
        <w:r w:rsidR="002B1E17" w:rsidRPr="002B1E17">
          <w:rPr>
            <w:rStyle w:val="Hipervnculo"/>
            <w:rFonts w:ascii="Times New Roman" w:hAnsi="Times New Roman" w:cs="Times New Roman"/>
            <w:sz w:val="24"/>
            <w:szCs w:val="24"/>
          </w:rPr>
          <w:t>)</w:t>
        </w:r>
      </w:hyperlink>
      <w:r w:rsidR="002B1E17" w:rsidRPr="002B1E17">
        <w:rPr>
          <w:rFonts w:ascii="Times New Roman" w:hAnsi="Times New Roman" w:cs="Times New Roman"/>
          <w:sz w:val="24"/>
          <w:szCs w:val="24"/>
        </w:rPr>
        <w:t>. «Procedimiento prejudicial — Protección de los consumidores — Directiva 93/13/CEE — Cláusulas abusivas en los contratos celebrados con consumidores — Artículos 3, apartado 1, 4, apartado 1, y 6, apartado 1 — Apreciación del carácter abusivo de las cláusulas contractuales — Cláusula que establece con carácter previo la ventaja potencial del acreedor en caso de resolución del contrato — Desequilibrio importante entre los derechos y las obligaciones de las partes que se derivan del contrato — Momento en el que se ha de apreciar el desequilibrio — Apreciación del carácter abusivo de una cláusula — Consecuencias — Sustitución de una cláusula abusiva por una disposición supletoria del Derecho interno».</w:t>
      </w:r>
    </w:p>
    <w:p w14:paraId="1C7357AA" w14:textId="0A68EA2F" w:rsidR="002B1E17" w:rsidRDefault="00C37DE5" w:rsidP="002B1E17">
      <w:pPr>
        <w:spacing w:after="240"/>
        <w:jc w:val="both"/>
        <w:rPr>
          <w:rFonts w:ascii="Times New Roman" w:hAnsi="Times New Roman" w:cs="Times New Roman"/>
          <w:sz w:val="24"/>
          <w:szCs w:val="24"/>
        </w:rPr>
      </w:pPr>
      <w:hyperlink r:id="rId10" w:anchor="ctx1" w:history="1">
        <w:r w:rsidR="002B1E17" w:rsidRPr="002B1E17">
          <w:rPr>
            <w:rStyle w:val="Hipervnculo"/>
            <w:rFonts w:ascii="Times New Roman" w:hAnsi="Times New Roman" w:cs="Times New Roman"/>
            <w:sz w:val="24"/>
            <w:szCs w:val="24"/>
          </w:rPr>
          <w:t xml:space="preserve">Sentencia del Tribunal de Justicia (Sala Sexta), de 3 de febrero de 2021 (asunto C-922/19, </w:t>
        </w:r>
        <w:proofErr w:type="spellStart"/>
        <w:r w:rsidR="002B1E17" w:rsidRPr="002B1E17">
          <w:rPr>
            <w:rStyle w:val="Hipervnculo"/>
            <w:rFonts w:ascii="Times New Roman" w:hAnsi="Times New Roman" w:cs="Times New Roman"/>
            <w:sz w:val="24"/>
            <w:szCs w:val="24"/>
          </w:rPr>
          <w:t>Stichting</w:t>
        </w:r>
        <w:proofErr w:type="spellEnd"/>
        <w:r w:rsidR="002B1E17" w:rsidRPr="002B1E17">
          <w:rPr>
            <w:rStyle w:val="Hipervnculo"/>
            <w:rFonts w:ascii="Times New Roman" w:hAnsi="Times New Roman" w:cs="Times New Roman"/>
            <w:sz w:val="24"/>
            <w:szCs w:val="24"/>
          </w:rPr>
          <w:t xml:space="preserve"> </w:t>
        </w:r>
        <w:proofErr w:type="spellStart"/>
        <w:r w:rsidR="002B1E17" w:rsidRPr="002B1E17">
          <w:rPr>
            <w:rStyle w:val="Hipervnculo"/>
            <w:rFonts w:ascii="Times New Roman" w:hAnsi="Times New Roman" w:cs="Times New Roman"/>
            <w:sz w:val="24"/>
            <w:szCs w:val="24"/>
          </w:rPr>
          <w:t>Waternet</w:t>
        </w:r>
        <w:proofErr w:type="spellEnd"/>
        <w:r w:rsidR="002B1E17" w:rsidRPr="002B1E17">
          <w:rPr>
            <w:rStyle w:val="Hipervnculo"/>
            <w:rFonts w:ascii="Times New Roman" w:hAnsi="Times New Roman" w:cs="Times New Roman"/>
            <w:sz w:val="24"/>
            <w:szCs w:val="24"/>
          </w:rPr>
          <w:t>)</w:t>
        </w:r>
      </w:hyperlink>
      <w:r w:rsidR="002B1E17" w:rsidRPr="002B1E17">
        <w:rPr>
          <w:rFonts w:ascii="Times New Roman" w:hAnsi="Times New Roman" w:cs="Times New Roman"/>
          <w:sz w:val="24"/>
          <w:szCs w:val="24"/>
        </w:rPr>
        <w:t>. «Procedimiento prejudicial — Directiva 97/7/CE — Artículo 9 — Directiva 2011/83/UE — Artículo 27 — Directiva 2005/29/CE — Artículo 5, apartado 5 — Anexo I, punto 29 — Prácticas comerciales desleales — Concepto de “suministro no solicitado” — Distribución de agua potable».</w:t>
      </w:r>
    </w:p>
    <w:p w14:paraId="3A977D3A" w14:textId="77777777" w:rsidR="004D0941" w:rsidRPr="002B1E17" w:rsidRDefault="00C37DE5" w:rsidP="004D0941">
      <w:pPr>
        <w:spacing w:after="240"/>
        <w:jc w:val="both"/>
        <w:rPr>
          <w:rFonts w:ascii="Times New Roman" w:hAnsi="Times New Roman" w:cs="Times New Roman"/>
          <w:sz w:val="24"/>
          <w:szCs w:val="24"/>
        </w:rPr>
      </w:pPr>
      <w:hyperlink r:id="rId11" w:anchor="ctx1" w:history="1">
        <w:r w:rsidR="004D0941" w:rsidRPr="0028255D">
          <w:rPr>
            <w:rStyle w:val="Hipervnculo"/>
            <w:rFonts w:ascii="Times New Roman" w:hAnsi="Times New Roman" w:cs="Times New Roman"/>
            <w:sz w:val="24"/>
            <w:szCs w:val="24"/>
          </w:rPr>
          <w:t xml:space="preserve">Sentencia del Tribunal de Justicia (Sala Tercera), de 18 de marzo de 2021 (asunto C-578/19, </w:t>
        </w:r>
        <w:proofErr w:type="spellStart"/>
        <w:r w:rsidR="004D0941" w:rsidRPr="0028255D">
          <w:rPr>
            <w:rStyle w:val="Hipervnculo"/>
            <w:rFonts w:ascii="Times New Roman" w:hAnsi="Times New Roman" w:cs="Times New Roman"/>
            <w:sz w:val="24"/>
            <w:szCs w:val="24"/>
          </w:rPr>
          <w:t>Kuoni</w:t>
        </w:r>
        <w:proofErr w:type="spellEnd"/>
        <w:r w:rsidR="004D0941" w:rsidRPr="0028255D">
          <w:rPr>
            <w:rStyle w:val="Hipervnculo"/>
            <w:rFonts w:ascii="Times New Roman" w:hAnsi="Times New Roman" w:cs="Times New Roman"/>
            <w:sz w:val="24"/>
            <w:szCs w:val="24"/>
          </w:rPr>
          <w:t xml:space="preserve"> </w:t>
        </w:r>
        <w:proofErr w:type="spellStart"/>
        <w:r w:rsidR="004D0941" w:rsidRPr="0028255D">
          <w:rPr>
            <w:rStyle w:val="Hipervnculo"/>
            <w:rFonts w:ascii="Times New Roman" w:hAnsi="Times New Roman" w:cs="Times New Roman"/>
            <w:sz w:val="24"/>
            <w:szCs w:val="24"/>
          </w:rPr>
          <w:t>Travel</w:t>
        </w:r>
        <w:proofErr w:type="spellEnd"/>
        <w:r w:rsidR="004D0941" w:rsidRPr="0028255D">
          <w:rPr>
            <w:rStyle w:val="Hipervnculo"/>
            <w:rFonts w:ascii="Times New Roman" w:hAnsi="Times New Roman" w:cs="Times New Roman"/>
            <w:sz w:val="24"/>
            <w:szCs w:val="24"/>
          </w:rPr>
          <w:t>)</w:t>
        </w:r>
      </w:hyperlink>
      <w:r w:rsidR="004D0941">
        <w:rPr>
          <w:rFonts w:ascii="Times New Roman" w:hAnsi="Times New Roman" w:cs="Times New Roman"/>
          <w:sz w:val="24"/>
          <w:szCs w:val="24"/>
        </w:rPr>
        <w:t xml:space="preserve">. </w:t>
      </w:r>
      <w:r w:rsidR="004D0941" w:rsidRPr="0028255D">
        <w:rPr>
          <w:rFonts w:ascii="Times New Roman" w:hAnsi="Times New Roman" w:cs="Times New Roman"/>
          <w:sz w:val="24"/>
          <w:szCs w:val="24"/>
        </w:rPr>
        <w:t>«Procedimiento prejudicial — Directiva 90/314/CEE — Artículo 5, apartado 2, tercer guion — Viajes combinados, vacaciones combinadas y circuitos combinados — Contrato relativo a un viaje combinado celebrado entre un organizador de viajes y un consumidor — Responsabilidad del organizador de viajes por la buena ejecución de las obligaciones derivadas del contrato por parte de otros prestadores de servicios — Daño resultante de los actos de un empleado de un prestador de servicios — Exención de responsabilidad — Acontecimiento que ni el organizador de viajes ni el prestador de servicios podían prever o superar — Concepto de “prestador de servicios”»</w:t>
      </w:r>
      <w:r w:rsidR="004D0941">
        <w:rPr>
          <w:rFonts w:ascii="Times New Roman" w:hAnsi="Times New Roman" w:cs="Times New Roman"/>
          <w:sz w:val="24"/>
          <w:szCs w:val="24"/>
        </w:rPr>
        <w:t>.</w:t>
      </w:r>
    </w:p>
    <w:p w14:paraId="75ECC425" w14:textId="7AAE4DD4" w:rsidR="00F334A1" w:rsidRDefault="00C37DE5" w:rsidP="002B1E17">
      <w:pPr>
        <w:spacing w:after="240"/>
        <w:jc w:val="both"/>
        <w:rPr>
          <w:rFonts w:ascii="Times New Roman" w:hAnsi="Times New Roman" w:cs="Times New Roman"/>
          <w:sz w:val="24"/>
          <w:szCs w:val="24"/>
        </w:rPr>
      </w:pPr>
      <w:hyperlink r:id="rId12" w:anchor="ctx1" w:history="1">
        <w:r w:rsidR="00F334A1" w:rsidRPr="00F334A1">
          <w:rPr>
            <w:rStyle w:val="Hipervnculo"/>
            <w:rFonts w:ascii="Times New Roman" w:hAnsi="Times New Roman" w:cs="Times New Roman"/>
            <w:sz w:val="24"/>
            <w:szCs w:val="24"/>
          </w:rPr>
          <w:t xml:space="preserve">Sentencia del Tribunal de Justicia (Gran Sala), de 23 de marzo de 2021 (asunto C-28/20, </w:t>
        </w:r>
        <w:proofErr w:type="spellStart"/>
        <w:r w:rsidR="00F334A1" w:rsidRPr="00F334A1">
          <w:rPr>
            <w:rStyle w:val="Hipervnculo"/>
            <w:rFonts w:ascii="Times New Roman" w:hAnsi="Times New Roman" w:cs="Times New Roman"/>
            <w:sz w:val="24"/>
            <w:szCs w:val="24"/>
          </w:rPr>
          <w:t>Airhelp</w:t>
        </w:r>
        <w:proofErr w:type="spellEnd"/>
        <w:r w:rsidR="00F334A1" w:rsidRPr="00F334A1">
          <w:rPr>
            <w:rStyle w:val="Hipervnculo"/>
            <w:rFonts w:ascii="Times New Roman" w:hAnsi="Times New Roman" w:cs="Times New Roman"/>
            <w:sz w:val="24"/>
            <w:szCs w:val="24"/>
          </w:rPr>
          <w:t>)</w:t>
        </w:r>
      </w:hyperlink>
      <w:r w:rsidR="00F334A1">
        <w:rPr>
          <w:rFonts w:ascii="Times New Roman" w:hAnsi="Times New Roman" w:cs="Times New Roman"/>
          <w:sz w:val="24"/>
          <w:szCs w:val="24"/>
        </w:rPr>
        <w:t xml:space="preserve">. </w:t>
      </w:r>
      <w:r w:rsidR="00F334A1" w:rsidRPr="00F334A1">
        <w:rPr>
          <w:rFonts w:ascii="Times New Roman" w:hAnsi="Times New Roman" w:cs="Times New Roman"/>
          <w:sz w:val="24"/>
          <w:szCs w:val="24"/>
        </w:rPr>
        <w:t xml:space="preserve">«Procedimiento prejudicial — Transportes aéreos — Reglamento (CE) n.º 261/2004 — Artículo 5, apartado 3 — Normas comunes sobre compensación y asistencia a los pasajeros aéreos en caso de cancelación o gran retraso de los vuelos — Exención de la obligación de compensación — Concepto de “circunstancias extraordinarias” — Huelga de pilotos organizada dentro del marco legal — Circunstancias “internas” y “externas” respecto a la actividad del transportista aéreo </w:t>
      </w:r>
      <w:r w:rsidR="00F334A1" w:rsidRPr="00F334A1">
        <w:rPr>
          <w:rFonts w:ascii="Times New Roman" w:hAnsi="Times New Roman" w:cs="Times New Roman"/>
          <w:sz w:val="24"/>
          <w:szCs w:val="24"/>
        </w:rPr>
        <w:lastRenderedPageBreak/>
        <w:t>encargado de efectuar el vuelo — Artículos 16, 17 y 28 de la Carta de los Derechos Fundamentales de la Unión Europea — Inexistencia de vulneración de la libertad de empresa, del derecho de propiedad y del derecho de negociación del transportista aéreo»</w:t>
      </w:r>
      <w:r w:rsidR="00F334A1">
        <w:rPr>
          <w:rFonts w:ascii="Times New Roman" w:hAnsi="Times New Roman" w:cs="Times New Roman"/>
          <w:sz w:val="24"/>
          <w:szCs w:val="24"/>
        </w:rPr>
        <w:t>.</w:t>
      </w:r>
    </w:p>
    <w:p w14:paraId="0FF6DBF1" w14:textId="77777777" w:rsidR="002B1E17" w:rsidRPr="002B1E17" w:rsidRDefault="002B1E17" w:rsidP="002B1E17">
      <w:pPr>
        <w:spacing w:after="240"/>
        <w:jc w:val="both"/>
        <w:rPr>
          <w:rFonts w:ascii="Times New Roman" w:hAnsi="Times New Roman" w:cs="Times New Roman"/>
          <w:b/>
          <w:bCs/>
          <w:sz w:val="24"/>
          <w:szCs w:val="24"/>
        </w:rPr>
      </w:pPr>
      <w:r w:rsidRPr="002B1E17">
        <w:rPr>
          <w:rFonts w:ascii="Times New Roman" w:hAnsi="Times New Roman" w:cs="Times New Roman"/>
          <w:b/>
          <w:bCs/>
          <w:sz w:val="24"/>
          <w:szCs w:val="24"/>
        </w:rPr>
        <w:t>Autos</w:t>
      </w:r>
    </w:p>
    <w:p w14:paraId="0C607576" w14:textId="77777777" w:rsidR="002B1E17" w:rsidRPr="002B1E17" w:rsidRDefault="00C37DE5" w:rsidP="002B1E17">
      <w:pPr>
        <w:spacing w:after="240"/>
        <w:jc w:val="both"/>
        <w:rPr>
          <w:rFonts w:ascii="Times New Roman" w:hAnsi="Times New Roman" w:cs="Times New Roman"/>
          <w:sz w:val="24"/>
          <w:szCs w:val="24"/>
        </w:rPr>
      </w:pPr>
      <w:hyperlink r:id="rId13" w:anchor="ctx1" w:history="1">
        <w:r w:rsidR="002B1E17" w:rsidRPr="002B1E17">
          <w:rPr>
            <w:rStyle w:val="Hipervnculo"/>
            <w:rFonts w:ascii="Times New Roman" w:hAnsi="Times New Roman" w:cs="Times New Roman"/>
            <w:sz w:val="24"/>
            <w:szCs w:val="24"/>
          </w:rPr>
          <w:t>Auto del Tribunal de Justicia (Sala Séptima), de 4 de febrero de 2021 (asunto C-321/20, CDT)</w:t>
        </w:r>
      </w:hyperlink>
      <w:r w:rsidR="002B1E17" w:rsidRPr="002B1E17">
        <w:rPr>
          <w:rFonts w:ascii="Times New Roman" w:hAnsi="Times New Roman" w:cs="Times New Roman"/>
          <w:sz w:val="24"/>
          <w:szCs w:val="24"/>
        </w:rPr>
        <w:t xml:space="preserve">. «Procedimiento prejudicial — Artículo 99 del Reglamento de Procedimiento del Tribunal de Justicia — Protección de los consumidores — Efectos en el tiempo de una sentencia — Directiva 93/13/CEE — Cláusulas abusivas en los contratos celebrados con los consumidores — Facultades del juez nacional en relación con una cláusula calificada de “abusiva” — Cláusula de vencimiento anticipado — Supresión parcial del contenido de una cláusula abusiva — Principio de seguridad jurídica — Obligación de interpretación conforme». </w:t>
      </w:r>
    </w:p>
    <w:p w14:paraId="6B86D93A" w14:textId="6B92C2D7" w:rsidR="002B1E17" w:rsidRDefault="00C37DE5" w:rsidP="002B1E17">
      <w:pPr>
        <w:spacing w:after="240"/>
        <w:jc w:val="both"/>
        <w:rPr>
          <w:rFonts w:ascii="Times New Roman" w:hAnsi="Times New Roman" w:cs="Times New Roman"/>
          <w:sz w:val="24"/>
          <w:szCs w:val="24"/>
        </w:rPr>
      </w:pPr>
      <w:hyperlink r:id="rId14" w:anchor="ctx1" w:history="1">
        <w:r w:rsidR="002B1E17" w:rsidRPr="002B1E17">
          <w:rPr>
            <w:rStyle w:val="Hipervnculo"/>
            <w:rFonts w:ascii="Times New Roman" w:hAnsi="Times New Roman" w:cs="Times New Roman"/>
            <w:sz w:val="24"/>
            <w:szCs w:val="24"/>
          </w:rPr>
          <w:t xml:space="preserve">Auto del Tribunal de Justicia (Sala Séptima), de 3 de marzo de 2021 (asunto C-13/19, </w:t>
        </w:r>
        <w:proofErr w:type="spellStart"/>
        <w:r w:rsidR="002B1E17" w:rsidRPr="002B1E17">
          <w:rPr>
            <w:rStyle w:val="Hipervnculo"/>
            <w:rFonts w:ascii="Times New Roman" w:hAnsi="Times New Roman" w:cs="Times New Roman"/>
            <w:sz w:val="24"/>
            <w:szCs w:val="24"/>
          </w:rPr>
          <w:t>Ibercaja</w:t>
        </w:r>
        <w:proofErr w:type="spellEnd"/>
        <w:r w:rsidR="002B1E17" w:rsidRPr="002B1E17">
          <w:rPr>
            <w:rStyle w:val="Hipervnculo"/>
            <w:rFonts w:ascii="Times New Roman" w:hAnsi="Times New Roman" w:cs="Times New Roman"/>
            <w:sz w:val="24"/>
            <w:szCs w:val="24"/>
          </w:rPr>
          <w:t xml:space="preserve"> Banco)</w:t>
        </w:r>
      </w:hyperlink>
      <w:r w:rsidR="002B1E17" w:rsidRPr="002B1E17">
        <w:rPr>
          <w:rFonts w:ascii="Times New Roman" w:hAnsi="Times New Roman" w:cs="Times New Roman"/>
          <w:sz w:val="24"/>
          <w:szCs w:val="24"/>
        </w:rPr>
        <w:t>. «Procedimiento prejudicial — Artículos 53, apartado 2, y 99 del Reglamento de Procedimiento del Tribunal de Justicia — Protección de los </w:t>
      </w:r>
      <w:bookmarkStart w:id="0" w:name="ctx1"/>
      <w:r w:rsidR="002B1E17" w:rsidRPr="002B1E17">
        <w:rPr>
          <w:rFonts w:ascii="Times New Roman" w:hAnsi="Times New Roman" w:cs="Times New Roman"/>
          <w:sz w:val="24"/>
          <w:szCs w:val="24"/>
        </w:rPr>
        <w:t>consumidores</w:t>
      </w:r>
      <w:bookmarkEnd w:id="0"/>
      <w:r w:rsidR="002B1E17" w:rsidRPr="002B1E17">
        <w:rPr>
          <w:rFonts w:ascii="Times New Roman" w:hAnsi="Times New Roman" w:cs="Times New Roman"/>
          <w:sz w:val="24"/>
          <w:szCs w:val="24"/>
        </w:rPr>
        <w:t> — Directiva 93/13/CEE — Contrato de préstamo hipotecario — Cláusulas abusivas — Cláusula limitadora de la variabilidad del tipo de interés (llamada cláusula “suelo”) — Contrato de novación — Renuncia a las acciones judiciales contra las cláusulas de un contrato — Falta de carácter vinculante — Directiva 2005/29/CE — Prácticas comerciales desleales de las empresas en sus relaciones con los </w:t>
      </w:r>
      <w:bookmarkStart w:id="1" w:name="ctx2"/>
      <w:r w:rsidR="002B1E17" w:rsidRPr="002B1E17">
        <w:rPr>
          <w:rFonts w:ascii="Times New Roman" w:hAnsi="Times New Roman" w:cs="Times New Roman"/>
          <w:sz w:val="24"/>
          <w:szCs w:val="24"/>
        </w:rPr>
        <w:t>consumidores</w:t>
      </w:r>
      <w:bookmarkEnd w:id="1"/>
      <w:r w:rsidR="002B1E17" w:rsidRPr="002B1E17">
        <w:rPr>
          <w:rFonts w:ascii="Times New Roman" w:hAnsi="Times New Roman" w:cs="Times New Roman"/>
          <w:sz w:val="24"/>
          <w:szCs w:val="24"/>
        </w:rPr>
        <w:t> — Artículos 6, apartado 1, y 7, apartado 1».</w:t>
      </w:r>
    </w:p>
    <w:p w14:paraId="78499D79" w14:textId="2F6680D3" w:rsidR="009F6D54" w:rsidRPr="002B1E17" w:rsidRDefault="00C37DE5" w:rsidP="002B1E17">
      <w:pPr>
        <w:spacing w:after="240"/>
        <w:jc w:val="both"/>
        <w:rPr>
          <w:rFonts w:ascii="Times New Roman" w:hAnsi="Times New Roman" w:cs="Times New Roman"/>
          <w:sz w:val="24"/>
          <w:szCs w:val="24"/>
        </w:rPr>
      </w:pPr>
      <w:hyperlink r:id="rId15" w:anchor="ctx1" w:history="1">
        <w:r w:rsidR="009F6D54" w:rsidRPr="00F334A1">
          <w:rPr>
            <w:rStyle w:val="Hipervnculo"/>
            <w:rFonts w:ascii="Times New Roman" w:hAnsi="Times New Roman" w:cs="Times New Roman"/>
            <w:sz w:val="24"/>
            <w:szCs w:val="24"/>
          </w:rPr>
          <w:t>Auto del Tribunal de Justicia (Sala Sexta), de 25 de marzo de 2021 (asunto C-503/20, Banco Santander)</w:t>
        </w:r>
      </w:hyperlink>
      <w:r w:rsidR="009F6D54">
        <w:rPr>
          <w:rFonts w:ascii="Times New Roman" w:hAnsi="Times New Roman" w:cs="Times New Roman"/>
          <w:sz w:val="24"/>
          <w:szCs w:val="24"/>
        </w:rPr>
        <w:t xml:space="preserve">. </w:t>
      </w:r>
      <w:r w:rsidR="00F334A1" w:rsidRPr="00F334A1">
        <w:rPr>
          <w:rFonts w:ascii="Times New Roman" w:hAnsi="Times New Roman" w:cs="Times New Roman"/>
          <w:sz w:val="24"/>
          <w:szCs w:val="24"/>
        </w:rPr>
        <w:t>«Procedimiento prejudicial — Artículos 53, apartado 2, y 99 del Reglamento de Procedimiento del Tribunal de Justicia — Protección de los consumidores — Crédito al consumo — Directivas 87/102/CEE y 2008/48/CE — Ámbito de aplicación — Normativa nacional de lucha contra la usura — Libre prestación de servicios»</w:t>
      </w:r>
      <w:r w:rsidR="00F334A1">
        <w:rPr>
          <w:rFonts w:ascii="Times New Roman" w:hAnsi="Times New Roman" w:cs="Times New Roman"/>
          <w:sz w:val="24"/>
          <w:szCs w:val="24"/>
        </w:rPr>
        <w:t xml:space="preserve">. </w:t>
      </w:r>
    </w:p>
    <w:p w14:paraId="2F486A1A" w14:textId="255652A8" w:rsidR="002B1E17" w:rsidRPr="002B1E17" w:rsidRDefault="00C37DE5" w:rsidP="002B1E17">
      <w:pPr>
        <w:spacing w:after="240"/>
        <w:jc w:val="center"/>
        <w:rPr>
          <w:rFonts w:ascii="Times New Roman" w:hAnsi="Times New Roman" w:cs="Times New Roman"/>
          <w:b/>
          <w:bCs/>
          <w:sz w:val="24"/>
          <w:szCs w:val="24"/>
        </w:rPr>
      </w:pPr>
      <w:r>
        <w:rPr>
          <w:noProof/>
        </w:rPr>
        <w:pict w14:anchorId="7BADC926">
          <v:rect id="_x0000_i1030" alt="" style="width:425.2pt;height:.05pt;mso-width-percent:0;mso-height-percent:0;mso-width-percent:0;mso-height-percent:0" o:hralign="center" o:hrstd="t" o:hr="t" fillcolor="#a0a0a0" stroked="f"/>
        </w:pict>
      </w:r>
    </w:p>
    <w:p w14:paraId="579A09AB" w14:textId="77777777" w:rsidR="008B032C" w:rsidRDefault="008B032C" w:rsidP="002B1E17">
      <w:pPr>
        <w:spacing w:after="240"/>
        <w:jc w:val="center"/>
        <w:rPr>
          <w:rFonts w:ascii="Times New Roman" w:hAnsi="Times New Roman" w:cs="Times New Roman"/>
          <w:b/>
          <w:bCs/>
          <w:sz w:val="24"/>
          <w:szCs w:val="24"/>
        </w:rPr>
      </w:pPr>
    </w:p>
    <w:p w14:paraId="081B2DCF" w14:textId="6C7792B4" w:rsidR="002B1E17" w:rsidRDefault="002B1E17" w:rsidP="002B1E17">
      <w:pPr>
        <w:spacing w:after="240"/>
        <w:jc w:val="center"/>
        <w:rPr>
          <w:rFonts w:ascii="Times New Roman" w:hAnsi="Times New Roman" w:cs="Times New Roman"/>
          <w:b/>
          <w:bCs/>
          <w:sz w:val="24"/>
          <w:szCs w:val="24"/>
        </w:rPr>
      </w:pPr>
      <w:r w:rsidRPr="002B1E17">
        <w:rPr>
          <w:rFonts w:ascii="Times New Roman" w:hAnsi="Times New Roman" w:cs="Times New Roman"/>
          <w:b/>
          <w:bCs/>
          <w:sz w:val="24"/>
          <w:szCs w:val="24"/>
        </w:rPr>
        <w:t>TRIBUNAL CONSTITUCIONAL</w:t>
      </w:r>
    </w:p>
    <w:p w14:paraId="4243E373" w14:textId="6C994036" w:rsidR="008B032C" w:rsidRPr="002B1E17" w:rsidRDefault="008B032C" w:rsidP="008B032C">
      <w:pPr>
        <w:spacing w:after="240"/>
        <w:jc w:val="both"/>
        <w:rPr>
          <w:rFonts w:ascii="Times New Roman" w:hAnsi="Times New Roman" w:cs="Times New Roman"/>
          <w:b/>
          <w:bCs/>
          <w:sz w:val="24"/>
          <w:szCs w:val="24"/>
        </w:rPr>
      </w:pPr>
      <w:r>
        <w:rPr>
          <w:rFonts w:ascii="Times New Roman" w:hAnsi="Times New Roman" w:cs="Times New Roman"/>
          <w:b/>
          <w:bCs/>
          <w:sz w:val="24"/>
          <w:szCs w:val="24"/>
        </w:rPr>
        <w:t xml:space="preserve">Sentencias </w:t>
      </w:r>
    </w:p>
    <w:p w14:paraId="15B900D2" w14:textId="6F551E48" w:rsidR="002B1E17" w:rsidRPr="002B1E17" w:rsidRDefault="00C37DE5" w:rsidP="002B1E17">
      <w:pPr>
        <w:spacing w:after="240"/>
        <w:jc w:val="both"/>
        <w:rPr>
          <w:rFonts w:ascii="Times New Roman" w:hAnsi="Times New Roman" w:cs="Times New Roman"/>
          <w:sz w:val="24"/>
          <w:szCs w:val="24"/>
        </w:rPr>
      </w:pPr>
      <w:hyperlink r:id="rId16" w:history="1">
        <w:r w:rsidR="002B1E17" w:rsidRPr="002B1E17">
          <w:rPr>
            <w:rStyle w:val="Hipervnculo"/>
            <w:rFonts w:ascii="Times New Roman" w:hAnsi="Times New Roman" w:cs="Times New Roman"/>
            <w:sz w:val="24"/>
            <w:szCs w:val="24"/>
          </w:rPr>
          <w:t>Sala Segunda. Sentencia 7/2021, de 25 de enero de 2021</w:t>
        </w:r>
      </w:hyperlink>
      <w:r w:rsidR="002B1E17" w:rsidRPr="002B1E17">
        <w:rPr>
          <w:rFonts w:ascii="Times New Roman" w:hAnsi="Times New Roman" w:cs="Times New Roman"/>
          <w:sz w:val="24"/>
          <w:szCs w:val="24"/>
        </w:rPr>
        <w:t xml:space="preserve">. «Recurso de amparo 4217-2019. Promovido por don Alfonso Mesa Puga y otras dos personas </w:t>
      </w:r>
      <w:proofErr w:type="spellStart"/>
      <w:r w:rsidR="002B1E17" w:rsidRPr="002B1E17">
        <w:rPr>
          <w:rFonts w:ascii="Times New Roman" w:hAnsi="Times New Roman" w:cs="Times New Roman"/>
          <w:sz w:val="24"/>
          <w:szCs w:val="24"/>
        </w:rPr>
        <w:t>más</w:t>
      </w:r>
      <w:proofErr w:type="spellEnd"/>
      <w:r w:rsidR="002B1E17" w:rsidRPr="002B1E17">
        <w:rPr>
          <w:rFonts w:ascii="Times New Roman" w:hAnsi="Times New Roman" w:cs="Times New Roman"/>
          <w:sz w:val="24"/>
          <w:szCs w:val="24"/>
        </w:rPr>
        <w:t xml:space="preserve"> respecto de las resoluciones dictadas por un juzgado de primera instancia de </w:t>
      </w:r>
      <w:proofErr w:type="spellStart"/>
      <w:r w:rsidR="002B1E17" w:rsidRPr="002B1E17">
        <w:rPr>
          <w:rFonts w:ascii="Times New Roman" w:hAnsi="Times New Roman" w:cs="Times New Roman"/>
          <w:sz w:val="24"/>
          <w:szCs w:val="24"/>
        </w:rPr>
        <w:t>Almería</w:t>
      </w:r>
      <w:proofErr w:type="spellEnd"/>
      <w:r w:rsidR="002B1E17" w:rsidRPr="002B1E17">
        <w:rPr>
          <w:rFonts w:ascii="Times New Roman" w:hAnsi="Times New Roman" w:cs="Times New Roman"/>
          <w:sz w:val="24"/>
          <w:szCs w:val="24"/>
        </w:rPr>
        <w:t xml:space="preserve"> en procedimiento de </w:t>
      </w:r>
      <w:proofErr w:type="spellStart"/>
      <w:r w:rsidR="002B1E17" w:rsidRPr="002B1E17">
        <w:rPr>
          <w:rFonts w:ascii="Times New Roman" w:hAnsi="Times New Roman" w:cs="Times New Roman"/>
          <w:sz w:val="24"/>
          <w:szCs w:val="24"/>
        </w:rPr>
        <w:t>ejecución</w:t>
      </w:r>
      <w:proofErr w:type="spellEnd"/>
      <w:r w:rsidR="002B1E17" w:rsidRPr="002B1E17">
        <w:rPr>
          <w:rFonts w:ascii="Times New Roman" w:hAnsi="Times New Roman" w:cs="Times New Roman"/>
          <w:sz w:val="24"/>
          <w:szCs w:val="24"/>
        </w:rPr>
        <w:t xml:space="preserve"> hipotecaria.</w:t>
      </w:r>
      <w:r w:rsidR="00C70BDE">
        <w:rPr>
          <w:rFonts w:ascii="Times New Roman" w:hAnsi="Times New Roman" w:cs="Times New Roman"/>
          <w:sz w:val="24"/>
          <w:szCs w:val="24"/>
        </w:rPr>
        <w:t xml:space="preserve"> </w:t>
      </w:r>
      <w:proofErr w:type="spellStart"/>
      <w:r w:rsidR="002B1E17" w:rsidRPr="002B1E17">
        <w:rPr>
          <w:rFonts w:ascii="Times New Roman" w:hAnsi="Times New Roman" w:cs="Times New Roman"/>
          <w:sz w:val="24"/>
          <w:szCs w:val="24"/>
        </w:rPr>
        <w:t>Vulneración</w:t>
      </w:r>
      <w:proofErr w:type="spellEnd"/>
      <w:r w:rsidR="002B1E17" w:rsidRPr="002B1E17">
        <w:rPr>
          <w:rFonts w:ascii="Times New Roman" w:hAnsi="Times New Roman" w:cs="Times New Roman"/>
          <w:sz w:val="24"/>
          <w:szCs w:val="24"/>
        </w:rPr>
        <w:t xml:space="preserve"> del derecho a la tutela judicial efectiva (</w:t>
      </w:r>
      <w:proofErr w:type="spellStart"/>
      <w:r w:rsidR="002B1E17" w:rsidRPr="002B1E17">
        <w:rPr>
          <w:rFonts w:ascii="Times New Roman" w:hAnsi="Times New Roman" w:cs="Times New Roman"/>
          <w:sz w:val="24"/>
          <w:szCs w:val="24"/>
        </w:rPr>
        <w:t>motivación</w:t>
      </w:r>
      <w:proofErr w:type="spellEnd"/>
      <w:r w:rsidR="002B1E17" w:rsidRPr="002B1E17">
        <w:rPr>
          <w:rFonts w:ascii="Times New Roman" w:hAnsi="Times New Roman" w:cs="Times New Roman"/>
          <w:sz w:val="24"/>
          <w:szCs w:val="24"/>
        </w:rPr>
        <w:t xml:space="preserve">): STC 31/2019 (ausencia de control judicial de las </w:t>
      </w:r>
      <w:proofErr w:type="spellStart"/>
      <w:r w:rsidR="002B1E17" w:rsidRPr="002B1E17">
        <w:rPr>
          <w:rFonts w:ascii="Times New Roman" w:hAnsi="Times New Roman" w:cs="Times New Roman"/>
          <w:sz w:val="24"/>
          <w:szCs w:val="24"/>
        </w:rPr>
        <w:t>cláusulas</w:t>
      </w:r>
      <w:proofErr w:type="spellEnd"/>
      <w:r w:rsidR="002B1E17" w:rsidRPr="002B1E17">
        <w:rPr>
          <w:rFonts w:ascii="Times New Roman" w:hAnsi="Times New Roman" w:cs="Times New Roman"/>
          <w:sz w:val="24"/>
          <w:szCs w:val="24"/>
        </w:rPr>
        <w:t xml:space="preserve"> abusivas que </w:t>
      </w:r>
      <w:r w:rsidR="002B1E17" w:rsidRPr="002B1E17">
        <w:rPr>
          <w:rFonts w:ascii="Times New Roman" w:hAnsi="Times New Roman" w:cs="Times New Roman"/>
          <w:sz w:val="24"/>
          <w:szCs w:val="24"/>
        </w:rPr>
        <w:lastRenderedPageBreak/>
        <w:t xml:space="preserve">desconoce la </w:t>
      </w:r>
      <w:proofErr w:type="spellStart"/>
      <w:r w:rsidR="002B1E17" w:rsidRPr="002B1E17">
        <w:rPr>
          <w:rFonts w:ascii="Times New Roman" w:hAnsi="Times New Roman" w:cs="Times New Roman"/>
          <w:sz w:val="24"/>
          <w:szCs w:val="24"/>
        </w:rPr>
        <w:t>primacía</w:t>
      </w:r>
      <w:proofErr w:type="spellEnd"/>
      <w:r w:rsidR="002B1E17" w:rsidRPr="002B1E17">
        <w:rPr>
          <w:rFonts w:ascii="Times New Roman" w:hAnsi="Times New Roman" w:cs="Times New Roman"/>
          <w:sz w:val="24"/>
          <w:szCs w:val="24"/>
        </w:rPr>
        <w:t xml:space="preserve"> del Derecho de la </w:t>
      </w:r>
      <w:proofErr w:type="spellStart"/>
      <w:r w:rsidR="002B1E17" w:rsidRPr="002B1E17">
        <w:rPr>
          <w:rFonts w:ascii="Times New Roman" w:hAnsi="Times New Roman" w:cs="Times New Roman"/>
          <w:sz w:val="24"/>
          <w:szCs w:val="24"/>
        </w:rPr>
        <w:t>Unión</w:t>
      </w:r>
      <w:proofErr w:type="spellEnd"/>
      <w:r w:rsidR="002B1E17" w:rsidRPr="002B1E17">
        <w:rPr>
          <w:rFonts w:ascii="Times New Roman" w:hAnsi="Times New Roman" w:cs="Times New Roman"/>
          <w:sz w:val="24"/>
          <w:szCs w:val="24"/>
        </w:rPr>
        <w:t xml:space="preserve"> Europea y la jurisprudencia del Tribunal de Justicia). Voto particular».</w:t>
      </w:r>
    </w:p>
    <w:p w14:paraId="7561289D" w14:textId="77777777" w:rsidR="002B1E17" w:rsidRPr="002B1E17" w:rsidRDefault="00C37DE5" w:rsidP="002B1E17">
      <w:pPr>
        <w:spacing w:after="240"/>
        <w:jc w:val="both"/>
        <w:rPr>
          <w:rFonts w:ascii="Times New Roman" w:hAnsi="Times New Roman" w:cs="Times New Roman"/>
          <w:sz w:val="24"/>
          <w:szCs w:val="24"/>
        </w:rPr>
      </w:pPr>
      <w:hyperlink r:id="rId17" w:history="1">
        <w:r w:rsidR="002B1E17" w:rsidRPr="002B1E17">
          <w:rPr>
            <w:rStyle w:val="Hipervnculo"/>
            <w:rFonts w:ascii="Times New Roman" w:hAnsi="Times New Roman" w:cs="Times New Roman"/>
            <w:sz w:val="24"/>
            <w:szCs w:val="24"/>
          </w:rPr>
          <w:t>Sala Primera. Sentencia 8/2021, de 25 de enero de 2021</w:t>
        </w:r>
      </w:hyperlink>
      <w:r w:rsidR="002B1E17" w:rsidRPr="002B1E17">
        <w:rPr>
          <w:rFonts w:ascii="Times New Roman" w:hAnsi="Times New Roman" w:cs="Times New Roman"/>
          <w:sz w:val="24"/>
          <w:szCs w:val="24"/>
        </w:rPr>
        <w:t xml:space="preserve">. «Recurso de amparo </w:t>
      </w:r>
      <w:proofErr w:type="spellStart"/>
      <w:r w:rsidR="002B1E17" w:rsidRPr="002B1E17">
        <w:rPr>
          <w:rFonts w:ascii="Times New Roman" w:hAnsi="Times New Roman" w:cs="Times New Roman"/>
          <w:sz w:val="24"/>
          <w:szCs w:val="24"/>
        </w:rPr>
        <w:t>núm</w:t>
      </w:r>
      <w:proofErr w:type="spellEnd"/>
      <w:r w:rsidR="002B1E17" w:rsidRPr="002B1E17">
        <w:rPr>
          <w:rFonts w:ascii="Times New Roman" w:hAnsi="Times New Roman" w:cs="Times New Roman"/>
          <w:sz w:val="24"/>
          <w:szCs w:val="24"/>
        </w:rPr>
        <w:t xml:space="preserve">. 4319-2019. Promovido por </w:t>
      </w:r>
      <w:proofErr w:type="spellStart"/>
      <w:r w:rsidR="002B1E17" w:rsidRPr="002B1E17">
        <w:rPr>
          <w:rFonts w:ascii="Times New Roman" w:hAnsi="Times New Roman" w:cs="Times New Roman"/>
          <w:sz w:val="24"/>
          <w:szCs w:val="24"/>
        </w:rPr>
        <w:t>doña</w:t>
      </w:r>
      <w:proofErr w:type="spellEnd"/>
      <w:r w:rsidR="002B1E17" w:rsidRPr="002B1E17">
        <w:rPr>
          <w:rFonts w:ascii="Times New Roman" w:hAnsi="Times New Roman" w:cs="Times New Roman"/>
          <w:sz w:val="24"/>
          <w:szCs w:val="24"/>
        </w:rPr>
        <w:t xml:space="preserve"> </w:t>
      </w:r>
      <w:proofErr w:type="spellStart"/>
      <w:r w:rsidR="002B1E17" w:rsidRPr="002B1E17">
        <w:rPr>
          <w:rFonts w:ascii="Times New Roman" w:hAnsi="Times New Roman" w:cs="Times New Roman"/>
          <w:sz w:val="24"/>
          <w:szCs w:val="24"/>
        </w:rPr>
        <w:t>María</w:t>
      </w:r>
      <w:proofErr w:type="spellEnd"/>
      <w:r w:rsidR="002B1E17" w:rsidRPr="002B1E17">
        <w:rPr>
          <w:rFonts w:ascii="Times New Roman" w:hAnsi="Times New Roman" w:cs="Times New Roman"/>
          <w:sz w:val="24"/>
          <w:szCs w:val="24"/>
        </w:rPr>
        <w:t xml:space="preserve"> Pilar Moreno Monroy respecto de las resoluciones dictadas por un juzgado de primera instancia de Zaragoza en procedimiento de </w:t>
      </w:r>
      <w:proofErr w:type="spellStart"/>
      <w:r w:rsidR="002B1E17" w:rsidRPr="002B1E17">
        <w:rPr>
          <w:rFonts w:ascii="Times New Roman" w:hAnsi="Times New Roman" w:cs="Times New Roman"/>
          <w:sz w:val="24"/>
          <w:szCs w:val="24"/>
        </w:rPr>
        <w:t>ejecución</w:t>
      </w:r>
      <w:proofErr w:type="spellEnd"/>
      <w:r w:rsidR="002B1E17" w:rsidRPr="002B1E17">
        <w:rPr>
          <w:rFonts w:ascii="Times New Roman" w:hAnsi="Times New Roman" w:cs="Times New Roman"/>
          <w:sz w:val="24"/>
          <w:szCs w:val="24"/>
        </w:rPr>
        <w:t xml:space="preserve"> hipotecaria. </w:t>
      </w:r>
      <w:proofErr w:type="spellStart"/>
      <w:r w:rsidR="002B1E17" w:rsidRPr="002B1E17">
        <w:rPr>
          <w:rFonts w:ascii="Times New Roman" w:hAnsi="Times New Roman" w:cs="Times New Roman"/>
          <w:sz w:val="24"/>
          <w:szCs w:val="24"/>
        </w:rPr>
        <w:t>Vulneración</w:t>
      </w:r>
      <w:proofErr w:type="spellEnd"/>
      <w:r w:rsidR="002B1E17" w:rsidRPr="002B1E17">
        <w:rPr>
          <w:rFonts w:ascii="Times New Roman" w:hAnsi="Times New Roman" w:cs="Times New Roman"/>
          <w:sz w:val="24"/>
          <w:szCs w:val="24"/>
        </w:rPr>
        <w:t xml:space="preserve"> del derecho a la tutela judicial efectiva (</w:t>
      </w:r>
      <w:proofErr w:type="spellStart"/>
      <w:r w:rsidR="002B1E17" w:rsidRPr="002B1E17">
        <w:rPr>
          <w:rFonts w:ascii="Times New Roman" w:hAnsi="Times New Roman" w:cs="Times New Roman"/>
          <w:sz w:val="24"/>
          <w:szCs w:val="24"/>
        </w:rPr>
        <w:t>motivación</w:t>
      </w:r>
      <w:proofErr w:type="spellEnd"/>
      <w:r w:rsidR="002B1E17" w:rsidRPr="002B1E17">
        <w:rPr>
          <w:rFonts w:ascii="Times New Roman" w:hAnsi="Times New Roman" w:cs="Times New Roman"/>
          <w:sz w:val="24"/>
          <w:szCs w:val="24"/>
        </w:rPr>
        <w:t xml:space="preserve">): STC 31/2019 (ausencia de control judicial de las </w:t>
      </w:r>
      <w:proofErr w:type="spellStart"/>
      <w:r w:rsidR="002B1E17" w:rsidRPr="002B1E17">
        <w:rPr>
          <w:rFonts w:ascii="Times New Roman" w:hAnsi="Times New Roman" w:cs="Times New Roman"/>
          <w:sz w:val="24"/>
          <w:szCs w:val="24"/>
        </w:rPr>
        <w:t>cláusulas</w:t>
      </w:r>
      <w:proofErr w:type="spellEnd"/>
      <w:r w:rsidR="002B1E17" w:rsidRPr="002B1E17">
        <w:rPr>
          <w:rFonts w:ascii="Times New Roman" w:hAnsi="Times New Roman" w:cs="Times New Roman"/>
          <w:sz w:val="24"/>
          <w:szCs w:val="24"/>
        </w:rPr>
        <w:t xml:space="preserve"> abusivas que desconoce la </w:t>
      </w:r>
      <w:proofErr w:type="spellStart"/>
      <w:r w:rsidR="002B1E17" w:rsidRPr="002B1E17">
        <w:rPr>
          <w:rFonts w:ascii="Times New Roman" w:hAnsi="Times New Roman" w:cs="Times New Roman"/>
          <w:sz w:val="24"/>
          <w:szCs w:val="24"/>
        </w:rPr>
        <w:t>primacía</w:t>
      </w:r>
      <w:proofErr w:type="spellEnd"/>
      <w:r w:rsidR="002B1E17" w:rsidRPr="002B1E17">
        <w:rPr>
          <w:rFonts w:ascii="Times New Roman" w:hAnsi="Times New Roman" w:cs="Times New Roman"/>
          <w:sz w:val="24"/>
          <w:szCs w:val="24"/>
        </w:rPr>
        <w:t xml:space="preserve"> del Derecho de la </w:t>
      </w:r>
      <w:proofErr w:type="spellStart"/>
      <w:r w:rsidR="002B1E17" w:rsidRPr="002B1E17">
        <w:rPr>
          <w:rFonts w:ascii="Times New Roman" w:hAnsi="Times New Roman" w:cs="Times New Roman"/>
          <w:sz w:val="24"/>
          <w:szCs w:val="24"/>
        </w:rPr>
        <w:t>Unión</w:t>
      </w:r>
      <w:proofErr w:type="spellEnd"/>
      <w:r w:rsidR="002B1E17" w:rsidRPr="002B1E17">
        <w:rPr>
          <w:rFonts w:ascii="Times New Roman" w:hAnsi="Times New Roman" w:cs="Times New Roman"/>
          <w:sz w:val="24"/>
          <w:szCs w:val="24"/>
        </w:rPr>
        <w:t xml:space="preserve"> Europea y la jurisprudencia del Tribunal de Justicia)».</w:t>
      </w:r>
    </w:p>
    <w:p w14:paraId="2B60154F" w14:textId="77777777" w:rsidR="002B1E17" w:rsidRPr="002B1E17" w:rsidRDefault="00C37DE5" w:rsidP="002B1E17">
      <w:pPr>
        <w:spacing w:after="240"/>
        <w:jc w:val="both"/>
        <w:rPr>
          <w:rFonts w:ascii="Times New Roman" w:hAnsi="Times New Roman" w:cs="Times New Roman"/>
          <w:sz w:val="24"/>
          <w:szCs w:val="24"/>
        </w:rPr>
      </w:pPr>
      <w:hyperlink r:id="rId18" w:history="1">
        <w:r w:rsidR="002B1E17" w:rsidRPr="002B1E17">
          <w:rPr>
            <w:rStyle w:val="Hipervnculo"/>
            <w:rFonts w:ascii="Times New Roman" w:hAnsi="Times New Roman" w:cs="Times New Roman"/>
            <w:sz w:val="24"/>
            <w:szCs w:val="24"/>
          </w:rPr>
          <w:t>Sala Primera. Sentencia 12/2021, de 25 de enero de 2021</w:t>
        </w:r>
      </w:hyperlink>
      <w:r w:rsidR="002B1E17" w:rsidRPr="002B1E17">
        <w:rPr>
          <w:rFonts w:ascii="Times New Roman" w:hAnsi="Times New Roman" w:cs="Times New Roman"/>
          <w:sz w:val="24"/>
          <w:szCs w:val="24"/>
        </w:rPr>
        <w:t xml:space="preserve">. «Recurso de amparo 1588-2020. Promovido por </w:t>
      </w:r>
      <w:proofErr w:type="spellStart"/>
      <w:r w:rsidR="002B1E17" w:rsidRPr="002B1E17">
        <w:rPr>
          <w:rFonts w:ascii="Times New Roman" w:hAnsi="Times New Roman" w:cs="Times New Roman"/>
          <w:sz w:val="24"/>
          <w:szCs w:val="24"/>
        </w:rPr>
        <w:t>doña</w:t>
      </w:r>
      <w:proofErr w:type="spellEnd"/>
      <w:r w:rsidR="002B1E17" w:rsidRPr="002B1E17">
        <w:rPr>
          <w:rFonts w:ascii="Times New Roman" w:hAnsi="Times New Roman" w:cs="Times New Roman"/>
          <w:sz w:val="24"/>
          <w:szCs w:val="24"/>
        </w:rPr>
        <w:t xml:space="preserve"> Ana Isabel </w:t>
      </w:r>
      <w:proofErr w:type="spellStart"/>
      <w:r w:rsidR="002B1E17" w:rsidRPr="002B1E17">
        <w:rPr>
          <w:rFonts w:ascii="Times New Roman" w:hAnsi="Times New Roman" w:cs="Times New Roman"/>
          <w:sz w:val="24"/>
          <w:szCs w:val="24"/>
        </w:rPr>
        <w:t>Pérez</w:t>
      </w:r>
      <w:proofErr w:type="spellEnd"/>
      <w:r w:rsidR="002B1E17" w:rsidRPr="002B1E17">
        <w:rPr>
          <w:rFonts w:ascii="Times New Roman" w:hAnsi="Times New Roman" w:cs="Times New Roman"/>
          <w:sz w:val="24"/>
          <w:szCs w:val="24"/>
        </w:rPr>
        <w:t xml:space="preserve"> </w:t>
      </w:r>
      <w:proofErr w:type="spellStart"/>
      <w:r w:rsidR="002B1E17" w:rsidRPr="002B1E17">
        <w:rPr>
          <w:rFonts w:ascii="Times New Roman" w:hAnsi="Times New Roman" w:cs="Times New Roman"/>
          <w:sz w:val="24"/>
          <w:szCs w:val="24"/>
        </w:rPr>
        <w:t>Cordido</w:t>
      </w:r>
      <w:proofErr w:type="spellEnd"/>
      <w:r w:rsidR="002B1E17" w:rsidRPr="002B1E17">
        <w:rPr>
          <w:rFonts w:ascii="Times New Roman" w:hAnsi="Times New Roman" w:cs="Times New Roman"/>
          <w:sz w:val="24"/>
          <w:szCs w:val="24"/>
        </w:rPr>
        <w:t xml:space="preserve"> respecto del auto dictado por un juzgado de primera instancia de A </w:t>
      </w:r>
      <w:proofErr w:type="spellStart"/>
      <w:r w:rsidR="002B1E17" w:rsidRPr="002B1E17">
        <w:rPr>
          <w:rFonts w:ascii="Times New Roman" w:hAnsi="Times New Roman" w:cs="Times New Roman"/>
          <w:sz w:val="24"/>
          <w:szCs w:val="24"/>
        </w:rPr>
        <w:t>Coruña</w:t>
      </w:r>
      <w:proofErr w:type="spellEnd"/>
      <w:r w:rsidR="002B1E17" w:rsidRPr="002B1E17">
        <w:rPr>
          <w:rFonts w:ascii="Times New Roman" w:hAnsi="Times New Roman" w:cs="Times New Roman"/>
          <w:sz w:val="24"/>
          <w:szCs w:val="24"/>
        </w:rPr>
        <w:t xml:space="preserve"> en procedimiento de </w:t>
      </w:r>
      <w:proofErr w:type="spellStart"/>
      <w:r w:rsidR="002B1E17" w:rsidRPr="002B1E17">
        <w:rPr>
          <w:rFonts w:ascii="Times New Roman" w:hAnsi="Times New Roman" w:cs="Times New Roman"/>
          <w:sz w:val="24"/>
          <w:szCs w:val="24"/>
        </w:rPr>
        <w:t>ejecución</w:t>
      </w:r>
      <w:proofErr w:type="spellEnd"/>
      <w:r w:rsidR="002B1E17" w:rsidRPr="002B1E17">
        <w:rPr>
          <w:rFonts w:ascii="Times New Roman" w:hAnsi="Times New Roman" w:cs="Times New Roman"/>
          <w:sz w:val="24"/>
          <w:szCs w:val="24"/>
        </w:rPr>
        <w:t xml:space="preserve"> de </w:t>
      </w:r>
      <w:proofErr w:type="spellStart"/>
      <w:r w:rsidR="002B1E17" w:rsidRPr="002B1E17">
        <w:rPr>
          <w:rFonts w:ascii="Times New Roman" w:hAnsi="Times New Roman" w:cs="Times New Roman"/>
          <w:sz w:val="24"/>
          <w:szCs w:val="24"/>
        </w:rPr>
        <w:t>títulos</w:t>
      </w:r>
      <w:proofErr w:type="spellEnd"/>
      <w:r w:rsidR="002B1E17" w:rsidRPr="002B1E17">
        <w:rPr>
          <w:rFonts w:ascii="Times New Roman" w:hAnsi="Times New Roman" w:cs="Times New Roman"/>
          <w:sz w:val="24"/>
          <w:szCs w:val="24"/>
        </w:rPr>
        <w:t xml:space="preserve"> judiciales. </w:t>
      </w:r>
      <w:proofErr w:type="spellStart"/>
      <w:r w:rsidR="002B1E17" w:rsidRPr="002B1E17">
        <w:rPr>
          <w:rFonts w:ascii="Times New Roman" w:hAnsi="Times New Roman" w:cs="Times New Roman"/>
          <w:sz w:val="24"/>
          <w:szCs w:val="24"/>
        </w:rPr>
        <w:t>Vulneración</w:t>
      </w:r>
      <w:proofErr w:type="spellEnd"/>
      <w:r w:rsidR="002B1E17" w:rsidRPr="002B1E17">
        <w:rPr>
          <w:rFonts w:ascii="Times New Roman" w:hAnsi="Times New Roman" w:cs="Times New Roman"/>
          <w:sz w:val="24"/>
          <w:szCs w:val="24"/>
        </w:rPr>
        <w:t xml:space="preserve"> del derecho a la tutela judicial efectiva (</w:t>
      </w:r>
      <w:proofErr w:type="spellStart"/>
      <w:r w:rsidR="002B1E17" w:rsidRPr="002B1E17">
        <w:rPr>
          <w:rFonts w:ascii="Times New Roman" w:hAnsi="Times New Roman" w:cs="Times New Roman"/>
          <w:sz w:val="24"/>
          <w:szCs w:val="24"/>
        </w:rPr>
        <w:t>motivación</w:t>
      </w:r>
      <w:proofErr w:type="spellEnd"/>
      <w:r w:rsidR="002B1E17" w:rsidRPr="002B1E17">
        <w:rPr>
          <w:rFonts w:ascii="Times New Roman" w:hAnsi="Times New Roman" w:cs="Times New Roman"/>
          <w:sz w:val="24"/>
          <w:szCs w:val="24"/>
        </w:rPr>
        <w:t xml:space="preserve">): ausencia de control judicial de las </w:t>
      </w:r>
      <w:proofErr w:type="spellStart"/>
      <w:r w:rsidR="002B1E17" w:rsidRPr="002B1E17">
        <w:rPr>
          <w:rFonts w:ascii="Times New Roman" w:hAnsi="Times New Roman" w:cs="Times New Roman"/>
          <w:sz w:val="24"/>
          <w:szCs w:val="24"/>
        </w:rPr>
        <w:t>cláusulas</w:t>
      </w:r>
      <w:proofErr w:type="spellEnd"/>
      <w:r w:rsidR="002B1E17" w:rsidRPr="002B1E17">
        <w:rPr>
          <w:rFonts w:ascii="Times New Roman" w:hAnsi="Times New Roman" w:cs="Times New Roman"/>
          <w:sz w:val="24"/>
          <w:szCs w:val="24"/>
        </w:rPr>
        <w:t xml:space="preserve"> abusivas que desconoce la </w:t>
      </w:r>
      <w:proofErr w:type="spellStart"/>
      <w:r w:rsidR="002B1E17" w:rsidRPr="002B1E17">
        <w:rPr>
          <w:rFonts w:ascii="Times New Roman" w:hAnsi="Times New Roman" w:cs="Times New Roman"/>
          <w:sz w:val="24"/>
          <w:szCs w:val="24"/>
        </w:rPr>
        <w:t>primacía</w:t>
      </w:r>
      <w:proofErr w:type="spellEnd"/>
      <w:r w:rsidR="002B1E17" w:rsidRPr="002B1E17">
        <w:rPr>
          <w:rFonts w:ascii="Times New Roman" w:hAnsi="Times New Roman" w:cs="Times New Roman"/>
          <w:sz w:val="24"/>
          <w:szCs w:val="24"/>
        </w:rPr>
        <w:t xml:space="preserve"> del Derecho de la </w:t>
      </w:r>
      <w:proofErr w:type="spellStart"/>
      <w:r w:rsidR="002B1E17" w:rsidRPr="002B1E17">
        <w:rPr>
          <w:rFonts w:ascii="Times New Roman" w:hAnsi="Times New Roman" w:cs="Times New Roman"/>
          <w:sz w:val="24"/>
          <w:szCs w:val="24"/>
        </w:rPr>
        <w:t>Unión</w:t>
      </w:r>
      <w:proofErr w:type="spellEnd"/>
      <w:r w:rsidR="002B1E17" w:rsidRPr="002B1E17">
        <w:rPr>
          <w:rFonts w:ascii="Times New Roman" w:hAnsi="Times New Roman" w:cs="Times New Roman"/>
          <w:sz w:val="24"/>
          <w:szCs w:val="24"/>
        </w:rPr>
        <w:t xml:space="preserve"> Europea y la jurisprudencia del Tribunal de Justicia (STC 31/2019)».</w:t>
      </w:r>
    </w:p>
    <w:p w14:paraId="201E3E5C" w14:textId="585F76E9" w:rsidR="002B1E17" w:rsidRPr="002B1E17" w:rsidRDefault="00C37DE5" w:rsidP="002B1E17">
      <w:pPr>
        <w:spacing w:after="240"/>
        <w:jc w:val="both"/>
        <w:rPr>
          <w:rFonts w:ascii="Times New Roman" w:hAnsi="Times New Roman" w:cs="Times New Roman"/>
          <w:sz w:val="24"/>
          <w:szCs w:val="24"/>
        </w:rPr>
      </w:pPr>
      <w:hyperlink r:id="rId19" w:history="1">
        <w:r w:rsidR="002B1E17" w:rsidRPr="002B1E17">
          <w:rPr>
            <w:rStyle w:val="Hipervnculo"/>
            <w:rFonts w:ascii="Times New Roman" w:hAnsi="Times New Roman" w:cs="Times New Roman"/>
            <w:sz w:val="24"/>
            <w:szCs w:val="24"/>
          </w:rPr>
          <w:t>Pleno. Sentencia 16/2021, de 28 de enero de 2021</w:t>
        </w:r>
      </w:hyperlink>
      <w:r w:rsidR="002B1E17" w:rsidRPr="002B1E17">
        <w:rPr>
          <w:rFonts w:ascii="Times New Roman" w:hAnsi="Times New Roman" w:cs="Times New Roman"/>
          <w:sz w:val="24"/>
          <w:szCs w:val="24"/>
        </w:rPr>
        <w:t xml:space="preserve">. «Recurso de inconstitucionalidad 2577-2020. Interpuesto por </w:t>
      </w:r>
      <w:proofErr w:type="spellStart"/>
      <w:r w:rsidR="002B1E17" w:rsidRPr="002B1E17">
        <w:rPr>
          <w:rFonts w:ascii="Times New Roman" w:hAnsi="Times New Roman" w:cs="Times New Roman"/>
          <w:sz w:val="24"/>
          <w:szCs w:val="24"/>
        </w:rPr>
        <w:t>más</w:t>
      </w:r>
      <w:proofErr w:type="spellEnd"/>
      <w:r w:rsidR="002B1E17" w:rsidRPr="002B1E17">
        <w:rPr>
          <w:rFonts w:ascii="Times New Roman" w:hAnsi="Times New Roman" w:cs="Times New Roman"/>
          <w:sz w:val="24"/>
          <w:szCs w:val="24"/>
        </w:rPr>
        <w:t xml:space="preserve"> de cincuenta diputados del Grupo Parlamentario Popular del Congreso respecto de los Decretos- leyes del Gobierno de la Generalitat de </w:t>
      </w:r>
      <w:proofErr w:type="spellStart"/>
      <w:r w:rsidR="002B1E17" w:rsidRPr="002B1E17">
        <w:rPr>
          <w:rFonts w:ascii="Times New Roman" w:hAnsi="Times New Roman" w:cs="Times New Roman"/>
          <w:sz w:val="24"/>
          <w:szCs w:val="24"/>
        </w:rPr>
        <w:t>Cataluña</w:t>
      </w:r>
      <w:proofErr w:type="spellEnd"/>
      <w:r w:rsidR="002B1E17" w:rsidRPr="002B1E17">
        <w:rPr>
          <w:rFonts w:ascii="Times New Roman" w:hAnsi="Times New Roman" w:cs="Times New Roman"/>
          <w:sz w:val="24"/>
          <w:szCs w:val="24"/>
        </w:rPr>
        <w:t xml:space="preserve"> 17/2019, de 23 de diciembre, de medidas urgentes para mejorar el acceso a la vivienda, y 1/2020, de 21 de enero, por el que se modifica el anterior, y el acuerdo del Parlamento </w:t>
      </w:r>
      <w:proofErr w:type="spellStart"/>
      <w:r w:rsidR="002B1E17" w:rsidRPr="002B1E17">
        <w:rPr>
          <w:rFonts w:ascii="Times New Roman" w:hAnsi="Times New Roman" w:cs="Times New Roman"/>
          <w:sz w:val="24"/>
          <w:szCs w:val="24"/>
        </w:rPr>
        <w:t>Cataluña</w:t>
      </w:r>
      <w:proofErr w:type="spellEnd"/>
      <w:r w:rsidR="002B1E17" w:rsidRPr="002B1E17">
        <w:rPr>
          <w:rFonts w:ascii="Times New Roman" w:hAnsi="Times New Roman" w:cs="Times New Roman"/>
          <w:sz w:val="24"/>
          <w:szCs w:val="24"/>
        </w:rPr>
        <w:t xml:space="preserve"> de </w:t>
      </w:r>
      <w:proofErr w:type="spellStart"/>
      <w:r w:rsidR="002B1E17" w:rsidRPr="002B1E17">
        <w:rPr>
          <w:rFonts w:ascii="Times New Roman" w:hAnsi="Times New Roman" w:cs="Times New Roman"/>
          <w:sz w:val="24"/>
          <w:szCs w:val="24"/>
        </w:rPr>
        <w:t>convalidación</w:t>
      </w:r>
      <w:proofErr w:type="spellEnd"/>
      <w:r w:rsidR="002B1E17" w:rsidRPr="002B1E17">
        <w:rPr>
          <w:rFonts w:ascii="Times New Roman" w:hAnsi="Times New Roman" w:cs="Times New Roman"/>
          <w:sz w:val="24"/>
          <w:szCs w:val="24"/>
        </w:rPr>
        <w:t xml:space="preserve"> del Decreto-ley 1/2020. </w:t>
      </w:r>
      <w:proofErr w:type="spellStart"/>
      <w:r w:rsidR="002B1E17" w:rsidRPr="002B1E17">
        <w:rPr>
          <w:rFonts w:ascii="Times New Roman" w:hAnsi="Times New Roman" w:cs="Times New Roman"/>
          <w:sz w:val="24"/>
          <w:szCs w:val="24"/>
        </w:rPr>
        <w:t>Límites</w:t>
      </w:r>
      <w:proofErr w:type="spellEnd"/>
      <w:r w:rsidR="002B1E17" w:rsidRPr="002B1E17">
        <w:rPr>
          <w:rFonts w:ascii="Times New Roman" w:hAnsi="Times New Roman" w:cs="Times New Roman"/>
          <w:sz w:val="24"/>
          <w:szCs w:val="24"/>
        </w:rPr>
        <w:t xml:space="preserve"> de los decretos-leyes: nulidad parcial de los preceptos que tipifican como supuesto de incumplimiento de la </w:t>
      </w:r>
      <w:proofErr w:type="spellStart"/>
      <w:r w:rsidR="002B1E17" w:rsidRPr="002B1E17">
        <w:rPr>
          <w:rFonts w:ascii="Times New Roman" w:hAnsi="Times New Roman" w:cs="Times New Roman"/>
          <w:sz w:val="24"/>
          <w:szCs w:val="24"/>
        </w:rPr>
        <w:t>función</w:t>
      </w:r>
      <w:proofErr w:type="spellEnd"/>
      <w:r w:rsidR="002B1E17" w:rsidRPr="002B1E17">
        <w:rPr>
          <w:rFonts w:ascii="Times New Roman" w:hAnsi="Times New Roman" w:cs="Times New Roman"/>
          <w:sz w:val="24"/>
          <w:szCs w:val="24"/>
        </w:rPr>
        <w:t xml:space="preserve"> social de la propiedad de la vivienda su </w:t>
      </w:r>
      <w:proofErr w:type="spellStart"/>
      <w:r w:rsidR="002B1E17" w:rsidRPr="002B1E17">
        <w:rPr>
          <w:rFonts w:ascii="Times New Roman" w:hAnsi="Times New Roman" w:cs="Times New Roman"/>
          <w:sz w:val="24"/>
          <w:szCs w:val="24"/>
        </w:rPr>
        <w:t>desocupación</w:t>
      </w:r>
      <w:proofErr w:type="spellEnd"/>
      <w:r w:rsidR="002B1E17" w:rsidRPr="002B1E17">
        <w:rPr>
          <w:rFonts w:ascii="Times New Roman" w:hAnsi="Times New Roman" w:cs="Times New Roman"/>
          <w:sz w:val="24"/>
          <w:szCs w:val="24"/>
        </w:rPr>
        <w:t xml:space="preserve"> permanente y establecen medidas coactivas para su cumplimiento (STC 93/2015)».</w:t>
      </w:r>
    </w:p>
    <w:p w14:paraId="434B0DEA" w14:textId="701EB65B" w:rsidR="002B1E17" w:rsidRDefault="00C37DE5" w:rsidP="002B1E17">
      <w:pPr>
        <w:spacing w:after="240"/>
        <w:jc w:val="both"/>
        <w:rPr>
          <w:rFonts w:ascii="Times New Roman" w:hAnsi="Times New Roman" w:cs="Times New Roman"/>
          <w:sz w:val="24"/>
          <w:szCs w:val="24"/>
        </w:rPr>
      </w:pPr>
      <w:hyperlink r:id="rId20" w:history="1">
        <w:r w:rsidR="002B1E17" w:rsidRPr="002B1E17">
          <w:rPr>
            <w:rStyle w:val="Hipervnculo"/>
            <w:rFonts w:ascii="Times New Roman" w:hAnsi="Times New Roman" w:cs="Times New Roman"/>
            <w:sz w:val="24"/>
            <w:szCs w:val="24"/>
          </w:rPr>
          <w:t>Sala Primera. Sentencia 24/2021, de 15 de febrero de 2021</w:t>
        </w:r>
      </w:hyperlink>
      <w:r w:rsidR="002B1E17" w:rsidRPr="002B1E17">
        <w:rPr>
          <w:rFonts w:ascii="Times New Roman" w:hAnsi="Times New Roman" w:cs="Times New Roman"/>
          <w:sz w:val="24"/>
          <w:szCs w:val="24"/>
        </w:rPr>
        <w:t xml:space="preserve">. «Recurso de amparo 5564-2019. Promovido por don </w:t>
      </w:r>
      <w:proofErr w:type="spellStart"/>
      <w:r w:rsidR="002B1E17" w:rsidRPr="002B1E17">
        <w:rPr>
          <w:rFonts w:ascii="Times New Roman" w:hAnsi="Times New Roman" w:cs="Times New Roman"/>
          <w:sz w:val="24"/>
          <w:szCs w:val="24"/>
        </w:rPr>
        <w:t>Ousmane</w:t>
      </w:r>
      <w:proofErr w:type="spellEnd"/>
      <w:r w:rsidR="002B1E17" w:rsidRPr="002B1E17">
        <w:rPr>
          <w:rFonts w:ascii="Times New Roman" w:hAnsi="Times New Roman" w:cs="Times New Roman"/>
          <w:sz w:val="24"/>
          <w:szCs w:val="24"/>
        </w:rPr>
        <w:t xml:space="preserve"> </w:t>
      </w:r>
      <w:proofErr w:type="spellStart"/>
      <w:r w:rsidR="002B1E17" w:rsidRPr="002B1E17">
        <w:rPr>
          <w:rFonts w:ascii="Times New Roman" w:hAnsi="Times New Roman" w:cs="Times New Roman"/>
          <w:sz w:val="24"/>
          <w:szCs w:val="24"/>
        </w:rPr>
        <w:t>Kebe</w:t>
      </w:r>
      <w:proofErr w:type="spellEnd"/>
      <w:r w:rsidR="002B1E17" w:rsidRPr="002B1E17">
        <w:rPr>
          <w:rFonts w:ascii="Times New Roman" w:hAnsi="Times New Roman" w:cs="Times New Roman"/>
          <w:sz w:val="24"/>
          <w:szCs w:val="24"/>
        </w:rPr>
        <w:t xml:space="preserve"> </w:t>
      </w:r>
      <w:proofErr w:type="spellStart"/>
      <w:r w:rsidR="002B1E17" w:rsidRPr="002B1E17">
        <w:rPr>
          <w:rFonts w:ascii="Times New Roman" w:hAnsi="Times New Roman" w:cs="Times New Roman"/>
          <w:sz w:val="24"/>
          <w:szCs w:val="24"/>
        </w:rPr>
        <w:t>Ndiaye</w:t>
      </w:r>
      <w:proofErr w:type="spellEnd"/>
      <w:r w:rsidR="002B1E17" w:rsidRPr="002B1E17">
        <w:rPr>
          <w:rFonts w:ascii="Times New Roman" w:hAnsi="Times New Roman" w:cs="Times New Roman"/>
          <w:sz w:val="24"/>
          <w:szCs w:val="24"/>
        </w:rPr>
        <w:t xml:space="preserve"> respecto de las resoluciones dictadas por un juzgado de primera instancia de </w:t>
      </w:r>
      <w:proofErr w:type="spellStart"/>
      <w:r w:rsidR="002B1E17" w:rsidRPr="002B1E17">
        <w:rPr>
          <w:rFonts w:ascii="Times New Roman" w:hAnsi="Times New Roman" w:cs="Times New Roman"/>
          <w:sz w:val="24"/>
          <w:szCs w:val="24"/>
        </w:rPr>
        <w:t>Granollers</w:t>
      </w:r>
      <w:proofErr w:type="spellEnd"/>
      <w:r w:rsidR="002B1E17" w:rsidRPr="002B1E17">
        <w:rPr>
          <w:rFonts w:ascii="Times New Roman" w:hAnsi="Times New Roman" w:cs="Times New Roman"/>
          <w:sz w:val="24"/>
          <w:szCs w:val="24"/>
        </w:rPr>
        <w:t xml:space="preserve"> (Barcelona) en procedimiento de ejecución hipotecaria. Vulneración del derecho a la tutela judicial efectiva (motivación): STC 31/2019 (ausencia de control judicial de las cláusulas abusivas que desconoce la primacía del Derecho de la Unión Europea y la jurisprudencia del Tribunal de Justicia)».</w:t>
      </w:r>
    </w:p>
    <w:p w14:paraId="6546AB9B" w14:textId="7F8A4405" w:rsidR="00C70BDE" w:rsidRPr="002B1E17" w:rsidRDefault="00C37DE5" w:rsidP="002B1E17">
      <w:pPr>
        <w:spacing w:after="240"/>
        <w:jc w:val="both"/>
        <w:rPr>
          <w:rFonts w:ascii="Times New Roman" w:hAnsi="Times New Roman" w:cs="Times New Roman"/>
          <w:sz w:val="24"/>
          <w:szCs w:val="24"/>
        </w:rPr>
      </w:pPr>
      <w:hyperlink r:id="rId21" w:history="1">
        <w:r w:rsidR="00C70BDE" w:rsidRPr="00C70BDE">
          <w:rPr>
            <w:rStyle w:val="Hipervnculo"/>
            <w:rFonts w:ascii="Times New Roman" w:hAnsi="Times New Roman" w:cs="Times New Roman"/>
            <w:sz w:val="24"/>
            <w:szCs w:val="24"/>
          </w:rPr>
          <w:t>Sala Segunda. Sentencia 50/2021, de 3 de marzo de 2021</w:t>
        </w:r>
      </w:hyperlink>
      <w:r w:rsidR="00C70BDE">
        <w:rPr>
          <w:rFonts w:ascii="Times New Roman" w:hAnsi="Times New Roman" w:cs="Times New Roman"/>
          <w:sz w:val="24"/>
          <w:szCs w:val="24"/>
        </w:rPr>
        <w:t xml:space="preserve">. </w:t>
      </w:r>
      <w:r w:rsidR="00C70BDE" w:rsidRPr="002B1E17">
        <w:rPr>
          <w:rFonts w:ascii="Times New Roman" w:hAnsi="Times New Roman" w:cs="Times New Roman"/>
          <w:sz w:val="24"/>
          <w:szCs w:val="24"/>
        </w:rPr>
        <w:t>«</w:t>
      </w:r>
      <w:r w:rsidR="00C70BDE" w:rsidRPr="00C70BDE">
        <w:rPr>
          <w:rFonts w:ascii="Times New Roman" w:hAnsi="Times New Roman" w:cs="Times New Roman"/>
          <w:sz w:val="24"/>
          <w:szCs w:val="24"/>
        </w:rPr>
        <w:t xml:space="preserve">Recurso de amparo 7580-2019. Promovido por don Hugo </w:t>
      </w:r>
      <w:proofErr w:type="spellStart"/>
      <w:r w:rsidR="00C70BDE" w:rsidRPr="00C70BDE">
        <w:rPr>
          <w:rFonts w:ascii="Times New Roman" w:hAnsi="Times New Roman" w:cs="Times New Roman"/>
          <w:sz w:val="24"/>
          <w:szCs w:val="24"/>
        </w:rPr>
        <w:t>Martín</w:t>
      </w:r>
      <w:proofErr w:type="spellEnd"/>
      <w:r w:rsidR="00C70BDE" w:rsidRPr="00C70BDE">
        <w:rPr>
          <w:rFonts w:ascii="Times New Roman" w:hAnsi="Times New Roman" w:cs="Times New Roman"/>
          <w:sz w:val="24"/>
          <w:szCs w:val="24"/>
        </w:rPr>
        <w:t xml:space="preserve"> Francisco </w:t>
      </w:r>
      <w:proofErr w:type="spellStart"/>
      <w:r w:rsidR="00C70BDE" w:rsidRPr="00C70BDE">
        <w:rPr>
          <w:rFonts w:ascii="Times New Roman" w:hAnsi="Times New Roman" w:cs="Times New Roman"/>
          <w:sz w:val="24"/>
          <w:szCs w:val="24"/>
        </w:rPr>
        <w:t>Ravanelli</w:t>
      </w:r>
      <w:proofErr w:type="spellEnd"/>
      <w:r w:rsidR="00C70BDE" w:rsidRPr="00C70BDE">
        <w:rPr>
          <w:rFonts w:ascii="Times New Roman" w:hAnsi="Times New Roman" w:cs="Times New Roman"/>
          <w:sz w:val="24"/>
          <w:szCs w:val="24"/>
        </w:rPr>
        <w:t xml:space="preserve"> respecto de las resoluciones dictadas por un juzgado de primera instancia de </w:t>
      </w:r>
      <w:proofErr w:type="spellStart"/>
      <w:r w:rsidR="00C70BDE" w:rsidRPr="00C70BDE">
        <w:rPr>
          <w:rFonts w:ascii="Times New Roman" w:hAnsi="Times New Roman" w:cs="Times New Roman"/>
          <w:sz w:val="24"/>
          <w:szCs w:val="24"/>
        </w:rPr>
        <w:t>Gava</w:t>
      </w:r>
      <w:proofErr w:type="spellEnd"/>
      <w:r w:rsidR="00C70BDE" w:rsidRPr="00C70BDE">
        <w:rPr>
          <w:rFonts w:ascii="Times New Roman" w:hAnsi="Times New Roman" w:cs="Times New Roman"/>
          <w:sz w:val="24"/>
          <w:szCs w:val="24"/>
        </w:rPr>
        <w:t xml:space="preserve">̀ (Barcelona) en procedimiento de </w:t>
      </w:r>
      <w:proofErr w:type="spellStart"/>
      <w:r w:rsidR="00C70BDE" w:rsidRPr="00C70BDE">
        <w:rPr>
          <w:rFonts w:ascii="Times New Roman" w:hAnsi="Times New Roman" w:cs="Times New Roman"/>
          <w:sz w:val="24"/>
          <w:szCs w:val="24"/>
        </w:rPr>
        <w:t>ejecución</w:t>
      </w:r>
      <w:proofErr w:type="spellEnd"/>
      <w:r w:rsidR="00C70BDE" w:rsidRPr="00C70BDE">
        <w:rPr>
          <w:rFonts w:ascii="Times New Roman" w:hAnsi="Times New Roman" w:cs="Times New Roman"/>
          <w:sz w:val="24"/>
          <w:szCs w:val="24"/>
        </w:rPr>
        <w:t xml:space="preserve"> de </w:t>
      </w:r>
      <w:proofErr w:type="spellStart"/>
      <w:r w:rsidR="00C70BDE" w:rsidRPr="00C70BDE">
        <w:rPr>
          <w:rFonts w:ascii="Times New Roman" w:hAnsi="Times New Roman" w:cs="Times New Roman"/>
          <w:sz w:val="24"/>
          <w:szCs w:val="24"/>
        </w:rPr>
        <w:t>títulos</w:t>
      </w:r>
      <w:proofErr w:type="spellEnd"/>
      <w:r w:rsidR="00C70BDE" w:rsidRPr="00C70BDE">
        <w:rPr>
          <w:rFonts w:ascii="Times New Roman" w:hAnsi="Times New Roman" w:cs="Times New Roman"/>
          <w:sz w:val="24"/>
          <w:szCs w:val="24"/>
        </w:rPr>
        <w:t xml:space="preserve"> no judiciales. </w:t>
      </w:r>
      <w:proofErr w:type="spellStart"/>
      <w:r w:rsidR="00C70BDE" w:rsidRPr="00C70BDE">
        <w:rPr>
          <w:rFonts w:ascii="Times New Roman" w:hAnsi="Times New Roman" w:cs="Times New Roman"/>
          <w:sz w:val="24"/>
          <w:szCs w:val="24"/>
        </w:rPr>
        <w:t>Vulneración</w:t>
      </w:r>
      <w:proofErr w:type="spellEnd"/>
      <w:r w:rsidR="00C70BDE" w:rsidRPr="00C70BDE">
        <w:rPr>
          <w:rFonts w:ascii="Times New Roman" w:hAnsi="Times New Roman" w:cs="Times New Roman"/>
          <w:sz w:val="24"/>
          <w:szCs w:val="24"/>
        </w:rPr>
        <w:t xml:space="preserve"> del derecho a la tutela judicial efectiva (</w:t>
      </w:r>
      <w:proofErr w:type="spellStart"/>
      <w:r w:rsidR="00C70BDE" w:rsidRPr="00C70BDE">
        <w:rPr>
          <w:rFonts w:ascii="Times New Roman" w:hAnsi="Times New Roman" w:cs="Times New Roman"/>
          <w:sz w:val="24"/>
          <w:szCs w:val="24"/>
        </w:rPr>
        <w:t>motivación</w:t>
      </w:r>
      <w:proofErr w:type="spellEnd"/>
      <w:r w:rsidR="00C70BDE" w:rsidRPr="00C70BDE">
        <w:rPr>
          <w:rFonts w:ascii="Times New Roman" w:hAnsi="Times New Roman" w:cs="Times New Roman"/>
          <w:sz w:val="24"/>
          <w:szCs w:val="24"/>
        </w:rPr>
        <w:t xml:space="preserve">): STC 31/2019 (ausencia de control judicial de las </w:t>
      </w:r>
      <w:proofErr w:type="spellStart"/>
      <w:r w:rsidR="00C70BDE" w:rsidRPr="00C70BDE">
        <w:rPr>
          <w:rFonts w:ascii="Times New Roman" w:hAnsi="Times New Roman" w:cs="Times New Roman"/>
          <w:sz w:val="24"/>
          <w:szCs w:val="24"/>
        </w:rPr>
        <w:t>cláusulas</w:t>
      </w:r>
      <w:proofErr w:type="spellEnd"/>
      <w:r w:rsidR="00C70BDE" w:rsidRPr="00C70BDE">
        <w:rPr>
          <w:rFonts w:ascii="Times New Roman" w:hAnsi="Times New Roman" w:cs="Times New Roman"/>
          <w:sz w:val="24"/>
          <w:szCs w:val="24"/>
        </w:rPr>
        <w:t xml:space="preserve"> abusivas que desconoce la </w:t>
      </w:r>
      <w:proofErr w:type="spellStart"/>
      <w:r w:rsidR="00C70BDE" w:rsidRPr="00C70BDE">
        <w:rPr>
          <w:rFonts w:ascii="Times New Roman" w:hAnsi="Times New Roman" w:cs="Times New Roman"/>
          <w:sz w:val="24"/>
          <w:szCs w:val="24"/>
        </w:rPr>
        <w:t>primacía</w:t>
      </w:r>
      <w:proofErr w:type="spellEnd"/>
      <w:r w:rsidR="00C70BDE" w:rsidRPr="00C70BDE">
        <w:rPr>
          <w:rFonts w:ascii="Times New Roman" w:hAnsi="Times New Roman" w:cs="Times New Roman"/>
          <w:sz w:val="24"/>
          <w:szCs w:val="24"/>
        </w:rPr>
        <w:t xml:space="preserve"> del Derecho de la </w:t>
      </w:r>
      <w:proofErr w:type="spellStart"/>
      <w:r w:rsidR="00C70BDE" w:rsidRPr="00C70BDE">
        <w:rPr>
          <w:rFonts w:ascii="Times New Roman" w:hAnsi="Times New Roman" w:cs="Times New Roman"/>
          <w:sz w:val="24"/>
          <w:szCs w:val="24"/>
        </w:rPr>
        <w:t>Unión</w:t>
      </w:r>
      <w:proofErr w:type="spellEnd"/>
      <w:r w:rsidR="00C70BDE" w:rsidRPr="00C70BDE">
        <w:rPr>
          <w:rFonts w:ascii="Times New Roman" w:hAnsi="Times New Roman" w:cs="Times New Roman"/>
          <w:sz w:val="24"/>
          <w:szCs w:val="24"/>
        </w:rPr>
        <w:t xml:space="preserve"> Europea y la jurisprudencia del Tribunal de Justicia). Voto particular</w:t>
      </w:r>
      <w:r w:rsidR="00C70BDE" w:rsidRPr="002B1E17">
        <w:rPr>
          <w:rFonts w:ascii="Times New Roman" w:hAnsi="Times New Roman" w:cs="Times New Roman"/>
          <w:sz w:val="24"/>
          <w:szCs w:val="24"/>
        </w:rPr>
        <w:t>»</w:t>
      </w:r>
      <w:r w:rsidR="00C70BDE" w:rsidRPr="00C70BDE">
        <w:rPr>
          <w:rFonts w:ascii="Times New Roman" w:hAnsi="Times New Roman" w:cs="Times New Roman"/>
          <w:sz w:val="24"/>
          <w:szCs w:val="24"/>
        </w:rPr>
        <w:t>.</w:t>
      </w:r>
    </w:p>
    <w:p w14:paraId="5543550F" w14:textId="77777777" w:rsidR="000260EA" w:rsidRDefault="000260EA" w:rsidP="008B032C">
      <w:pPr>
        <w:spacing w:after="240"/>
        <w:jc w:val="both"/>
        <w:rPr>
          <w:rFonts w:ascii="Times New Roman" w:hAnsi="Times New Roman" w:cs="Times New Roman"/>
          <w:b/>
          <w:bCs/>
          <w:sz w:val="24"/>
          <w:szCs w:val="24"/>
        </w:rPr>
      </w:pPr>
    </w:p>
    <w:p w14:paraId="31619038" w14:textId="13230262" w:rsidR="002B1E17" w:rsidRDefault="008B032C" w:rsidP="008B032C">
      <w:pPr>
        <w:spacing w:after="240"/>
        <w:jc w:val="both"/>
        <w:rPr>
          <w:rFonts w:ascii="Times New Roman" w:hAnsi="Times New Roman" w:cs="Times New Roman"/>
          <w:b/>
          <w:bCs/>
          <w:sz w:val="24"/>
          <w:szCs w:val="24"/>
        </w:rPr>
      </w:pPr>
      <w:r>
        <w:rPr>
          <w:rFonts w:ascii="Times New Roman" w:hAnsi="Times New Roman" w:cs="Times New Roman"/>
          <w:b/>
          <w:bCs/>
          <w:sz w:val="24"/>
          <w:szCs w:val="24"/>
        </w:rPr>
        <w:lastRenderedPageBreak/>
        <w:t>Providencia</w:t>
      </w:r>
      <w:r w:rsidR="000260EA">
        <w:rPr>
          <w:rFonts w:ascii="Times New Roman" w:hAnsi="Times New Roman" w:cs="Times New Roman"/>
          <w:b/>
          <w:bCs/>
          <w:sz w:val="24"/>
          <w:szCs w:val="24"/>
        </w:rPr>
        <w:t>s</w:t>
      </w:r>
    </w:p>
    <w:p w14:paraId="6ECBC2B8" w14:textId="38911E64" w:rsidR="008B032C" w:rsidRPr="008B032C" w:rsidRDefault="00C37DE5" w:rsidP="008B032C">
      <w:pPr>
        <w:spacing w:after="240"/>
        <w:jc w:val="both"/>
        <w:rPr>
          <w:rFonts w:ascii="Times New Roman" w:hAnsi="Times New Roman" w:cs="Times New Roman"/>
          <w:sz w:val="24"/>
          <w:szCs w:val="24"/>
        </w:rPr>
      </w:pPr>
      <w:hyperlink r:id="rId22" w:history="1">
        <w:r w:rsidR="008B032C" w:rsidRPr="00C5425C">
          <w:rPr>
            <w:rStyle w:val="Hipervnculo"/>
            <w:rFonts w:ascii="Times New Roman" w:hAnsi="Times New Roman" w:cs="Times New Roman"/>
            <w:sz w:val="24"/>
            <w:szCs w:val="24"/>
          </w:rPr>
          <w:t>Pleno. Providencia de 16 de marzo de 2021</w:t>
        </w:r>
        <w:r w:rsidR="00C5425C" w:rsidRPr="00C5425C">
          <w:rPr>
            <w:rStyle w:val="Hipervnculo"/>
            <w:rFonts w:ascii="Times New Roman" w:hAnsi="Times New Roman" w:cs="Times New Roman"/>
            <w:sz w:val="24"/>
            <w:szCs w:val="24"/>
          </w:rPr>
          <w:t xml:space="preserve"> (Nº de asunto: 998-2021)</w:t>
        </w:r>
      </w:hyperlink>
      <w:r w:rsidR="008B032C">
        <w:rPr>
          <w:rFonts w:ascii="Times New Roman" w:hAnsi="Times New Roman" w:cs="Times New Roman"/>
          <w:sz w:val="24"/>
          <w:szCs w:val="24"/>
        </w:rPr>
        <w:t>. Admisión a trámite del “recurso de inconstitucionalidad promovido por más de cincuenta Diputados del Grupo Parlamentario Popular en el Congreso y, en su representación, por el procurador don Manuel Sánchez-</w:t>
      </w:r>
      <w:proofErr w:type="spellStart"/>
      <w:r w:rsidR="008B032C">
        <w:rPr>
          <w:rFonts w:ascii="Times New Roman" w:hAnsi="Times New Roman" w:cs="Times New Roman"/>
          <w:sz w:val="24"/>
          <w:szCs w:val="24"/>
        </w:rPr>
        <w:t>Puelles</w:t>
      </w:r>
      <w:proofErr w:type="spellEnd"/>
      <w:r w:rsidR="008B032C">
        <w:rPr>
          <w:rFonts w:ascii="Times New Roman" w:hAnsi="Times New Roman" w:cs="Times New Roman"/>
          <w:sz w:val="24"/>
          <w:szCs w:val="24"/>
        </w:rPr>
        <w:t xml:space="preserve"> y González-Carvajal, en relación con diversos incisos y prec</w:t>
      </w:r>
      <w:r w:rsidR="00C47765">
        <w:rPr>
          <w:rFonts w:ascii="Times New Roman" w:hAnsi="Times New Roman" w:cs="Times New Roman"/>
          <w:sz w:val="24"/>
          <w:szCs w:val="24"/>
        </w:rPr>
        <w:t xml:space="preserve">eptos del preámbulo y la disposición final primera del Real Decreto-ley 1/2021, de 19 de enero, de protección de los consumidores y usuarios frente a situaciones de vulnerabilidad social y económica, que modifica el Real Decreto-ley 11/2020, de 31 de marzo, por el que se adoptan medidas urgentes complementarias en el ámbito social y económico para hacer frente a la COVID-19” </w:t>
      </w:r>
      <w:r w:rsidR="00C5425C" w:rsidRPr="00C5425C">
        <w:rPr>
          <w:rFonts w:ascii="Times New Roman" w:hAnsi="Times New Roman" w:cs="Times New Roman"/>
          <w:sz w:val="24"/>
          <w:szCs w:val="24"/>
        </w:rPr>
        <w:t>(</w:t>
      </w:r>
      <w:hyperlink r:id="rId23" w:history="1">
        <w:r w:rsidR="00C5425C" w:rsidRPr="00C5425C">
          <w:rPr>
            <w:rStyle w:val="Hipervnculo"/>
            <w:rFonts w:ascii="Times New Roman" w:hAnsi="Times New Roman" w:cs="Times New Roman"/>
            <w:sz w:val="24"/>
            <w:szCs w:val="24"/>
          </w:rPr>
          <w:t>BOE nº 70, de 23 de marzo de 2021</w:t>
        </w:r>
      </w:hyperlink>
      <w:r w:rsidR="00C5425C" w:rsidRPr="00C5425C">
        <w:rPr>
          <w:rFonts w:ascii="Times New Roman" w:hAnsi="Times New Roman" w:cs="Times New Roman"/>
          <w:sz w:val="24"/>
          <w:szCs w:val="24"/>
        </w:rPr>
        <w:t>)</w:t>
      </w:r>
      <w:r w:rsidR="00C47765">
        <w:rPr>
          <w:rFonts w:ascii="Times New Roman" w:hAnsi="Times New Roman" w:cs="Times New Roman"/>
          <w:sz w:val="24"/>
          <w:szCs w:val="24"/>
        </w:rPr>
        <w:t xml:space="preserve">. </w:t>
      </w:r>
    </w:p>
    <w:p w14:paraId="514C07E6" w14:textId="4B71CCBF" w:rsidR="002B1E17" w:rsidRPr="002B1E17" w:rsidRDefault="00C37DE5" w:rsidP="002B1E17">
      <w:pPr>
        <w:spacing w:after="240"/>
        <w:jc w:val="center"/>
        <w:rPr>
          <w:rFonts w:ascii="Times New Roman" w:hAnsi="Times New Roman" w:cs="Times New Roman"/>
          <w:b/>
          <w:bCs/>
          <w:sz w:val="24"/>
          <w:szCs w:val="24"/>
        </w:rPr>
      </w:pPr>
      <w:r>
        <w:rPr>
          <w:noProof/>
        </w:rPr>
        <w:pict w14:anchorId="67C89D3E">
          <v:rect id="_x0000_i1029" alt="" style="width:425.2pt;height:.05pt;mso-width-percent:0;mso-height-percent:0;mso-width-percent:0;mso-height-percent:0" o:hralign="center" o:hrstd="t" o:hr="t" fillcolor="#a0a0a0" stroked="f"/>
        </w:pict>
      </w:r>
    </w:p>
    <w:p w14:paraId="128DA054" w14:textId="77777777" w:rsidR="00C47765" w:rsidRDefault="00C47765" w:rsidP="002B1E17">
      <w:pPr>
        <w:spacing w:after="240"/>
        <w:jc w:val="center"/>
        <w:rPr>
          <w:rFonts w:ascii="Times New Roman" w:hAnsi="Times New Roman" w:cs="Times New Roman"/>
          <w:b/>
          <w:bCs/>
          <w:sz w:val="24"/>
          <w:szCs w:val="24"/>
        </w:rPr>
      </w:pPr>
    </w:p>
    <w:p w14:paraId="6CD7E1B6" w14:textId="43A08F62" w:rsidR="002B1E17" w:rsidRPr="002B1E17" w:rsidRDefault="002B1E17" w:rsidP="002B1E17">
      <w:pPr>
        <w:spacing w:after="240"/>
        <w:jc w:val="center"/>
        <w:rPr>
          <w:rFonts w:ascii="Times New Roman" w:hAnsi="Times New Roman" w:cs="Times New Roman"/>
          <w:b/>
          <w:bCs/>
          <w:sz w:val="24"/>
          <w:szCs w:val="24"/>
        </w:rPr>
      </w:pPr>
      <w:r w:rsidRPr="002B1E17">
        <w:rPr>
          <w:rFonts w:ascii="Times New Roman" w:hAnsi="Times New Roman" w:cs="Times New Roman"/>
          <w:b/>
          <w:bCs/>
          <w:sz w:val="24"/>
          <w:szCs w:val="24"/>
        </w:rPr>
        <w:t>TRIBUNAL SUPREMO</w:t>
      </w:r>
      <w:r w:rsidR="00C47765">
        <w:rPr>
          <w:rFonts w:ascii="Times New Roman" w:hAnsi="Times New Roman" w:cs="Times New Roman"/>
          <w:b/>
          <w:bCs/>
          <w:sz w:val="24"/>
          <w:szCs w:val="24"/>
        </w:rPr>
        <w:t xml:space="preserve"> (CENDOJ – Selección)</w:t>
      </w:r>
    </w:p>
    <w:p w14:paraId="20C1650F" w14:textId="77777777" w:rsidR="00C87AA6" w:rsidRPr="00C87AA6" w:rsidRDefault="00C87AA6" w:rsidP="008D4ACD">
      <w:pPr>
        <w:spacing w:after="240"/>
        <w:jc w:val="both"/>
        <w:rPr>
          <w:rFonts w:ascii="Times New Roman" w:hAnsi="Times New Roman" w:cs="Times New Roman"/>
          <w:b/>
          <w:bCs/>
          <w:sz w:val="13"/>
          <w:szCs w:val="13"/>
        </w:rPr>
      </w:pPr>
    </w:p>
    <w:p w14:paraId="1EC25919" w14:textId="3E354222" w:rsidR="00033A21" w:rsidRDefault="00033A21" w:rsidP="008D4ACD">
      <w:pPr>
        <w:spacing w:after="240"/>
        <w:jc w:val="both"/>
        <w:rPr>
          <w:rFonts w:ascii="Times New Roman" w:hAnsi="Times New Roman" w:cs="Times New Roman"/>
          <w:b/>
          <w:bCs/>
          <w:sz w:val="24"/>
          <w:szCs w:val="24"/>
        </w:rPr>
      </w:pPr>
      <w:r>
        <w:rPr>
          <w:rFonts w:ascii="Times New Roman" w:hAnsi="Times New Roman" w:cs="Times New Roman"/>
          <w:b/>
          <w:bCs/>
          <w:sz w:val="24"/>
          <w:szCs w:val="24"/>
        </w:rPr>
        <w:t>Condiciones generales de la contratación</w:t>
      </w:r>
      <w:r w:rsidR="00EF0B8C">
        <w:rPr>
          <w:rFonts w:ascii="Times New Roman" w:hAnsi="Times New Roman" w:cs="Times New Roman"/>
          <w:b/>
          <w:bCs/>
          <w:sz w:val="24"/>
          <w:szCs w:val="24"/>
        </w:rPr>
        <w:t xml:space="preserve">. Adherentes profesionales </w:t>
      </w:r>
    </w:p>
    <w:p w14:paraId="2CF0AACD" w14:textId="56B6CB93" w:rsidR="00033A21" w:rsidRPr="00033A21" w:rsidRDefault="00C37DE5" w:rsidP="008D4ACD">
      <w:pPr>
        <w:spacing w:after="240"/>
        <w:jc w:val="both"/>
        <w:rPr>
          <w:rFonts w:ascii="Times New Roman" w:hAnsi="Times New Roman" w:cs="Times New Roman"/>
          <w:sz w:val="24"/>
          <w:szCs w:val="24"/>
        </w:rPr>
      </w:pPr>
      <w:hyperlink r:id="rId24" w:history="1">
        <w:r w:rsidR="00033A21" w:rsidRPr="00891EF7">
          <w:rPr>
            <w:rStyle w:val="Hipervnculo"/>
            <w:rFonts w:ascii="Times New Roman" w:hAnsi="Times New Roman" w:cs="Times New Roman"/>
            <w:sz w:val="24"/>
            <w:szCs w:val="24"/>
          </w:rPr>
          <w:t>STS, Sala Primera, 130/2021, de 9 de marzo de 2021</w:t>
        </w:r>
      </w:hyperlink>
      <w:r w:rsidR="00033A21">
        <w:rPr>
          <w:rFonts w:ascii="Times New Roman" w:hAnsi="Times New Roman" w:cs="Times New Roman"/>
          <w:sz w:val="24"/>
          <w:szCs w:val="24"/>
        </w:rPr>
        <w:t xml:space="preserve">. </w:t>
      </w:r>
      <w:r w:rsidR="00C967BA">
        <w:rPr>
          <w:rFonts w:ascii="Times New Roman" w:hAnsi="Times New Roman" w:cs="Times New Roman"/>
          <w:sz w:val="24"/>
          <w:szCs w:val="24"/>
        </w:rPr>
        <w:t>“</w:t>
      </w:r>
      <w:r w:rsidR="00033A21" w:rsidRPr="00033A21">
        <w:rPr>
          <w:rFonts w:ascii="Times New Roman" w:hAnsi="Times New Roman" w:cs="Times New Roman"/>
          <w:sz w:val="24"/>
          <w:szCs w:val="24"/>
        </w:rPr>
        <w:t>El control de incorporación de las condiciones generales de la contratación. Ámbito de aplicación y presupuestos. El control de incorporación de las condiciones generales de la contratación con adherentes profesionales. La cláusula suelo</w:t>
      </w:r>
      <w:r w:rsidR="00C967BA">
        <w:rPr>
          <w:rFonts w:ascii="Times New Roman" w:hAnsi="Times New Roman" w:cs="Times New Roman"/>
          <w:sz w:val="24"/>
          <w:szCs w:val="24"/>
        </w:rPr>
        <w:t xml:space="preserve">”. </w:t>
      </w:r>
    </w:p>
    <w:p w14:paraId="2A30B5FC" w14:textId="1598B772" w:rsidR="00C87AA6" w:rsidRDefault="008D4ACD" w:rsidP="008D4ACD">
      <w:pPr>
        <w:spacing w:after="240"/>
        <w:jc w:val="both"/>
        <w:rPr>
          <w:rFonts w:ascii="Times New Roman" w:hAnsi="Times New Roman" w:cs="Times New Roman"/>
          <w:b/>
          <w:bCs/>
          <w:sz w:val="24"/>
          <w:szCs w:val="24"/>
        </w:rPr>
      </w:pPr>
      <w:r>
        <w:rPr>
          <w:rFonts w:ascii="Times New Roman" w:hAnsi="Times New Roman" w:cs="Times New Roman"/>
          <w:b/>
          <w:bCs/>
          <w:sz w:val="24"/>
          <w:szCs w:val="24"/>
        </w:rPr>
        <w:t xml:space="preserve">Préstamos con garantía hipotecaria. </w:t>
      </w:r>
      <w:r w:rsidR="00C87AA6">
        <w:rPr>
          <w:rFonts w:ascii="Times New Roman" w:hAnsi="Times New Roman" w:cs="Times New Roman"/>
          <w:b/>
          <w:bCs/>
          <w:sz w:val="24"/>
          <w:szCs w:val="24"/>
        </w:rPr>
        <w:t xml:space="preserve">Cláusulas abusivas </w:t>
      </w:r>
    </w:p>
    <w:p w14:paraId="49EFCFA0" w14:textId="2587F082" w:rsidR="00C47765" w:rsidRPr="00C87AA6" w:rsidRDefault="00C47765" w:rsidP="00C87AA6">
      <w:pPr>
        <w:pStyle w:val="Prrafodelista"/>
        <w:numPr>
          <w:ilvl w:val="0"/>
          <w:numId w:val="10"/>
        </w:numPr>
        <w:spacing w:after="240"/>
        <w:jc w:val="both"/>
        <w:rPr>
          <w:rFonts w:ascii="Times New Roman" w:hAnsi="Times New Roman" w:cs="Times New Roman"/>
          <w:b/>
          <w:bCs/>
          <w:sz w:val="24"/>
          <w:szCs w:val="24"/>
        </w:rPr>
      </w:pPr>
      <w:r w:rsidRPr="00C87AA6">
        <w:rPr>
          <w:rFonts w:ascii="Times New Roman" w:hAnsi="Times New Roman" w:cs="Times New Roman"/>
          <w:b/>
          <w:bCs/>
          <w:sz w:val="24"/>
          <w:szCs w:val="24"/>
        </w:rPr>
        <w:t xml:space="preserve">Cláusulas </w:t>
      </w:r>
      <w:r w:rsidR="008F2A25" w:rsidRPr="00C87AA6">
        <w:rPr>
          <w:rFonts w:ascii="Times New Roman" w:hAnsi="Times New Roman" w:cs="Times New Roman"/>
          <w:b/>
          <w:bCs/>
          <w:sz w:val="24"/>
          <w:szCs w:val="24"/>
        </w:rPr>
        <w:t>“</w:t>
      </w:r>
      <w:r w:rsidRPr="00C87AA6">
        <w:rPr>
          <w:rFonts w:ascii="Times New Roman" w:hAnsi="Times New Roman" w:cs="Times New Roman"/>
          <w:b/>
          <w:bCs/>
          <w:sz w:val="24"/>
          <w:szCs w:val="24"/>
        </w:rPr>
        <w:t>suelo</w:t>
      </w:r>
      <w:r w:rsidR="008F2A25" w:rsidRPr="00C87AA6">
        <w:rPr>
          <w:rFonts w:ascii="Times New Roman" w:hAnsi="Times New Roman" w:cs="Times New Roman"/>
          <w:b/>
          <w:bCs/>
          <w:sz w:val="24"/>
          <w:szCs w:val="24"/>
        </w:rPr>
        <w:t>”</w:t>
      </w:r>
      <w:r w:rsidRPr="00C87AA6">
        <w:rPr>
          <w:rFonts w:ascii="Times New Roman" w:hAnsi="Times New Roman" w:cs="Times New Roman"/>
          <w:b/>
          <w:bCs/>
          <w:sz w:val="24"/>
          <w:szCs w:val="24"/>
        </w:rPr>
        <w:t xml:space="preserve"> </w:t>
      </w:r>
    </w:p>
    <w:p w14:paraId="6D052A2E" w14:textId="5342D7B2" w:rsidR="00C47765" w:rsidRPr="002B1E17" w:rsidRDefault="00C37DE5" w:rsidP="00C47765">
      <w:pPr>
        <w:spacing w:after="240"/>
        <w:jc w:val="both"/>
        <w:rPr>
          <w:rFonts w:ascii="Times New Roman" w:hAnsi="Times New Roman" w:cs="Times New Roman"/>
          <w:sz w:val="24"/>
          <w:szCs w:val="24"/>
        </w:rPr>
      </w:pPr>
      <w:hyperlink r:id="rId25" w:history="1">
        <w:r w:rsidR="00C47765" w:rsidRPr="002B1E17">
          <w:rPr>
            <w:rStyle w:val="Hipervnculo"/>
            <w:rFonts w:ascii="Times New Roman" w:hAnsi="Times New Roman" w:cs="Times New Roman"/>
            <w:sz w:val="24"/>
            <w:szCs w:val="24"/>
          </w:rPr>
          <w:t>STS, Sala Primera, 15/2021, de 19 de enero de 2021</w:t>
        </w:r>
      </w:hyperlink>
      <w:r w:rsidR="00C47765" w:rsidRPr="002B1E17">
        <w:rPr>
          <w:rFonts w:ascii="Times New Roman" w:hAnsi="Times New Roman" w:cs="Times New Roman"/>
          <w:sz w:val="24"/>
          <w:szCs w:val="24"/>
        </w:rPr>
        <w:t xml:space="preserve">. “Cláusula suelo. Control de transparencia. Subrogación en el préstamo al promotor con modificación de algunas condiciones”. </w:t>
      </w:r>
    </w:p>
    <w:p w14:paraId="7A3020B1" w14:textId="161F70F6" w:rsidR="00C47765" w:rsidRPr="007C7C81" w:rsidRDefault="00C37DE5" w:rsidP="00C47765">
      <w:pPr>
        <w:spacing w:after="240"/>
        <w:jc w:val="both"/>
        <w:rPr>
          <w:rFonts w:ascii="Times New Roman" w:hAnsi="Times New Roman" w:cs="Times New Roman"/>
          <w:sz w:val="24"/>
          <w:szCs w:val="24"/>
        </w:rPr>
      </w:pPr>
      <w:hyperlink r:id="rId26" w:history="1">
        <w:r w:rsidR="00C47765" w:rsidRPr="002B1E17">
          <w:rPr>
            <w:rStyle w:val="Hipervnculo"/>
            <w:rFonts w:ascii="Times New Roman" w:hAnsi="Times New Roman" w:cs="Times New Roman"/>
            <w:sz w:val="24"/>
            <w:szCs w:val="24"/>
          </w:rPr>
          <w:t>STS, Sala Primera, 16/2021, de 19 de enero de 2021</w:t>
        </w:r>
      </w:hyperlink>
      <w:r w:rsidR="00C47765" w:rsidRPr="002B1E17">
        <w:rPr>
          <w:rFonts w:ascii="Times New Roman" w:hAnsi="Times New Roman" w:cs="Times New Roman"/>
          <w:sz w:val="24"/>
          <w:szCs w:val="24"/>
        </w:rPr>
        <w:t xml:space="preserve">. “Cláusula suelo. Escritura de </w:t>
      </w:r>
      <w:r w:rsidR="00C47765" w:rsidRPr="007C7C81">
        <w:rPr>
          <w:rFonts w:ascii="Times New Roman" w:hAnsi="Times New Roman" w:cs="Times New Roman"/>
          <w:sz w:val="24"/>
          <w:szCs w:val="24"/>
        </w:rPr>
        <w:t xml:space="preserve">novación de un préstamo anterior en la que se rebajó el interés mínimo. El control de transparencia no es de aplicación cuando la cláusula es objeto de una negociación”. </w:t>
      </w:r>
    </w:p>
    <w:p w14:paraId="0CBD171B" w14:textId="77777777" w:rsidR="00C47765" w:rsidRPr="002B1E17" w:rsidRDefault="00C37DE5" w:rsidP="00C47765">
      <w:pPr>
        <w:spacing w:after="240"/>
        <w:jc w:val="both"/>
        <w:rPr>
          <w:rFonts w:ascii="Times New Roman" w:hAnsi="Times New Roman" w:cs="Times New Roman"/>
          <w:sz w:val="24"/>
          <w:szCs w:val="24"/>
        </w:rPr>
      </w:pPr>
      <w:hyperlink r:id="rId27" w:history="1">
        <w:r w:rsidR="00C47765" w:rsidRPr="002B1E17">
          <w:rPr>
            <w:rStyle w:val="Hipervnculo"/>
            <w:rFonts w:ascii="Times New Roman" w:hAnsi="Times New Roman" w:cs="Times New Roman"/>
            <w:sz w:val="24"/>
            <w:szCs w:val="24"/>
          </w:rPr>
          <w:t>STS, Sala Primera, 22/2021, de 21 de enero de 2021</w:t>
        </w:r>
      </w:hyperlink>
      <w:r w:rsidR="00C47765" w:rsidRPr="002B1E17">
        <w:rPr>
          <w:rFonts w:ascii="Times New Roman" w:hAnsi="Times New Roman" w:cs="Times New Roman"/>
          <w:sz w:val="24"/>
          <w:szCs w:val="24"/>
        </w:rPr>
        <w:t xml:space="preserve">. “Condiciones generales de la contratación. Cláusula de limitación del tipo de interés variable. Control de transparencia reforzado en la contratación de consumidores. Nulidad de la cláusula por abusiva”. </w:t>
      </w:r>
    </w:p>
    <w:p w14:paraId="1E6A7939" w14:textId="77777777" w:rsidR="00C47765" w:rsidRPr="002B1E17" w:rsidRDefault="00C37DE5" w:rsidP="00C47765">
      <w:pPr>
        <w:spacing w:after="240"/>
        <w:jc w:val="both"/>
        <w:rPr>
          <w:rFonts w:ascii="Times New Roman" w:hAnsi="Times New Roman" w:cs="Times New Roman"/>
          <w:sz w:val="24"/>
          <w:szCs w:val="24"/>
        </w:rPr>
      </w:pPr>
      <w:hyperlink r:id="rId28" w:history="1">
        <w:r w:rsidR="00C47765" w:rsidRPr="002B1E17">
          <w:rPr>
            <w:rStyle w:val="Hipervnculo"/>
            <w:rFonts w:ascii="Times New Roman" w:hAnsi="Times New Roman" w:cs="Times New Roman"/>
            <w:sz w:val="24"/>
            <w:szCs w:val="24"/>
          </w:rPr>
          <w:t>STS, Sala Primera, 32/2021, de 26 de enero de 2021</w:t>
        </w:r>
      </w:hyperlink>
      <w:r w:rsidR="00C47765" w:rsidRPr="002B1E17">
        <w:rPr>
          <w:rFonts w:ascii="Times New Roman" w:hAnsi="Times New Roman" w:cs="Times New Roman"/>
          <w:sz w:val="24"/>
          <w:szCs w:val="24"/>
        </w:rPr>
        <w:t xml:space="preserve">. “Nulidad de cláusula suelo. Novación de cláusula suelo. Renuncia de acciones”. </w:t>
      </w:r>
    </w:p>
    <w:p w14:paraId="75B94F6E" w14:textId="77777777" w:rsidR="00C47765" w:rsidRPr="002B1E17" w:rsidRDefault="00C37DE5" w:rsidP="00C47765">
      <w:pPr>
        <w:spacing w:after="240"/>
        <w:jc w:val="both"/>
        <w:rPr>
          <w:rFonts w:ascii="Times New Roman" w:hAnsi="Times New Roman" w:cs="Times New Roman"/>
          <w:sz w:val="24"/>
          <w:szCs w:val="24"/>
        </w:rPr>
      </w:pPr>
      <w:hyperlink r:id="rId29" w:history="1">
        <w:r w:rsidR="00C47765" w:rsidRPr="002B1E17">
          <w:rPr>
            <w:rStyle w:val="Hipervnculo"/>
            <w:rFonts w:ascii="Times New Roman" w:hAnsi="Times New Roman" w:cs="Times New Roman"/>
            <w:sz w:val="24"/>
            <w:szCs w:val="24"/>
          </w:rPr>
          <w:t>STS, Sala Primera, 33/2021, de 26 de enero de 2021</w:t>
        </w:r>
      </w:hyperlink>
      <w:r w:rsidR="00C47765" w:rsidRPr="002B1E17">
        <w:rPr>
          <w:rFonts w:ascii="Times New Roman" w:hAnsi="Times New Roman" w:cs="Times New Roman"/>
          <w:sz w:val="24"/>
          <w:szCs w:val="24"/>
        </w:rPr>
        <w:t xml:space="preserve">. “Cláusula suelo en préstamo hipotecario con consumidores. Modificación y transacción con renuncia de acciones en documento privado. Cláusulas no negociadas. Pautas de interpretación del requisito de transparencia. Reiteración de doctrina jurisprudencial”. </w:t>
      </w:r>
    </w:p>
    <w:p w14:paraId="612912FD" w14:textId="77777777" w:rsidR="00C47765" w:rsidRPr="002B1E17" w:rsidRDefault="00C37DE5" w:rsidP="00C47765">
      <w:pPr>
        <w:spacing w:after="240"/>
        <w:jc w:val="both"/>
        <w:rPr>
          <w:rFonts w:ascii="Times New Roman" w:hAnsi="Times New Roman" w:cs="Times New Roman"/>
          <w:sz w:val="24"/>
          <w:szCs w:val="24"/>
        </w:rPr>
      </w:pPr>
      <w:hyperlink r:id="rId30" w:history="1">
        <w:r w:rsidR="00C47765" w:rsidRPr="002B1E17">
          <w:rPr>
            <w:rStyle w:val="Hipervnculo"/>
            <w:rFonts w:ascii="Times New Roman" w:hAnsi="Times New Roman" w:cs="Times New Roman"/>
            <w:sz w:val="24"/>
            <w:szCs w:val="24"/>
          </w:rPr>
          <w:t>STS, Sala Primera, 34/2021, de 26 de enero de 2021</w:t>
        </w:r>
      </w:hyperlink>
      <w:r w:rsidR="00C47765" w:rsidRPr="002B1E17">
        <w:rPr>
          <w:rFonts w:ascii="Times New Roman" w:hAnsi="Times New Roman" w:cs="Times New Roman"/>
          <w:sz w:val="24"/>
          <w:szCs w:val="24"/>
        </w:rPr>
        <w:t xml:space="preserve">. “Cláusula suelo. Acuerdo posterior que modifica a la baja la cláusula e incluye una renuncia de acciones genérica. Validez del acuerdo novatorio porque supera el control de transparencia. Nulidad de la cláusula de renuncia de acciones”. </w:t>
      </w:r>
    </w:p>
    <w:p w14:paraId="11E9EFD6" w14:textId="77777777" w:rsidR="00C47765" w:rsidRPr="002B1E17" w:rsidRDefault="00C37DE5" w:rsidP="00C47765">
      <w:pPr>
        <w:spacing w:after="240"/>
        <w:jc w:val="both"/>
        <w:rPr>
          <w:rFonts w:ascii="Times New Roman" w:hAnsi="Times New Roman" w:cs="Times New Roman"/>
          <w:sz w:val="24"/>
          <w:szCs w:val="24"/>
        </w:rPr>
      </w:pPr>
      <w:hyperlink r:id="rId31" w:history="1">
        <w:r w:rsidR="00C47765" w:rsidRPr="002B1E17">
          <w:rPr>
            <w:rStyle w:val="Hipervnculo"/>
            <w:rFonts w:ascii="Times New Roman" w:hAnsi="Times New Roman" w:cs="Times New Roman"/>
            <w:sz w:val="24"/>
            <w:szCs w:val="24"/>
          </w:rPr>
          <w:t>STS, Sala Primera, 48/2021, de 4 de febrero de 2021</w:t>
        </w:r>
      </w:hyperlink>
      <w:r w:rsidR="00C47765" w:rsidRPr="002B1E17">
        <w:rPr>
          <w:rFonts w:ascii="Times New Roman" w:hAnsi="Times New Roman" w:cs="Times New Roman"/>
          <w:sz w:val="24"/>
          <w:szCs w:val="24"/>
        </w:rPr>
        <w:t xml:space="preserve">. “Cláusula suelo. Acuerdo posterior que modifica a la baja la cláusula e incluye una renuncia de acciones genérica. Validez del acuerdo novatorio porque supera el control de transparencia. Nulidad de la cláusula de renuncia de acciones”. </w:t>
      </w:r>
    </w:p>
    <w:p w14:paraId="56A29538" w14:textId="77777777" w:rsidR="00C47765" w:rsidRPr="002B1E17" w:rsidRDefault="00C37DE5" w:rsidP="00C47765">
      <w:pPr>
        <w:spacing w:after="240"/>
        <w:jc w:val="both"/>
        <w:rPr>
          <w:rFonts w:ascii="Times New Roman" w:hAnsi="Times New Roman" w:cs="Times New Roman"/>
          <w:sz w:val="24"/>
          <w:szCs w:val="24"/>
        </w:rPr>
      </w:pPr>
      <w:hyperlink r:id="rId32" w:history="1">
        <w:r w:rsidR="00C47765" w:rsidRPr="002B1E17">
          <w:rPr>
            <w:rStyle w:val="Hipervnculo"/>
            <w:rFonts w:ascii="Times New Roman" w:hAnsi="Times New Roman" w:cs="Times New Roman"/>
            <w:sz w:val="24"/>
            <w:szCs w:val="24"/>
          </w:rPr>
          <w:t>STS, Sala Primera, 49/2021, de 4 de febrero de 2021</w:t>
        </w:r>
      </w:hyperlink>
      <w:r w:rsidR="00C47765" w:rsidRPr="002B1E17">
        <w:rPr>
          <w:rFonts w:ascii="Times New Roman" w:hAnsi="Times New Roman" w:cs="Times New Roman"/>
          <w:sz w:val="24"/>
          <w:szCs w:val="24"/>
        </w:rPr>
        <w:t xml:space="preserve">. “Cláusula suelo. Acuerdo de transacción posterior por el que se modificó dicha cláusula y se pactó la renuncia al ejercicio de acciones entre las partes. Validez de la modificación, pero nulidad de la renuncia”. </w:t>
      </w:r>
    </w:p>
    <w:p w14:paraId="36437331" w14:textId="77777777" w:rsidR="00C47765" w:rsidRPr="002B1E17" w:rsidRDefault="00C37DE5" w:rsidP="00C47765">
      <w:pPr>
        <w:spacing w:after="240"/>
        <w:jc w:val="both"/>
        <w:rPr>
          <w:rFonts w:ascii="Times New Roman" w:hAnsi="Times New Roman" w:cs="Times New Roman"/>
          <w:sz w:val="24"/>
          <w:szCs w:val="24"/>
        </w:rPr>
      </w:pPr>
      <w:hyperlink r:id="rId33" w:history="1">
        <w:r w:rsidR="00C47765" w:rsidRPr="002B1E17">
          <w:rPr>
            <w:rStyle w:val="Hipervnculo"/>
            <w:rFonts w:ascii="Times New Roman" w:hAnsi="Times New Roman" w:cs="Times New Roman"/>
            <w:sz w:val="24"/>
            <w:szCs w:val="24"/>
          </w:rPr>
          <w:t>STS, Sala Primera, 63/2021, de 9 de febrero de 2021</w:t>
        </w:r>
      </w:hyperlink>
      <w:r w:rsidR="00C47765" w:rsidRPr="002B1E17">
        <w:rPr>
          <w:rFonts w:ascii="Times New Roman" w:hAnsi="Times New Roman" w:cs="Times New Roman"/>
          <w:sz w:val="24"/>
          <w:szCs w:val="24"/>
        </w:rPr>
        <w:t xml:space="preserve">. “Legitimación para instar la nulidad de una cláusula suelo. Acuerdo de transacción que contenía una renuncia al ejercicio de esas acciones. Nulidad de esa renuncia. Ineficacia de la transacción no afectada por vicios del consentimiento respecto de la cláusula de renuncia abusiva. La doctrina de los actos propios”. </w:t>
      </w:r>
    </w:p>
    <w:p w14:paraId="54A6DD37" w14:textId="77777777" w:rsidR="00C47765" w:rsidRPr="002B1E17" w:rsidRDefault="00C37DE5" w:rsidP="00C47765">
      <w:pPr>
        <w:spacing w:after="240"/>
        <w:jc w:val="both"/>
        <w:rPr>
          <w:rFonts w:ascii="Times New Roman" w:hAnsi="Times New Roman" w:cs="Times New Roman"/>
          <w:sz w:val="24"/>
          <w:szCs w:val="24"/>
        </w:rPr>
      </w:pPr>
      <w:hyperlink r:id="rId34" w:history="1">
        <w:r w:rsidR="00C47765" w:rsidRPr="002B1E17">
          <w:rPr>
            <w:rStyle w:val="Hipervnculo"/>
            <w:rFonts w:ascii="Times New Roman" w:hAnsi="Times New Roman" w:cs="Times New Roman"/>
            <w:sz w:val="24"/>
            <w:szCs w:val="24"/>
          </w:rPr>
          <w:t>STS, Sala Primera, 68/2021, de 9 de febrero de 2021</w:t>
        </w:r>
      </w:hyperlink>
      <w:r w:rsidR="00C47765" w:rsidRPr="002B1E17">
        <w:rPr>
          <w:rFonts w:ascii="Times New Roman" w:hAnsi="Times New Roman" w:cs="Times New Roman"/>
          <w:sz w:val="24"/>
          <w:szCs w:val="24"/>
        </w:rPr>
        <w:t xml:space="preserve">. “Nulidad de cláusula suelo en préstamo hipotecario concertado con consumidores. Existencia de información proporcionada por el banco con antelación suficiente”. </w:t>
      </w:r>
    </w:p>
    <w:p w14:paraId="20816C96" w14:textId="77777777" w:rsidR="00C47765" w:rsidRPr="002B1E17" w:rsidRDefault="00C37DE5" w:rsidP="00C47765">
      <w:pPr>
        <w:spacing w:after="240"/>
        <w:jc w:val="both"/>
        <w:rPr>
          <w:rFonts w:ascii="Times New Roman" w:hAnsi="Times New Roman" w:cs="Times New Roman"/>
          <w:sz w:val="24"/>
          <w:szCs w:val="24"/>
        </w:rPr>
      </w:pPr>
      <w:hyperlink r:id="rId35" w:history="1">
        <w:r w:rsidR="00C47765" w:rsidRPr="002B1E17">
          <w:rPr>
            <w:rStyle w:val="Hipervnculo"/>
            <w:rFonts w:ascii="Times New Roman" w:hAnsi="Times New Roman" w:cs="Times New Roman"/>
            <w:sz w:val="24"/>
            <w:szCs w:val="24"/>
          </w:rPr>
          <w:t>STS, Sala Primera, 86/2021, de 17 de febrero de 2021</w:t>
        </w:r>
      </w:hyperlink>
      <w:r w:rsidR="00C47765" w:rsidRPr="002B1E17">
        <w:rPr>
          <w:rFonts w:ascii="Times New Roman" w:hAnsi="Times New Roman" w:cs="Times New Roman"/>
          <w:sz w:val="24"/>
          <w:szCs w:val="24"/>
        </w:rPr>
        <w:t xml:space="preserve">. “Cláusula suelo. Nulidad de la originaria cláusula suelo, así como de la renuncia de acciones, y validez de la cláusula de modificación del "suelo". Transparencia. Reiteración de jurisprudencia”. </w:t>
      </w:r>
    </w:p>
    <w:p w14:paraId="17F3F515" w14:textId="77777777" w:rsidR="00C47765" w:rsidRPr="002B1E17" w:rsidRDefault="00C37DE5" w:rsidP="00C47765">
      <w:pPr>
        <w:spacing w:after="240"/>
        <w:jc w:val="both"/>
        <w:rPr>
          <w:rFonts w:ascii="Times New Roman" w:hAnsi="Times New Roman" w:cs="Times New Roman"/>
          <w:sz w:val="24"/>
          <w:szCs w:val="24"/>
        </w:rPr>
      </w:pPr>
      <w:hyperlink r:id="rId36" w:history="1">
        <w:r w:rsidR="00C47765" w:rsidRPr="002B1E17">
          <w:rPr>
            <w:rStyle w:val="Hipervnculo"/>
            <w:rFonts w:ascii="Times New Roman" w:hAnsi="Times New Roman" w:cs="Times New Roman"/>
            <w:sz w:val="24"/>
            <w:szCs w:val="24"/>
          </w:rPr>
          <w:t>STS, Sala Primera, 125/2021, de 8 de marzo de 2021</w:t>
        </w:r>
      </w:hyperlink>
      <w:r w:rsidR="00C47765" w:rsidRPr="002B1E17">
        <w:rPr>
          <w:rFonts w:ascii="Times New Roman" w:hAnsi="Times New Roman" w:cs="Times New Roman"/>
          <w:sz w:val="24"/>
          <w:szCs w:val="24"/>
        </w:rPr>
        <w:t>. “Condiciones generales de la contratación. Cláusula de limitación del tipo de interés variable. Control de transparencia reforzado en la contratación de consumidores. Nulidad de la cláusula por abusiva”.</w:t>
      </w:r>
    </w:p>
    <w:p w14:paraId="050DD982" w14:textId="7A0FE2A9" w:rsidR="00C47765" w:rsidRDefault="00C37DE5" w:rsidP="00C47765">
      <w:pPr>
        <w:spacing w:after="240"/>
        <w:jc w:val="both"/>
        <w:rPr>
          <w:rFonts w:ascii="Times New Roman" w:hAnsi="Times New Roman" w:cs="Times New Roman"/>
          <w:sz w:val="24"/>
          <w:szCs w:val="24"/>
        </w:rPr>
      </w:pPr>
      <w:hyperlink r:id="rId37" w:history="1">
        <w:r w:rsidR="00C47765" w:rsidRPr="002B1E17">
          <w:rPr>
            <w:rStyle w:val="Hipervnculo"/>
            <w:rFonts w:ascii="Times New Roman" w:hAnsi="Times New Roman" w:cs="Times New Roman"/>
            <w:sz w:val="24"/>
            <w:szCs w:val="24"/>
          </w:rPr>
          <w:t>STS, Sala Primera, 122/2021, de 8 de marzo de 2021</w:t>
        </w:r>
      </w:hyperlink>
      <w:r w:rsidR="00C47765" w:rsidRPr="002B1E17">
        <w:rPr>
          <w:rFonts w:ascii="Times New Roman" w:hAnsi="Times New Roman" w:cs="Times New Roman"/>
          <w:sz w:val="24"/>
          <w:szCs w:val="24"/>
        </w:rPr>
        <w:t xml:space="preserve">. “Cláusula suelo. Control de transparencia. Reiteración de doctrina”. </w:t>
      </w:r>
    </w:p>
    <w:p w14:paraId="4E775EB0" w14:textId="3DACBD9D" w:rsidR="00033A21" w:rsidRDefault="00C37DE5" w:rsidP="00C47765">
      <w:pPr>
        <w:spacing w:after="240"/>
        <w:jc w:val="both"/>
        <w:rPr>
          <w:rFonts w:ascii="Times New Roman" w:hAnsi="Times New Roman" w:cs="Times New Roman"/>
          <w:sz w:val="24"/>
          <w:szCs w:val="24"/>
        </w:rPr>
      </w:pPr>
      <w:hyperlink r:id="rId38" w:history="1">
        <w:r w:rsidR="00033A21" w:rsidRPr="00033A21">
          <w:rPr>
            <w:rStyle w:val="Hipervnculo"/>
            <w:rFonts w:ascii="Times New Roman" w:hAnsi="Times New Roman" w:cs="Times New Roman"/>
            <w:sz w:val="24"/>
            <w:szCs w:val="24"/>
          </w:rPr>
          <w:t>STS, Sala Primera, 149/2021, de 16 de marzo de 2021</w:t>
        </w:r>
      </w:hyperlink>
      <w:r w:rsidR="00033A21">
        <w:rPr>
          <w:rFonts w:ascii="Times New Roman" w:hAnsi="Times New Roman" w:cs="Times New Roman"/>
          <w:sz w:val="24"/>
          <w:szCs w:val="24"/>
        </w:rPr>
        <w:t xml:space="preserve">. “Cláusula suelo. Control de transparencia”. </w:t>
      </w:r>
    </w:p>
    <w:p w14:paraId="089FE421" w14:textId="77777777" w:rsidR="00823AEA" w:rsidRDefault="00823AEA" w:rsidP="00C47765">
      <w:pPr>
        <w:spacing w:after="240"/>
        <w:jc w:val="both"/>
        <w:rPr>
          <w:rFonts w:ascii="Times New Roman" w:hAnsi="Times New Roman" w:cs="Times New Roman"/>
          <w:sz w:val="24"/>
          <w:szCs w:val="24"/>
        </w:rPr>
      </w:pPr>
    </w:p>
    <w:p w14:paraId="256ECA91" w14:textId="4CB0B052" w:rsidR="00C47765" w:rsidRPr="00C87AA6" w:rsidRDefault="00C87AA6" w:rsidP="00C87AA6">
      <w:pPr>
        <w:pStyle w:val="Prrafodelista"/>
        <w:numPr>
          <w:ilvl w:val="0"/>
          <w:numId w:val="9"/>
        </w:numPr>
        <w:spacing w:after="240"/>
        <w:jc w:val="both"/>
        <w:rPr>
          <w:rFonts w:ascii="Times New Roman" w:hAnsi="Times New Roman" w:cs="Times New Roman"/>
          <w:b/>
          <w:bCs/>
          <w:sz w:val="24"/>
          <w:szCs w:val="24"/>
        </w:rPr>
      </w:pPr>
      <w:r>
        <w:rPr>
          <w:rFonts w:ascii="Times New Roman" w:hAnsi="Times New Roman" w:cs="Times New Roman"/>
          <w:b/>
          <w:bCs/>
          <w:sz w:val="24"/>
          <w:szCs w:val="24"/>
        </w:rPr>
        <w:lastRenderedPageBreak/>
        <w:t>Cláusulas</w:t>
      </w:r>
      <w:r w:rsidR="00C47765" w:rsidRPr="00C87AA6">
        <w:rPr>
          <w:rFonts w:ascii="Times New Roman" w:hAnsi="Times New Roman" w:cs="Times New Roman"/>
          <w:b/>
          <w:bCs/>
          <w:sz w:val="24"/>
          <w:szCs w:val="24"/>
        </w:rPr>
        <w:t xml:space="preserve"> </w:t>
      </w:r>
      <w:r w:rsidR="008F2A25" w:rsidRPr="00C87AA6">
        <w:rPr>
          <w:rFonts w:ascii="Times New Roman" w:hAnsi="Times New Roman" w:cs="Times New Roman"/>
          <w:b/>
          <w:bCs/>
          <w:sz w:val="24"/>
          <w:szCs w:val="24"/>
        </w:rPr>
        <w:t>“</w:t>
      </w:r>
      <w:r w:rsidR="00C47765" w:rsidRPr="00C87AA6">
        <w:rPr>
          <w:rFonts w:ascii="Times New Roman" w:hAnsi="Times New Roman" w:cs="Times New Roman"/>
          <w:b/>
          <w:bCs/>
          <w:sz w:val="24"/>
          <w:szCs w:val="24"/>
        </w:rPr>
        <w:t>IRPH</w:t>
      </w:r>
      <w:r w:rsidR="008F2A25" w:rsidRPr="00C87AA6">
        <w:rPr>
          <w:rFonts w:ascii="Times New Roman" w:hAnsi="Times New Roman" w:cs="Times New Roman"/>
          <w:b/>
          <w:bCs/>
          <w:sz w:val="24"/>
          <w:szCs w:val="24"/>
        </w:rPr>
        <w:t>”</w:t>
      </w:r>
    </w:p>
    <w:p w14:paraId="67FF8FD6" w14:textId="77777777" w:rsidR="002B1E17" w:rsidRPr="002B1E17" w:rsidRDefault="00C37DE5" w:rsidP="002B1E17">
      <w:pPr>
        <w:spacing w:after="240"/>
        <w:jc w:val="both"/>
        <w:rPr>
          <w:rFonts w:ascii="Times New Roman" w:hAnsi="Times New Roman" w:cs="Times New Roman"/>
          <w:sz w:val="24"/>
          <w:szCs w:val="24"/>
        </w:rPr>
      </w:pPr>
      <w:hyperlink r:id="rId39" w:history="1">
        <w:r w:rsidR="002B1E17" w:rsidRPr="002B1E17">
          <w:rPr>
            <w:rStyle w:val="Hipervnculo"/>
            <w:rFonts w:ascii="Times New Roman" w:hAnsi="Times New Roman" w:cs="Times New Roman"/>
            <w:sz w:val="24"/>
            <w:szCs w:val="24"/>
          </w:rPr>
          <w:t>STS, Sala Primera, 10/2021, de 18 de enero de 2021</w:t>
        </w:r>
      </w:hyperlink>
      <w:r w:rsidR="002B1E17" w:rsidRPr="002B1E17">
        <w:rPr>
          <w:rFonts w:ascii="Times New Roman" w:hAnsi="Times New Roman" w:cs="Times New Roman"/>
          <w:sz w:val="24"/>
          <w:szCs w:val="24"/>
        </w:rPr>
        <w:t xml:space="preserve">. “Préstamo hipotecario referenciado a índice IRPH. Improcedencia de suspender el procedimiento por la existencia de cuestión prejudicial. Nulidad de la cláusula por abusiva: reiteración de la jurisprudencia de la sala”. </w:t>
      </w:r>
    </w:p>
    <w:p w14:paraId="523E053E" w14:textId="77777777" w:rsidR="002B1E17" w:rsidRPr="002B1E17" w:rsidRDefault="00C37DE5" w:rsidP="002B1E17">
      <w:pPr>
        <w:spacing w:after="240"/>
        <w:jc w:val="both"/>
        <w:rPr>
          <w:rFonts w:ascii="Times New Roman" w:hAnsi="Times New Roman" w:cs="Times New Roman"/>
          <w:sz w:val="24"/>
          <w:szCs w:val="24"/>
        </w:rPr>
      </w:pPr>
      <w:hyperlink r:id="rId40" w:history="1">
        <w:r w:rsidR="002B1E17" w:rsidRPr="002B1E17">
          <w:rPr>
            <w:rStyle w:val="Hipervnculo"/>
            <w:rFonts w:ascii="Times New Roman" w:hAnsi="Times New Roman" w:cs="Times New Roman"/>
            <w:sz w:val="24"/>
            <w:szCs w:val="24"/>
          </w:rPr>
          <w:t>STS, Sala Primera, 13/2021, de 19 de enero de 2021</w:t>
        </w:r>
      </w:hyperlink>
      <w:r w:rsidR="002B1E17" w:rsidRPr="002B1E17">
        <w:rPr>
          <w:rFonts w:ascii="Times New Roman" w:hAnsi="Times New Roman" w:cs="Times New Roman"/>
          <w:sz w:val="24"/>
          <w:szCs w:val="24"/>
        </w:rPr>
        <w:t xml:space="preserve">. “Cláusulas abusivas en contratos no negociados celebrados con consumidores. Préstamo hipotecario. Índice de referencia al IRPH. Cláusula que establece un suelo a efectos hipotecarios frente a terceros. Cuestión nueva en casación”. </w:t>
      </w:r>
    </w:p>
    <w:p w14:paraId="305C0912" w14:textId="77777777" w:rsidR="002B1E17" w:rsidRPr="002B1E17" w:rsidRDefault="00C37DE5" w:rsidP="002B1E17">
      <w:pPr>
        <w:spacing w:after="240"/>
        <w:jc w:val="both"/>
        <w:rPr>
          <w:rFonts w:ascii="Times New Roman" w:hAnsi="Times New Roman" w:cs="Times New Roman"/>
          <w:sz w:val="24"/>
          <w:szCs w:val="24"/>
        </w:rPr>
      </w:pPr>
      <w:hyperlink r:id="rId41" w:history="1">
        <w:r w:rsidR="002B1E17" w:rsidRPr="002B1E17">
          <w:rPr>
            <w:rStyle w:val="Hipervnculo"/>
            <w:rFonts w:ascii="Times New Roman" w:hAnsi="Times New Roman" w:cs="Times New Roman"/>
            <w:sz w:val="24"/>
            <w:szCs w:val="24"/>
          </w:rPr>
          <w:t>STS, Sala Primera, 14/2021, de 19 de enero de 2021</w:t>
        </w:r>
      </w:hyperlink>
      <w:r w:rsidR="002B1E17" w:rsidRPr="002B1E17">
        <w:rPr>
          <w:rFonts w:ascii="Times New Roman" w:hAnsi="Times New Roman" w:cs="Times New Roman"/>
          <w:sz w:val="24"/>
          <w:szCs w:val="24"/>
        </w:rPr>
        <w:t xml:space="preserve">. “Condiciones generales de la contratación. Préstamo con interés variable referenciado al IRPH, con índice sustitutorio CECA. Reiteración de la doctrina jurisprudencial. A pesar de la falta de transparencia, las cláusulas no son abusivas”. </w:t>
      </w:r>
    </w:p>
    <w:p w14:paraId="1AB713BF" w14:textId="77777777" w:rsidR="002B1E17" w:rsidRPr="002B1E17" w:rsidRDefault="00C37DE5" w:rsidP="002B1E17">
      <w:pPr>
        <w:spacing w:after="240"/>
        <w:jc w:val="both"/>
        <w:rPr>
          <w:rFonts w:ascii="Times New Roman" w:hAnsi="Times New Roman" w:cs="Times New Roman"/>
          <w:sz w:val="24"/>
          <w:szCs w:val="24"/>
        </w:rPr>
      </w:pPr>
      <w:hyperlink r:id="rId42" w:history="1">
        <w:r w:rsidR="002B1E17" w:rsidRPr="002B1E17">
          <w:rPr>
            <w:rStyle w:val="Hipervnculo"/>
            <w:rFonts w:ascii="Times New Roman" w:hAnsi="Times New Roman" w:cs="Times New Roman"/>
            <w:sz w:val="24"/>
            <w:szCs w:val="24"/>
          </w:rPr>
          <w:t>STS, Sala Primera, 17/2021, de 19 de enero de 2021</w:t>
        </w:r>
      </w:hyperlink>
      <w:r w:rsidR="002B1E17" w:rsidRPr="002B1E17">
        <w:rPr>
          <w:rFonts w:ascii="Times New Roman" w:hAnsi="Times New Roman" w:cs="Times New Roman"/>
          <w:sz w:val="24"/>
          <w:szCs w:val="24"/>
        </w:rPr>
        <w:t xml:space="preserve">. “Condiciones generales de la contratación. Préstamo hipotecario referenciado al índice IRPH. Falta de abusividad de la cláusula”. </w:t>
      </w:r>
    </w:p>
    <w:p w14:paraId="349648B9" w14:textId="3A458E85" w:rsidR="00C87AA6" w:rsidRPr="00C87AA6" w:rsidRDefault="00C47765" w:rsidP="00C87AA6">
      <w:pPr>
        <w:pStyle w:val="Prrafodelista"/>
        <w:numPr>
          <w:ilvl w:val="0"/>
          <w:numId w:val="8"/>
        </w:numPr>
        <w:tabs>
          <w:tab w:val="left" w:pos="3401"/>
        </w:tabs>
        <w:spacing w:after="240"/>
        <w:jc w:val="both"/>
        <w:rPr>
          <w:rFonts w:ascii="Times New Roman" w:hAnsi="Times New Roman" w:cs="Times New Roman"/>
          <w:b/>
          <w:bCs/>
          <w:sz w:val="24"/>
          <w:szCs w:val="24"/>
        </w:rPr>
      </w:pPr>
      <w:r w:rsidRPr="00C87AA6">
        <w:rPr>
          <w:rFonts w:ascii="Times New Roman" w:hAnsi="Times New Roman" w:cs="Times New Roman"/>
          <w:b/>
          <w:bCs/>
          <w:sz w:val="24"/>
          <w:szCs w:val="24"/>
        </w:rPr>
        <w:t>Cláusulas de g</w:t>
      </w:r>
      <w:r w:rsidR="002B1E17" w:rsidRPr="00C87AA6">
        <w:rPr>
          <w:rFonts w:ascii="Times New Roman" w:hAnsi="Times New Roman" w:cs="Times New Roman"/>
          <w:b/>
          <w:bCs/>
          <w:sz w:val="24"/>
          <w:szCs w:val="24"/>
        </w:rPr>
        <w:t>astos hipotecarios, de tasación e IAJD</w:t>
      </w:r>
    </w:p>
    <w:p w14:paraId="789A7999" w14:textId="0B00B116" w:rsidR="002B1E17" w:rsidRPr="00C87AA6" w:rsidRDefault="00C37DE5" w:rsidP="002B1E17">
      <w:pPr>
        <w:tabs>
          <w:tab w:val="left" w:pos="3401"/>
        </w:tabs>
        <w:spacing w:after="240"/>
        <w:jc w:val="both"/>
        <w:rPr>
          <w:rFonts w:ascii="Times New Roman" w:hAnsi="Times New Roman" w:cs="Times New Roman"/>
          <w:b/>
          <w:bCs/>
          <w:sz w:val="24"/>
          <w:szCs w:val="24"/>
        </w:rPr>
      </w:pPr>
      <w:hyperlink r:id="rId43" w:history="1">
        <w:r w:rsidR="002B1E17" w:rsidRPr="002B1E17">
          <w:rPr>
            <w:rStyle w:val="Hipervnculo"/>
            <w:rFonts w:ascii="Times New Roman" w:hAnsi="Times New Roman" w:cs="Times New Roman"/>
            <w:sz w:val="24"/>
            <w:szCs w:val="24"/>
          </w:rPr>
          <w:t>STS, Sala Primera, 35/2021, de 27 de enero de 2021</w:t>
        </w:r>
      </w:hyperlink>
      <w:r w:rsidR="002B1E17" w:rsidRPr="002B1E17">
        <w:rPr>
          <w:rFonts w:ascii="Times New Roman" w:hAnsi="Times New Roman" w:cs="Times New Roman"/>
          <w:sz w:val="24"/>
          <w:szCs w:val="24"/>
        </w:rPr>
        <w:t xml:space="preserve">. “Contrato de préstamo hipotecario concertado con consumidores. Validez de la cláusula sobre gastos. Gastos de tasación”. </w:t>
      </w:r>
    </w:p>
    <w:p w14:paraId="5937E5DB" w14:textId="77777777" w:rsidR="002B1E17" w:rsidRPr="002B1E17" w:rsidRDefault="00C37DE5" w:rsidP="002B1E17">
      <w:pPr>
        <w:spacing w:after="240"/>
        <w:jc w:val="both"/>
        <w:rPr>
          <w:rFonts w:ascii="Times New Roman" w:hAnsi="Times New Roman" w:cs="Times New Roman"/>
          <w:sz w:val="24"/>
          <w:szCs w:val="24"/>
        </w:rPr>
      </w:pPr>
      <w:hyperlink r:id="rId44" w:history="1">
        <w:r w:rsidR="002B1E17" w:rsidRPr="002B1E17">
          <w:rPr>
            <w:rStyle w:val="Hipervnculo"/>
            <w:rFonts w:ascii="Times New Roman" w:hAnsi="Times New Roman" w:cs="Times New Roman"/>
            <w:sz w:val="24"/>
            <w:szCs w:val="24"/>
          </w:rPr>
          <w:t>STS, Sala Primera, 45/2021, de 2 de febrero de 2021</w:t>
        </w:r>
      </w:hyperlink>
      <w:r w:rsidR="002B1E17" w:rsidRPr="002B1E17">
        <w:rPr>
          <w:rFonts w:ascii="Times New Roman" w:hAnsi="Times New Roman" w:cs="Times New Roman"/>
          <w:sz w:val="24"/>
          <w:szCs w:val="24"/>
        </w:rPr>
        <w:t xml:space="preserve">. “Condiciones generales: nulidad por abusiva de cláusula de gastos en préstamo hipotecario. Consecuencias de la nulidad. El impuesto de actos jurídicos documentados en los préstamos hipotecarios: sujeto pasivo el prestatario”. </w:t>
      </w:r>
    </w:p>
    <w:p w14:paraId="5079E563" w14:textId="77777777" w:rsidR="002B1E17" w:rsidRPr="002B1E17" w:rsidRDefault="00C37DE5" w:rsidP="002B1E17">
      <w:pPr>
        <w:spacing w:after="240"/>
        <w:jc w:val="both"/>
        <w:rPr>
          <w:rFonts w:ascii="Times New Roman" w:hAnsi="Times New Roman" w:cs="Times New Roman"/>
          <w:sz w:val="24"/>
          <w:szCs w:val="24"/>
        </w:rPr>
      </w:pPr>
      <w:hyperlink r:id="rId45" w:history="1">
        <w:r w:rsidR="002B1E17" w:rsidRPr="002B1E17">
          <w:rPr>
            <w:rStyle w:val="Hipervnculo"/>
            <w:rFonts w:ascii="Times New Roman" w:hAnsi="Times New Roman" w:cs="Times New Roman"/>
            <w:sz w:val="24"/>
            <w:szCs w:val="24"/>
          </w:rPr>
          <w:t>STS, Sala Primera, 72/2021, de 9 de febrero de 2021</w:t>
        </w:r>
      </w:hyperlink>
      <w:r w:rsidR="002B1E17" w:rsidRPr="002B1E17">
        <w:rPr>
          <w:rFonts w:ascii="Times New Roman" w:hAnsi="Times New Roman" w:cs="Times New Roman"/>
          <w:sz w:val="24"/>
          <w:szCs w:val="24"/>
        </w:rPr>
        <w:t>. “Condiciones generales de la contratación. Nulidad de la cláusula de gastos del préstamo hipotecario. Reiteración de la doctrina sobre la atribución de los gastos tributarios, notariales, registrales y de gestión”.</w:t>
      </w:r>
    </w:p>
    <w:p w14:paraId="6F61F734" w14:textId="77777777" w:rsidR="002B1E17" w:rsidRPr="002B1E17" w:rsidRDefault="00C37DE5" w:rsidP="002B1E17">
      <w:pPr>
        <w:spacing w:after="240"/>
        <w:jc w:val="both"/>
        <w:rPr>
          <w:rFonts w:ascii="Times New Roman" w:hAnsi="Times New Roman" w:cs="Times New Roman"/>
          <w:sz w:val="24"/>
          <w:szCs w:val="24"/>
        </w:rPr>
      </w:pPr>
      <w:hyperlink r:id="rId46" w:history="1">
        <w:r w:rsidR="002B1E17" w:rsidRPr="002B1E17">
          <w:rPr>
            <w:rStyle w:val="Hipervnculo"/>
            <w:rFonts w:ascii="Times New Roman" w:hAnsi="Times New Roman" w:cs="Times New Roman"/>
            <w:sz w:val="24"/>
            <w:szCs w:val="24"/>
          </w:rPr>
          <w:t>STS, Sala Primera, 75/2021, de 15 de febrero de 2021</w:t>
        </w:r>
      </w:hyperlink>
      <w:r w:rsidR="002B1E17" w:rsidRPr="002B1E17">
        <w:rPr>
          <w:rFonts w:ascii="Times New Roman" w:hAnsi="Times New Roman" w:cs="Times New Roman"/>
          <w:sz w:val="24"/>
          <w:szCs w:val="24"/>
        </w:rPr>
        <w:t xml:space="preserve">. “Gastos hipotecarios. IAJD. Reiteración de jurisprudencia”. </w:t>
      </w:r>
    </w:p>
    <w:p w14:paraId="1C5589D8" w14:textId="77777777" w:rsidR="002B1E17" w:rsidRPr="002B1E17" w:rsidRDefault="00C37DE5" w:rsidP="002B1E17">
      <w:pPr>
        <w:spacing w:after="240"/>
        <w:jc w:val="both"/>
        <w:rPr>
          <w:rFonts w:ascii="Times New Roman" w:hAnsi="Times New Roman" w:cs="Times New Roman"/>
          <w:sz w:val="24"/>
          <w:szCs w:val="24"/>
        </w:rPr>
      </w:pPr>
      <w:hyperlink r:id="rId47" w:history="1">
        <w:r w:rsidR="002B1E17" w:rsidRPr="002B1E17">
          <w:rPr>
            <w:rStyle w:val="Hipervnculo"/>
            <w:rFonts w:ascii="Times New Roman" w:hAnsi="Times New Roman" w:cs="Times New Roman"/>
            <w:sz w:val="24"/>
            <w:szCs w:val="24"/>
          </w:rPr>
          <w:t>STS, Sala Primera, 76/2021, de 15 de febrero de 2021</w:t>
        </w:r>
      </w:hyperlink>
      <w:r w:rsidR="002B1E17" w:rsidRPr="002B1E17">
        <w:rPr>
          <w:rFonts w:ascii="Times New Roman" w:hAnsi="Times New Roman" w:cs="Times New Roman"/>
          <w:sz w:val="24"/>
          <w:szCs w:val="24"/>
        </w:rPr>
        <w:t xml:space="preserve">. “Acción de nulidad de condición general de imposición de gastos al consumidor en préstamo con garantía hipotecaria. Sujeto pasivo del impuesto de actos jurídicos documentados. Consecuencias de la nulidad”. </w:t>
      </w:r>
    </w:p>
    <w:p w14:paraId="1895D201" w14:textId="62A959B7" w:rsidR="002B1E17" w:rsidRDefault="00C37DE5" w:rsidP="002B1E17">
      <w:pPr>
        <w:spacing w:after="240"/>
        <w:jc w:val="both"/>
        <w:rPr>
          <w:rFonts w:ascii="Times New Roman" w:hAnsi="Times New Roman" w:cs="Times New Roman"/>
          <w:sz w:val="24"/>
          <w:szCs w:val="24"/>
        </w:rPr>
      </w:pPr>
      <w:hyperlink r:id="rId48" w:history="1">
        <w:r w:rsidR="002B1E17" w:rsidRPr="002B1E17">
          <w:rPr>
            <w:rStyle w:val="Hipervnculo"/>
            <w:rFonts w:ascii="Times New Roman" w:hAnsi="Times New Roman" w:cs="Times New Roman"/>
            <w:sz w:val="24"/>
            <w:szCs w:val="24"/>
          </w:rPr>
          <w:t>STS, Sala Primera, 78/2021, de 15 de febrero de 2021</w:t>
        </w:r>
      </w:hyperlink>
      <w:r w:rsidR="002B1E17" w:rsidRPr="002B1E17">
        <w:rPr>
          <w:rFonts w:ascii="Times New Roman" w:hAnsi="Times New Roman" w:cs="Times New Roman"/>
          <w:sz w:val="24"/>
          <w:szCs w:val="24"/>
        </w:rPr>
        <w:t xml:space="preserve">. “Contrato de préstamo hipotecario concertado con consumidores. Validez de la cláusula sobre gastos. </w:t>
      </w:r>
      <w:r w:rsidR="002B1E17" w:rsidRPr="002B1E17">
        <w:rPr>
          <w:rFonts w:ascii="Times New Roman" w:hAnsi="Times New Roman" w:cs="Times New Roman"/>
          <w:sz w:val="24"/>
          <w:szCs w:val="24"/>
        </w:rPr>
        <w:lastRenderedPageBreak/>
        <w:t xml:space="preserve">Consecuencias de la nulidad de la cláusula que atribuye todos los gastos al prestatario. Gastos notariales e Impuesto de Actos Jurídicos Documentados”. </w:t>
      </w:r>
    </w:p>
    <w:p w14:paraId="15E3BAF1" w14:textId="15A726B3" w:rsidR="00033A21" w:rsidRPr="002B1E17" w:rsidRDefault="00C37DE5" w:rsidP="002B1E17">
      <w:pPr>
        <w:spacing w:after="240"/>
        <w:jc w:val="both"/>
        <w:rPr>
          <w:rFonts w:ascii="Times New Roman" w:hAnsi="Times New Roman" w:cs="Times New Roman"/>
          <w:sz w:val="24"/>
          <w:szCs w:val="24"/>
        </w:rPr>
      </w:pPr>
      <w:hyperlink r:id="rId49" w:history="1">
        <w:r w:rsidR="00033A21" w:rsidRPr="00033A21">
          <w:rPr>
            <w:rStyle w:val="Hipervnculo"/>
            <w:rFonts w:ascii="Times New Roman" w:hAnsi="Times New Roman" w:cs="Times New Roman"/>
            <w:sz w:val="24"/>
            <w:szCs w:val="24"/>
          </w:rPr>
          <w:t>STS, Sala Primera, 151/2021, de 16 de marzo de 2021</w:t>
        </w:r>
      </w:hyperlink>
      <w:r w:rsidR="00033A21">
        <w:rPr>
          <w:rFonts w:ascii="Times New Roman" w:hAnsi="Times New Roman" w:cs="Times New Roman"/>
          <w:sz w:val="24"/>
          <w:szCs w:val="24"/>
        </w:rPr>
        <w:t>. “</w:t>
      </w:r>
      <w:r w:rsidR="00033A21" w:rsidRPr="00033A21">
        <w:rPr>
          <w:rFonts w:ascii="Times New Roman" w:hAnsi="Times New Roman" w:cs="Times New Roman"/>
          <w:sz w:val="24"/>
          <w:szCs w:val="24"/>
        </w:rPr>
        <w:t xml:space="preserve">Nulidad por abusividad de las cláusulas de vencimiento anticipado y de gastos en un contrato de préstamo hipotecario concertado con consumidores. Gastos de tasación. Impugnación de la condena en costas en el recurso por infracción procesal. Reiteración de doctrina de la </w:t>
      </w:r>
      <w:r w:rsidR="00033A21">
        <w:rPr>
          <w:rFonts w:ascii="Times New Roman" w:hAnsi="Times New Roman" w:cs="Times New Roman"/>
          <w:sz w:val="24"/>
          <w:szCs w:val="24"/>
        </w:rPr>
        <w:t>S</w:t>
      </w:r>
      <w:r w:rsidR="00033A21" w:rsidRPr="00033A21">
        <w:rPr>
          <w:rFonts w:ascii="Times New Roman" w:hAnsi="Times New Roman" w:cs="Times New Roman"/>
          <w:sz w:val="24"/>
          <w:szCs w:val="24"/>
        </w:rPr>
        <w:t>ala</w:t>
      </w:r>
      <w:r w:rsidR="00033A21">
        <w:rPr>
          <w:rFonts w:ascii="Times New Roman" w:hAnsi="Times New Roman" w:cs="Times New Roman"/>
          <w:sz w:val="24"/>
          <w:szCs w:val="24"/>
        </w:rPr>
        <w:t xml:space="preserve">”. </w:t>
      </w:r>
    </w:p>
    <w:p w14:paraId="2A1BEDC4" w14:textId="53580744" w:rsidR="007C7C81" w:rsidRDefault="005F7187" w:rsidP="002B1E17">
      <w:pPr>
        <w:spacing w:after="240"/>
        <w:jc w:val="both"/>
        <w:rPr>
          <w:rFonts w:ascii="Times New Roman" w:hAnsi="Times New Roman" w:cs="Times New Roman"/>
          <w:b/>
          <w:bCs/>
          <w:sz w:val="24"/>
          <w:szCs w:val="24"/>
        </w:rPr>
      </w:pPr>
      <w:r>
        <w:rPr>
          <w:rFonts w:ascii="Times New Roman" w:hAnsi="Times New Roman" w:cs="Times New Roman"/>
          <w:b/>
          <w:bCs/>
          <w:sz w:val="24"/>
          <w:szCs w:val="24"/>
        </w:rPr>
        <w:t>C</w:t>
      </w:r>
      <w:r w:rsidR="007C7C81">
        <w:rPr>
          <w:rFonts w:ascii="Times New Roman" w:hAnsi="Times New Roman" w:cs="Times New Roman"/>
          <w:b/>
          <w:bCs/>
          <w:sz w:val="24"/>
          <w:szCs w:val="24"/>
        </w:rPr>
        <w:t>láusulas abusivas y costas procesales</w:t>
      </w:r>
    </w:p>
    <w:p w14:paraId="79F77221" w14:textId="1A427D9F" w:rsidR="007C7C81" w:rsidRDefault="00C37DE5" w:rsidP="002B1E17">
      <w:pPr>
        <w:spacing w:after="240"/>
        <w:jc w:val="both"/>
        <w:rPr>
          <w:rFonts w:ascii="Times New Roman" w:hAnsi="Times New Roman" w:cs="Times New Roman"/>
          <w:sz w:val="24"/>
          <w:szCs w:val="24"/>
        </w:rPr>
      </w:pPr>
      <w:hyperlink r:id="rId50" w:history="1">
        <w:r w:rsidR="007C7C81" w:rsidRPr="007C7C81">
          <w:rPr>
            <w:rStyle w:val="Hipervnculo"/>
            <w:rFonts w:ascii="Times New Roman" w:hAnsi="Times New Roman" w:cs="Times New Roman"/>
            <w:sz w:val="24"/>
            <w:szCs w:val="24"/>
          </w:rPr>
          <w:t>STS, Sala Primera, 18/2021, de 19 de enero de 2021</w:t>
        </w:r>
      </w:hyperlink>
      <w:r w:rsidR="007C7C81" w:rsidRPr="007C7C81">
        <w:rPr>
          <w:rFonts w:ascii="Times New Roman" w:hAnsi="Times New Roman" w:cs="Times New Roman"/>
          <w:sz w:val="24"/>
          <w:szCs w:val="24"/>
        </w:rPr>
        <w:t xml:space="preserve">. “Nulidad de cláusulas abusivas en un contrato concertado con consumidores. Principio de efectividad del Derecho de la UE”. </w:t>
      </w:r>
    </w:p>
    <w:p w14:paraId="43E3633D" w14:textId="3E66C94E" w:rsidR="00E67C54" w:rsidRPr="007C7C81" w:rsidRDefault="00C37DE5" w:rsidP="002B1E17">
      <w:pPr>
        <w:spacing w:after="240"/>
        <w:jc w:val="both"/>
        <w:rPr>
          <w:rFonts w:ascii="Times New Roman" w:hAnsi="Times New Roman" w:cs="Times New Roman"/>
          <w:sz w:val="24"/>
          <w:szCs w:val="24"/>
        </w:rPr>
      </w:pPr>
      <w:hyperlink r:id="rId51" w:history="1">
        <w:r w:rsidR="00E67C54" w:rsidRPr="002B1E17">
          <w:rPr>
            <w:rStyle w:val="Hipervnculo"/>
            <w:rFonts w:ascii="Times New Roman" w:hAnsi="Times New Roman" w:cs="Times New Roman"/>
            <w:sz w:val="24"/>
            <w:szCs w:val="24"/>
          </w:rPr>
          <w:t>STS, Sala Primera, 27/2021, de 25 de enero de 2021</w:t>
        </w:r>
      </w:hyperlink>
      <w:r w:rsidR="00E67C54" w:rsidRPr="002B1E17">
        <w:rPr>
          <w:rFonts w:ascii="Times New Roman" w:hAnsi="Times New Roman" w:cs="Times New Roman"/>
          <w:sz w:val="24"/>
          <w:szCs w:val="24"/>
        </w:rPr>
        <w:t xml:space="preserve">. “Nulidad de cláusulas suelo. No imposición de costas de primera instancia al apreciar serias dudas de derecho. Vulneración del principio de efectividad del derecho de la Unión”. </w:t>
      </w:r>
    </w:p>
    <w:p w14:paraId="0FDBE0B4" w14:textId="2139016A" w:rsidR="007C7C81" w:rsidRDefault="00C37DE5" w:rsidP="002B1E17">
      <w:pPr>
        <w:spacing w:after="240"/>
        <w:jc w:val="both"/>
        <w:rPr>
          <w:rFonts w:ascii="Times New Roman" w:hAnsi="Times New Roman" w:cs="Times New Roman"/>
          <w:sz w:val="24"/>
          <w:szCs w:val="24"/>
        </w:rPr>
      </w:pPr>
      <w:hyperlink r:id="rId52" w:history="1">
        <w:r w:rsidR="007C7C81" w:rsidRPr="007C7C81">
          <w:rPr>
            <w:rStyle w:val="Hipervnculo"/>
            <w:rFonts w:ascii="Times New Roman" w:hAnsi="Times New Roman" w:cs="Times New Roman"/>
            <w:sz w:val="24"/>
            <w:szCs w:val="24"/>
          </w:rPr>
          <w:t>STS, Sala Primera, 31/2021, de 26 de enero de 2021</w:t>
        </w:r>
      </w:hyperlink>
      <w:r w:rsidR="007C7C81" w:rsidRPr="007C7C81">
        <w:rPr>
          <w:rFonts w:ascii="Times New Roman" w:hAnsi="Times New Roman" w:cs="Times New Roman"/>
          <w:sz w:val="24"/>
          <w:szCs w:val="24"/>
        </w:rPr>
        <w:t>. “Cláusulas abusivas en contratos con consumidores. Costas procesales: serias dudas de derecho; principio de no vinculación y disuasorio. La regla general del vencimiento favorece el principio de efectividad del Derecho de la Unión Europea”.</w:t>
      </w:r>
      <w:r w:rsidR="007C7C81" w:rsidRPr="002B1E17">
        <w:rPr>
          <w:rFonts w:ascii="Times New Roman" w:hAnsi="Times New Roman" w:cs="Times New Roman"/>
          <w:sz w:val="24"/>
          <w:szCs w:val="24"/>
        </w:rPr>
        <w:t xml:space="preserve"> </w:t>
      </w:r>
    </w:p>
    <w:p w14:paraId="4659E7BB" w14:textId="7E16CCEB" w:rsidR="00823AEA" w:rsidRDefault="00C37DE5" w:rsidP="002B1E17">
      <w:pPr>
        <w:spacing w:after="240"/>
        <w:jc w:val="both"/>
        <w:rPr>
          <w:rFonts w:ascii="Times New Roman" w:hAnsi="Times New Roman" w:cs="Times New Roman"/>
          <w:sz w:val="24"/>
          <w:szCs w:val="24"/>
        </w:rPr>
      </w:pPr>
      <w:hyperlink r:id="rId53" w:history="1">
        <w:r w:rsidR="00823AEA" w:rsidRPr="002B1E17">
          <w:rPr>
            <w:rStyle w:val="Hipervnculo"/>
            <w:rFonts w:ascii="Times New Roman" w:hAnsi="Times New Roman" w:cs="Times New Roman"/>
            <w:sz w:val="24"/>
            <w:szCs w:val="24"/>
          </w:rPr>
          <w:t>STS, Sala Primera, 36/2021, de 27 de enero de 2021</w:t>
        </w:r>
      </w:hyperlink>
      <w:r w:rsidR="00823AEA" w:rsidRPr="002B1E17">
        <w:rPr>
          <w:rFonts w:ascii="Times New Roman" w:hAnsi="Times New Roman" w:cs="Times New Roman"/>
          <w:sz w:val="24"/>
          <w:szCs w:val="24"/>
        </w:rPr>
        <w:t xml:space="preserve">. “Litigio sobre cláusula suelo. Allanamiento de la entidad financiera tras haber rechazado la reclamación extrajudicial del consumidor realizada con anterioridad a RDL 1/2017. Imposición de las costas de primera instancia a la entidad financiera”. </w:t>
      </w:r>
    </w:p>
    <w:p w14:paraId="2CA0B3A9" w14:textId="5E269145" w:rsidR="00823AEA" w:rsidRDefault="00C37DE5" w:rsidP="002B1E17">
      <w:pPr>
        <w:spacing w:after="240"/>
        <w:jc w:val="both"/>
        <w:rPr>
          <w:rFonts w:ascii="Times New Roman" w:hAnsi="Times New Roman" w:cs="Times New Roman"/>
          <w:sz w:val="24"/>
          <w:szCs w:val="24"/>
        </w:rPr>
      </w:pPr>
      <w:hyperlink r:id="rId54" w:history="1">
        <w:r w:rsidR="00823AEA" w:rsidRPr="00891EF7">
          <w:rPr>
            <w:rStyle w:val="Hipervnculo"/>
            <w:rFonts w:ascii="Times New Roman" w:hAnsi="Times New Roman" w:cs="Times New Roman"/>
            <w:sz w:val="24"/>
            <w:szCs w:val="24"/>
          </w:rPr>
          <w:t>STS, Sala Primera, 131/2021, de 9 de marzo de 2021</w:t>
        </w:r>
      </w:hyperlink>
      <w:r w:rsidR="00823AEA">
        <w:rPr>
          <w:rFonts w:ascii="Times New Roman" w:hAnsi="Times New Roman" w:cs="Times New Roman"/>
          <w:sz w:val="24"/>
          <w:szCs w:val="24"/>
        </w:rPr>
        <w:t>. “</w:t>
      </w:r>
      <w:r w:rsidR="00823AEA" w:rsidRPr="00891EF7">
        <w:rPr>
          <w:rFonts w:ascii="Times New Roman" w:hAnsi="Times New Roman" w:cs="Times New Roman"/>
          <w:sz w:val="24"/>
          <w:szCs w:val="24"/>
        </w:rPr>
        <w:t>Acción de nulidad de cláusula suelo en préstamo hipotecario. No imposición de las costas al banco demandado que se allanó a la demanda. Jurisprudencia sobre costas en el allanamiento en los litigios sobre cláusulas abusivas</w:t>
      </w:r>
      <w:r w:rsidR="00823AEA">
        <w:rPr>
          <w:rFonts w:ascii="Times New Roman" w:hAnsi="Times New Roman" w:cs="Times New Roman"/>
          <w:sz w:val="24"/>
          <w:szCs w:val="24"/>
        </w:rPr>
        <w:t>”.</w:t>
      </w:r>
    </w:p>
    <w:p w14:paraId="1446A4CF" w14:textId="6744EA9C" w:rsidR="00823AEA" w:rsidRPr="007C7C81" w:rsidRDefault="00C37DE5" w:rsidP="002B1E17">
      <w:pPr>
        <w:spacing w:after="240"/>
        <w:jc w:val="both"/>
        <w:rPr>
          <w:rFonts w:ascii="Times New Roman" w:hAnsi="Times New Roman" w:cs="Times New Roman"/>
          <w:sz w:val="24"/>
          <w:szCs w:val="24"/>
        </w:rPr>
      </w:pPr>
      <w:hyperlink r:id="rId55" w:history="1">
        <w:r w:rsidR="00823AEA" w:rsidRPr="00033A21">
          <w:rPr>
            <w:rStyle w:val="Hipervnculo"/>
            <w:rFonts w:ascii="Times New Roman" w:hAnsi="Times New Roman" w:cs="Times New Roman"/>
            <w:sz w:val="24"/>
            <w:szCs w:val="24"/>
          </w:rPr>
          <w:t>STS, Sala Primera, 151/2021, de 16 de marzo de 2021</w:t>
        </w:r>
      </w:hyperlink>
      <w:r w:rsidR="00823AEA">
        <w:rPr>
          <w:rFonts w:ascii="Times New Roman" w:hAnsi="Times New Roman" w:cs="Times New Roman"/>
          <w:sz w:val="24"/>
          <w:szCs w:val="24"/>
        </w:rPr>
        <w:t>. “</w:t>
      </w:r>
      <w:r w:rsidR="00823AEA" w:rsidRPr="00033A21">
        <w:rPr>
          <w:rFonts w:ascii="Times New Roman" w:hAnsi="Times New Roman" w:cs="Times New Roman"/>
          <w:sz w:val="24"/>
          <w:szCs w:val="24"/>
        </w:rPr>
        <w:t xml:space="preserve">Nulidad por abusividad de las cláusulas de vencimiento anticipado y de gastos en un contrato de préstamo hipotecario concertado con consumidores. Gastos de tasación. Impugnación de la condena en costas en el recurso por infracción procesal. Reiteración de doctrina de la </w:t>
      </w:r>
      <w:r w:rsidR="00823AEA">
        <w:rPr>
          <w:rFonts w:ascii="Times New Roman" w:hAnsi="Times New Roman" w:cs="Times New Roman"/>
          <w:sz w:val="24"/>
          <w:szCs w:val="24"/>
        </w:rPr>
        <w:t>S</w:t>
      </w:r>
      <w:r w:rsidR="00823AEA" w:rsidRPr="00033A21">
        <w:rPr>
          <w:rFonts w:ascii="Times New Roman" w:hAnsi="Times New Roman" w:cs="Times New Roman"/>
          <w:sz w:val="24"/>
          <w:szCs w:val="24"/>
        </w:rPr>
        <w:t>ala</w:t>
      </w:r>
      <w:r w:rsidR="00823AEA">
        <w:rPr>
          <w:rFonts w:ascii="Times New Roman" w:hAnsi="Times New Roman" w:cs="Times New Roman"/>
          <w:sz w:val="24"/>
          <w:szCs w:val="24"/>
        </w:rPr>
        <w:t xml:space="preserve">”. </w:t>
      </w:r>
    </w:p>
    <w:p w14:paraId="27D69F04" w14:textId="1F26A62D" w:rsidR="00C07046" w:rsidRDefault="00C07046" w:rsidP="002B1E17">
      <w:pPr>
        <w:spacing w:after="240"/>
        <w:jc w:val="both"/>
        <w:rPr>
          <w:rFonts w:ascii="Times New Roman" w:hAnsi="Times New Roman" w:cs="Times New Roman"/>
          <w:b/>
          <w:bCs/>
          <w:sz w:val="24"/>
          <w:szCs w:val="24"/>
        </w:rPr>
      </w:pPr>
      <w:r>
        <w:rPr>
          <w:rFonts w:ascii="Times New Roman" w:hAnsi="Times New Roman" w:cs="Times New Roman"/>
          <w:b/>
          <w:bCs/>
          <w:sz w:val="24"/>
          <w:szCs w:val="24"/>
        </w:rPr>
        <w:t>Préstamos con garantía hipotecaria</w:t>
      </w:r>
      <w:r w:rsidR="00054FB7">
        <w:rPr>
          <w:rFonts w:ascii="Times New Roman" w:hAnsi="Times New Roman" w:cs="Times New Roman"/>
          <w:b/>
          <w:bCs/>
          <w:sz w:val="24"/>
          <w:szCs w:val="24"/>
        </w:rPr>
        <w:t>.</w:t>
      </w:r>
      <w:r>
        <w:rPr>
          <w:rFonts w:ascii="Times New Roman" w:hAnsi="Times New Roman" w:cs="Times New Roman"/>
          <w:b/>
          <w:bCs/>
          <w:sz w:val="24"/>
          <w:szCs w:val="24"/>
        </w:rPr>
        <w:t xml:space="preserve"> “</w:t>
      </w:r>
      <w:r w:rsidR="00054FB7">
        <w:rPr>
          <w:rFonts w:ascii="Times New Roman" w:hAnsi="Times New Roman" w:cs="Times New Roman"/>
          <w:b/>
          <w:bCs/>
          <w:sz w:val="24"/>
          <w:szCs w:val="24"/>
        </w:rPr>
        <w:t>H</w:t>
      </w:r>
      <w:r>
        <w:rPr>
          <w:rFonts w:ascii="Times New Roman" w:hAnsi="Times New Roman" w:cs="Times New Roman"/>
          <w:b/>
          <w:bCs/>
          <w:sz w:val="24"/>
          <w:szCs w:val="24"/>
        </w:rPr>
        <w:t>ipoteca tranquilidad”</w:t>
      </w:r>
    </w:p>
    <w:p w14:paraId="0DD85531" w14:textId="5802D24D" w:rsidR="00C07046" w:rsidRPr="00C07046" w:rsidRDefault="00C37DE5" w:rsidP="00C07046">
      <w:pPr>
        <w:spacing w:after="240"/>
        <w:jc w:val="both"/>
        <w:rPr>
          <w:rFonts w:ascii="Times New Roman" w:hAnsi="Times New Roman" w:cs="Times New Roman"/>
          <w:sz w:val="24"/>
          <w:szCs w:val="24"/>
        </w:rPr>
      </w:pPr>
      <w:hyperlink r:id="rId56" w:history="1">
        <w:r w:rsidR="00C07046" w:rsidRPr="00C07046">
          <w:rPr>
            <w:rStyle w:val="Hipervnculo"/>
            <w:rFonts w:ascii="Times New Roman" w:hAnsi="Times New Roman" w:cs="Times New Roman"/>
            <w:sz w:val="24"/>
            <w:szCs w:val="24"/>
          </w:rPr>
          <w:t>STS, Sala Primera, 162/2021, de 23 de marzo de 2021</w:t>
        </w:r>
      </w:hyperlink>
      <w:r w:rsidR="00C07046">
        <w:rPr>
          <w:rFonts w:ascii="Times New Roman" w:hAnsi="Times New Roman" w:cs="Times New Roman"/>
          <w:sz w:val="24"/>
          <w:szCs w:val="24"/>
        </w:rPr>
        <w:t>. “</w:t>
      </w:r>
      <w:r w:rsidR="00C07046" w:rsidRPr="00C07046">
        <w:rPr>
          <w:rFonts w:ascii="Times New Roman" w:hAnsi="Times New Roman" w:cs="Times New Roman"/>
          <w:sz w:val="24"/>
          <w:szCs w:val="24"/>
        </w:rPr>
        <w:t xml:space="preserve">Modalidad de préstamo hipotecario denominado </w:t>
      </w:r>
      <w:r w:rsidR="001426E9">
        <w:rPr>
          <w:rFonts w:ascii="Times New Roman" w:hAnsi="Times New Roman" w:cs="Times New Roman"/>
          <w:sz w:val="24"/>
          <w:szCs w:val="24"/>
        </w:rPr>
        <w:t>‘</w:t>
      </w:r>
      <w:r w:rsidR="00C07046" w:rsidRPr="00C07046">
        <w:rPr>
          <w:rFonts w:ascii="Times New Roman" w:hAnsi="Times New Roman" w:cs="Times New Roman"/>
          <w:sz w:val="24"/>
          <w:szCs w:val="24"/>
        </w:rPr>
        <w:t>hipoteca tranquilidad</w:t>
      </w:r>
      <w:r w:rsidR="001426E9">
        <w:rPr>
          <w:rFonts w:ascii="Times New Roman" w:hAnsi="Times New Roman" w:cs="Times New Roman"/>
          <w:sz w:val="24"/>
          <w:szCs w:val="24"/>
        </w:rPr>
        <w:t>’</w:t>
      </w:r>
      <w:r w:rsidR="00C07046" w:rsidRPr="00C07046">
        <w:rPr>
          <w:rFonts w:ascii="Times New Roman" w:hAnsi="Times New Roman" w:cs="Times New Roman"/>
          <w:sz w:val="24"/>
          <w:szCs w:val="24"/>
        </w:rPr>
        <w:t>. Control de transparencia</w:t>
      </w:r>
      <w:r w:rsidR="00C07046">
        <w:rPr>
          <w:rFonts w:ascii="Times New Roman" w:hAnsi="Times New Roman" w:cs="Times New Roman"/>
          <w:sz w:val="24"/>
          <w:szCs w:val="24"/>
        </w:rPr>
        <w:t xml:space="preserve">”. </w:t>
      </w:r>
    </w:p>
    <w:p w14:paraId="01C60E0F" w14:textId="2D71EF70" w:rsidR="00C07046" w:rsidRDefault="00C37DE5" w:rsidP="002B1E17">
      <w:pPr>
        <w:spacing w:after="240"/>
        <w:jc w:val="both"/>
        <w:rPr>
          <w:rFonts w:ascii="Times New Roman" w:hAnsi="Times New Roman" w:cs="Times New Roman"/>
          <w:sz w:val="24"/>
          <w:szCs w:val="24"/>
        </w:rPr>
      </w:pPr>
      <w:hyperlink r:id="rId57" w:history="1">
        <w:r w:rsidR="00C07046" w:rsidRPr="00C07046">
          <w:rPr>
            <w:rStyle w:val="Hipervnculo"/>
            <w:rFonts w:ascii="Times New Roman" w:hAnsi="Times New Roman" w:cs="Times New Roman"/>
            <w:sz w:val="24"/>
            <w:szCs w:val="24"/>
          </w:rPr>
          <w:t>STS, Sala Primera, 166/2021, de 23 de marzo de 2021</w:t>
        </w:r>
      </w:hyperlink>
      <w:r w:rsidR="00C07046">
        <w:rPr>
          <w:rFonts w:ascii="Times New Roman" w:hAnsi="Times New Roman" w:cs="Times New Roman"/>
          <w:sz w:val="24"/>
          <w:szCs w:val="24"/>
        </w:rPr>
        <w:t>. “</w:t>
      </w:r>
      <w:r w:rsidR="00C07046" w:rsidRPr="00C07046">
        <w:rPr>
          <w:rFonts w:ascii="Times New Roman" w:hAnsi="Times New Roman" w:cs="Times New Roman"/>
          <w:sz w:val="24"/>
          <w:szCs w:val="24"/>
        </w:rPr>
        <w:t xml:space="preserve">Préstamo hipotecario en la modalidad denominada </w:t>
      </w:r>
      <w:r w:rsidR="001426E9">
        <w:rPr>
          <w:rFonts w:ascii="Times New Roman" w:hAnsi="Times New Roman" w:cs="Times New Roman"/>
          <w:sz w:val="24"/>
          <w:szCs w:val="24"/>
        </w:rPr>
        <w:t>‘</w:t>
      </w:r>
      <w:r w:rsidR="00C07046" w:rsidRPr="00C07046">
        <w:rPr>
          <w:rFonts w:ascii="Times New Roman" w:hAnsi="Times New Roman" w:cs="Times New Roman"/>
          <w:sz w:val="24"/>
          <w:szCs w:val="24"/>
        </w:rPr>
        <w:t>hipoteca tranquilidad</w:t>
      </w:r>
      <w:r w:rsidR="001426E9">
        <w:rPr>
          <w:rFonts w:ascii="Times New Roman" w:hAnsi="Times New Roman" w:cs="Times New Roman"/>
          <w:sz w:val="24"/>
          <w:szCs w:val="24"/>
        </w:rPr>
        <w:t>’</w:t>
      </w:r>
      <w:r w:rsidR="00C07046" w:rsidRPr="00C07046">
        <w:rPr>
          <w:rFonts w:ascii="Times New Roman" w:hAnsi="Times New Roman" w:cs="Times New Roman"/>
          <w:sz w:val="24"/>
          <w:szCs w:val="24"/>
        </w:rPr>
        <w:t>. Control de transparencia</w:t>
      </w:r>
      <w:r w:rsidR="00C07046">
        <w:rPr>
          <w:rFonts w:ascii="Times New Roman" w:hAnsi="Times New Roman" w:cs="Times New Roman"/>
          <w:sz w:val="24"/>
          <w:szCs w:val="24"/>
        </w:rPr>
        <w:t>”</w:t>
      </w:r>
      <w:r w:rsidR="00C07046" w:rsidRPr="00C07046">
        <w:rPr>
          <w:rFonts w:ascii="Times New Roman" w:hAnsi="Times New Roman" w:cs="Times New Roman"/>
          <w:sz w:val="24"/>
          <w:szCs w:val="24"/>
        </w:rPr>
        <w:t>.</w:t>
      </w:r>
    </w:p>
    <w:p w14:paraId="4EC6AC90" w14:textId="77777777" w:rsidR="001426E9" w:rsidRDefault="001426E9" w:rsidP="002B1E17">
      <w:pPr>
        <w:spacing w:after="240"/>
        <w:jc w:val="both"/>
        <w:rPr>
          <w:rFonts w:ascii="Times New Roman" w:hAnsi="Times New Roman" w:cs="Times New Roman"/>
          <w:b/>
          <w:bCs/>
          <w:sz w:val="24"/>
          <w:szCs w:val="24"/>
        </w:rPr>
      </w:pPr>
    </w:p>
    <w:p w14:paraId="0A122AF7" w14:textId="3E5F0D41" w:rsidR="002B1E17" w:rsidRPr="002B1E17" w:rsidRDefault="00750189" w:rsidP="002B1E17">
      <w:pPr>
        <w:spacing w:after="240"/>
        <w:jc w:val="both"/>
        <w:rPr>
          <w:rFonts w:ascii="Times New Roman" w:hAnsi="Times New Roman" w:cs="Times New Roman"/>
          <w:b/>
          <w:bCs/>
          <w:sz w:val="24"/>
          <w:szCs w:val="24"/>
        </w:rPr>
      </w:pPr>
      <w:r>
        <w:rPr>
          <w:rFonts w:ascii="Times New Roman" w:hAnsi="Times New Roman" w:cs="Times New Roman"/>
          <w:b/>
          <w:bCs/>
          <w:sz w:val="24"/>
          <w:szCs w:val="24"/>
        </w:rPr>
        <w:lastRenderedPageBreak/>
        <w:t>Préstamos con garantía hipotecaria</w:t>
      </w:r>
      <w:r w:rsidR="00054FB7">
        <w:rPr>
          <w:rFonts w:ascii="Times New Roman" w:hAnsi="Times New Roman" w:cs="Times New Roman"/>
          <w:b/>
          <w:bCs/>
          <w:sz w:val="24"/>
          <w:szCs w:val="24"/>
        </w:rPr>
        <w:t>.</w:t>
      </w:r>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M</w:t>
      </w:r>
      <w:r w:rsidR="002B1E17" w:rsidRPr="002B1E17">
        <w:rPr>
          <w:rFonts w:ascii="Times New Roman" w:hAnsi="Times New Roman" w:cs="Times New Roman"/>
          <w:b/>
          <w:bCs/>
          <w:sz w:val="24"/>
          <w:szCs w:val="24"/>
        </w:rPr>
        <w:t>ultidivisa</w:t>
      </w:r>
      <w:r>
        <w:rPr>
          <w:rFonts w:ascii="Times New Roman" w:hAnsi="Times New Roman" w:cs="Times New Roman"/>
          <w:b/>
          <w:bCs/>
          <w:sz w:val="24"/>
          <w:szCs w:val="24"/>
        </w:rPr>
        <w:t>s</w:t>
      </w:r>
      <w:proofErr w:type="spellEnd"/>
    </w:p>
    <w:p w14:paraId="7606EF76" w14:textId="77777777" w:rsidR="002B1E17" w:rsidRPr="002B1E17" w:rsidRDefault="00C37DE5" w:rsidP="002B1E17">
      <w:pPr>
        <w:spacing w:after="240"/>
        <w:jc w:val="both"/>
        <w:rPr>
          <w:rFonts w:ascii="Times New Roman" w:hAnsi="Times New Roman" w:cs="Times New Roman"/>
          <w:sz w:val="24"/>
          <w:szCs w:val="24"/>
        </w:rPr>
      </w:pPr>
      <w:hyperlink r:id="rId58" w:history="1">
        <w:r w:rsidR="002B1E17" w:rsidRPr="002B1E17">
          <w:rPr>
            <w:rStyle w:val="Hipervnculo"/>
            <w:rFonts w:ascii="Times New Roman" w:hAnsi="Times New Roman" w:cs="Times New Roman"/>
            <w:sz w:val="24"/>
            <w:szCs w:val="24"/>
          </w:rPr>
          <w:t>STS, Sala Primera, 69/2021, de 9 de febrero de 2021</w:t>
        </w:r>
      </w:hyperlink>
      <w:r w:rsidR="002B1E17" w:rsidRPr="002B1E17">
        <w:rPr>
          <w:rFonts w:ascii="Times New Roman" w:hAnsi="Times New Roman" w:cs="Times New Roman"/>
          <w:sz w:val="24"/>
          <w:szCs w:val="24"/>
        </w:rPr>
        <w:t xml:space="preserve">. “Préstamo hipotecario multidivisa. Control de transparencia. Prestatario que conocía los riesgos asociados al producto”. </w:t>
      </w:r>
    </w:p>
    <w:p w14:paraId="031D88BE" w14:textId="77777777" w:rsidR="002B1E17" w:rsidRPr="002B1E17" w:rsidRDefault="00C37DE5" w:rsidP="002B1E17">
      <w:pPr>
        <w:spacing w:after="240"/>
        <w:jc w:val="both"/>
        <w:rPr>
          <w:rFonts w:ascii="Times New Roman" w:hAnsi="Times New Roman" w:cs="Times New Roman"/>
          <w:sz w:val="24"/>
          <w:szCs w:val="24"/>
        </w:rPr>
      </w:pPr>
      <w:hyperlink r:id="rId59" w:history="1">
        <w:r w:rsidR="002B1E17" w:rsidRPr="002B1E17">
          <w:rPr>
            <w:rStyle w:val="Hipervnculo"/>
            <w:rFonts w:ascii="Times New Roman" w:hAnsi="Times New Roman" w:cs="Times New Roman"/>
            <w:sz w:val="24"/>
            <w:szCs w:val="24"/>
          </w:rPr>
          <w:t>STS, Sala Primera, 84/2021, de 16 de febrero de 2021</w:t>
        </w:r>
      </w:hyperlink>
      <w:r w:rsidR="002B1E17" w:rsidRPr="002B1E17">
        <w:rPr>
          <w:rFonts w:ascii="Times New Roman" w:hAnsi="Times New Roman" w:cs="Times New Roman"/>
          <w:sz w:val="24"/>
          <w:szCs w:val="24"/>
        </w:rPr>
        <w:t xml:space="preserve">. “Préstamo hipotecario multidivisa. Caducidad de la acción de anulabilidad por error vicio”. </w:t>
      </w:r>
    </w:p>
    <w:p w14:paraId="1F1392B4" w14:textId="77777777" w:rsidR="002B1E17" w:rsidRPr="002B1E17" w:rsidRDefault="00C37DE5" w:rsidP="002B1E17">
      <w:pPr>
        <w:spacing w:after="240"/>
        <w:jc w:val="both"/>
        <w:rPr>
          <w:rFonts w:ascii="Times New Roman" w:hAnsi="Times New Roman" w:cs="Times New Roman"/>
          <w:sz w:val="24"/>
          <w:szCs w:val="24"/>
        </w:rPr>
      </w:pPr>
      <w:hyperlink r:id="rId60" w:history="1">
        <w:r w:rsidR="002B1E17" w:rsidRPr="002B1E17">
          <w:rPr>
            <w:rStyle w:val="Hipervnculo"/>
            <w:rFonts w:ascii="Times New Roman" w:hAnsi="Times New Roman" w:cs="Times New Roman"/>
            <w:sz w:val="24"/>
            <w:szCs w:val="24"/>
          </w:rPr>
          <w:t>STS, Sala Primera, 99/2021, de 23 de febrero de 2021</w:t>
        </w:r>
      </w:hyperlink>
      <w:r w:rsidR="002B1E17" w:rsidRPr="002B1E17">
        <w:rPr>
          <w:rFonts w:ascii="Times New Roman" w:hAnsi="Times New Roman" w:cs="Times New Roman"/>
          <w:sz w:val="24"/>
          <w:szCs w:val="24"/>
        </w:rPr>
        <w:t xml:space="preserve">. “Préstamo hipotecario con cláusulas multidivisa o </w:t>
      </w:r>
      <w:proofErr w:type="spellStart"/>
      <w:r w:rsidR="002B1E17" w:rsidRPr="002B1E17">
        <w:rPr>
          <w:rFonts w:ascii="Times New Roman" w:hAnsi="Times New Roman" w:cs="Times New Roman"/>
          <w:sz w:val="24"/>
          <w:szCs w:val="24"/>
        </w:rPr>
        <w:t>multimoneda</w:t>
      </w:r>
      <w:proofErr w:type="spellEnd"/>
      <w:r w:rsidR="002B1E17" w:rsidRPr="002B1E17">
        <w:rPr>
          <w:rFonts w:ascii="Times New Roman" w:hAnsi="Times New Roman" w:cs="Times New Roman"/>
          <w:sz w:val="24"/>
          <w:szCs w:val="24"/>
        </w:rPr>
        <w:t>. Control de transparencia. Reiteración de doctrina”.</w:t>
      </w:r>
    </w:p>
    <w:p w14:paraId="193C9C46" w14:textId="2A0C7BC6" w:rsidR="00033A21" w:rsidRDefault="00C37DE5" w:rsidP="00023371">
      <w:pPr>
        <w:spacing w:after="240"/>
        <w:jc w:val="both"/>
        <w:rPr>
          <w:rFonts w:ascii="Times New Roman" w:hAnsi="Times New Roman" w:cs="Times New Roman"/>
          <w:sz w:val="24"/>
          <w:szCs w:val="24"/>
        </w:rPr>
      </w:pPr>
      <w:hyperlink r:id="rId61" w:history="1">
        <w:r w:rsidR="00033A21" w:rsidRPr="00197F42">
          <w:rPr>
            <w:rStyle w:val="Hipervnculo"/>
            <w:rFonts w:ascii="Times New Roman" w:hAnsi="Times New Roman" w:cs="Times New Roman"/>
            <w:sz w:val="24"/>
            <w:szCs w:val="24"/>
          </w:rPr>
          <w:t>STS, Sala Primera, 154/2021, de 16 de marzo de 2021</w:t>
        </w:r>
      </w:hyperlink>
      <w:r w:rsidR="00033A21">
        <w:rPr>
          <w:rFonts w:ascii="Times New Roman" w:hAnsi="Times New Roman" w:cs="Times New Roman"/>
          <w:sz w:val="24"/>
          <w:szCs w:val="24"/>
        </w:rPr>
        <w:t>. “</w:t>
      </w:r>
      <w:r w:rsidR="00197F42" w:rsidRPr="00197F42">
        <w:rPr>
          <w:rFonts w:ascii="Times New Roman" w:hAnsi="Times New Roman" w:cs="Times New Roman"/>
          <w:sz w:val="24"/>
          <w:szCs w:val="24"/>
        </w:rPr>
        <w:t>Préstamo multidivisa. Control de transparencia del clausulado multidivisa. Reiteración de la jurisprudencia. No existió información precontractual adecuada para que los prestatarios conocieran la naturaleza y riesgos del contrato. Se estima la demanda</w:t>
      </w:r>
      <w:r w:rsidR="00197F42">
        <w:rPr>
          <w:rFonts w:ascii="Times New Roman" w:hAnsi="Times New Roman" w:cs="Times New Roman"/>
          <w:sz w:val="24"/>
          <w:szCs w:val="24"/>
        </w:rPr>
        <w:t xml:space="preserve">”. </w:t>
      </w:r>
      <w:r w:rsidR="00033A21">
        <w:rPr>
          <w:rFonts w:ascii="Times New Roman" w:hAnsi="Times New Roman" w:cs="Times New Roman"/>
          <w:sz w:val="24"/>
          <w:szCs w:val="24"/>
        </w:rPr>
        <w:t xml:space="preserve"> </w:t>
      </w:r>
    </w:p>
    <w:p w14:paraId="6E9E205D" w14:textId="2C47309F" w:rsidR="00197F42" w:rsidRDefault="00C37DE5" w:rsidP="00023371">
      <w:pPr>
        <w:spacing w:after="240"/>
        <w:jc w:val="both"/>
        <w:rPr>
          <w:rFonts w:ascii="Times New Roman" w:hAnsi="Times New Roman" w:cs="Times New Roman"/>
          <w:sz w:val="24"/>
          <w:szCs w:val="24"/>
        </w:rPr>
      </w:pPr>
      <w:hyperlink r:id="rId62" w:history="1">
        <w:r w:rsidR="00197F42" w:rsidRPr="00197F42">
          <w:rPr>
            <w:rStyle w:val="Hipervnculo"/>
            <w:rFonts w:ascii="Times New Roman" w:hAnsi="Times New Roman" w:cs="Times New Roman"/>
            <w:sz w:val="24"/>
            <w:szCs w:val="24"/>
          </w:rPr>
          <w:t>STS, Sala Primera, 155/2021, de 16 de marzo de 2021</w:t>
        </w:r>
      </w:hyperlink>
      <w:r w:rsidR="00197F42">
        <w:rPr>
          <w:rFonts w:ascii="Times New Roman" w:hAnsi="Times New Roman" w:cs="Times New Roman"/>
          <w:sz w:val="24"/>
          <w:szCs w:val="24"/>
        </w:rPr>
        <w:t>. “</w:t>
      </w:r>
      <w:r w:rsidR="00197F42" w:rsidRPr="00197F42">
        <w:rPr>
          <w:rFonts w:ascii="Times New Roman" w:hAnsi="Times New Roman" w:cs="Times New Roman"/>
          <w:sz w:val="24"/>
          <w:szCs w:val="24"/>
        </w:rPr>
        <w:t>Préstamo hipotecario multidivisa. Nulidad de la cláusula referida a la opción multidivisa. Control de transparencia: concreción de las obligaciones de información en el caso de préstamos en divisas. Reiteración de jurisprudencia</w:t>
      </w:r>
      <w:r w:rsidR="00197F42">
        <w:rPr>
          <w:rFonts w:ascii="Times New Roman" w:hAnsi="Times New Roman" w:cs="Times New Roman"/>
          <w:sz w:val="24"/>
          <w:szCs w:val="24"/>
        </w:rPr>
        <w:t xml:space="preserve">”. </w:t>
      </w:r>
    </w:p>
    <w:p w14:paraId="3F4FD0FF" w14:textId="7411ABF0" w:rsidR="00197F42" w:rsidRPr="00197F42" w:rsidRDefault="00C37DE5" w:rsidP="00023371">
      <w:pPr>
        <w:spacing w:after="240"/>
        <w:jc w:val="both"/>
        <w:rPr>
          <w:rFonts w:ascii="Times New Roman" w:hAnsi="Times New Roman" w:cs="Times New Roman"/>
          <w:sz w:val="24"/>
          <w:szCs w:val="24"/>
        </w:rPr>
      </w:pPr>
      <w:hyperlink r:id="rId63" w:history="1">
        <w:r w:rsidR="004D0941" w:rsidRPr="004D0941">
          <w:rPr>
            <w:rStyle w:val="Hipervnculo"/>
            <w:rFonts w:ascii="Times New Roman" w:hAnsi="Times New Roman" w:cs="Times New Roman"/>
            <w:sz w:val="24"/>
            <w:szCs w:val="24"/>
          </w:rPr>
          <w:t>STS, Sala Primera, 188/2021, de 31 de marzo de 2021</w:t>
        </w:r>
      </w:hyperlink>
      <w:r w:rsidR="004D0941">
        <w:rPr>
          <w:rFonts w:ascii="Times New Roman" w:hAnsi="Times New Roman" w:cs="Times New Roman"/>
          <w:sz w:val="24"/>
          <w:szCs w:val="24"/>
        </w:rPr>
        <w:t>. “</w:t>
      </w:r>
      <w:r w:rsidR="004D0941" w:rsidRPr="004D0941">
        <w:rPr>
          <w:rFonts w:ascii="Times New Roman" w:hAnsi="Times New Roman" w:cs="Times New Roman"/>
          <w:sz w:val="24"/>
          <w:szCs w:val="24"/>
        </w:rPr>
        <w:t xml:space="preserve">Préstamo hipotecario con cláusulas multidivisa o </w:t>
      </w:r>
      <w:proofErr w:type="spellStart"/>
      <w:r w:rsidR="004D0941" w:rsidRPr="004D0941">
        <w:rPr>
          <w:rFonts w:ascii="Times New Roman" w:hAnsi="Times New Roman" w:cs="Times New Roman"/>
          <w:sz w:val="24"/>
          <w:szCs w:val="24"/>
        </w:rPr>
        <w:t>multimoneda</w:t>
      </w:r>
      <w:proofErr w:type="spellEnd"/>
      <w:r w:rsidR="004D0941" w:rsidRPr="004D0941">
        <w:rPr>
          <w:rFonts w:ascii="Times New Roman" w:hAnsi="Times New Roman" w:cs="Times New Roman"/>
          <w:sz w:val="24"/>
          <w:szCs w:val="24"/>
        </w:rPr>
        <w:t>. Control de transparencia. Reiteración de doctrina</w:t>
      </w:r>
      <w:r w:rsidR="004D0941">
        <w:rPr>
          <w:rFonts w:ascii="Times New Roman" w:hAnsi="Times New Roman" w:cs="Times New Roman"/>
          <w:sz w:val="24"/>
          <w:szCs w:val="24"/>
        </w:rPr>
        <w:t xml:space="preserve">”. </w:t>
      </w:r>
    </w:p>
    <w:p w14:paraId="21D69CB3" w14:textId="77777777" w:rsidR="00C07046" w:rsidRPr="002B1E17" w:rsidRDefault="00C07046" w:rsidP="00C07046">
      <w:pPr>
        <w:spacing w:after="240"/>
        <w:jc w:val="both"/>
        <w:rPr>
          <w:rFonts w:ascii="Times New Roman" w:hAnsi="Times New Roman" w:cs="Times New Roman"/>
          <w:b/>
          <w:bCs/>
          <w:sz w:val="24"/>
          <w:szCs w:val="24"/>
        </w:rPr>
      </w:pPr>
      <w:r>
        <w:rPr>
          <w:rFonts w:ascii="Times New Roman" w:hAnsi="Times New Roman" w:cs="Times New Roman"/>
          <w:b/>
          <w:bCs/>
          <w:sz w:val="24"/>
          <w:szCs w:val="24"/>
        </w:rPr>
        <w:t xml:space="preserve">Préstamos con garantía hipotecaria. </w:t>
      </w:r>
      <w:r w:rsidRPr="002B1E17">
        <w:rPr>
          <w:rFonts w:ascii="Times New Roman" w:hAnsi="Times New Roman" w:cs="Times New Roman"/>
          <w:b/>
          <w:bCs/>
          <w:sz w:val="24"/>
          <w:szCs w:val="24"/>
        </w:rPr>
        <w:t>Vencimiento anticipado</w:t>
      </w:r>
    </w:p>
    <w:p w14:paraId="6AFDB35B" w14:textId="424D9403" w:rsidR="00C07046" w:rsidRPr="00C07046" w:rsidRDefault="00C37DE5" w:rsidP="00023371">
      <w:pPr>
        <w:spacing w:after="240"/>
        <w:jc w:val="both"/>
        <w:rPr>
          <w:rFonts w:ascii="Times New Roman" w:hAnsi="Times New Roman" w:cs="Times New Roman"/>
          <w:sz w:val="24"/>
          <w:szCs w:val="24"/>
        </w:rPr>
      </w:pPr>
      <w:hyperlink r:id="rId64" w:history="1">
        <w:r w:rsidR="00C07046" w:rsidRPr="002B1E17">
          <w:rPr>
            <w:rStyle w:val="Hipervnculo"/>
            <w:rFonts w:ascii="Times New Roman" w:hAnsi="Times New Roman" w:cs="Times New Roman"/>
            <w:sz w:val="24"/>
            <w:szCs w:val="24"/>
          </w:rPr>
          <w:t>STS, Sala Primera, 39/2021, de 2 de febrero de 2021</w:t>
        </w:r>
      </w:hyperlink>
      <w:r w:rsidR="00C07046" w:rsidRPr="002B1E17">
        <w:rPr>
          <w:rFonts w:ascii="Times New Roman" w:hAnsi="Times New Roman" w:cs="Times New Roman"/>
          <w:sz w:val="24"/>
          <w:szCs w:val="24"/>
        </w:rPr>
        <w:t xml:space="preserve">. “Préstamo hipotecario. Proceso declarativo en el que se ejercita la pretensión de vencimiento anticipado. Incumplimiento grave y esencial de las obligaciones del prestatario que deja de pagar las cuotas. Pérdida del beneficio del plazo”. </w:t>
      </w:r>
    </w:p>
    <w:p w14:paraId="17A5A8AF" w14:textId="2B154B7D" w:rsidR="00023371" w:rsidRPr="002B1E17" w:rsidRDefault="00023371" w:rsidP="00023371">
      <w:pPr>
        <w:spacing w:after="240"/>
        <w:jc w:val="both"/>
        <w:rPr>
          <w:rFonts w:ascii="Times New Roman" w:hAnsi="Times New Roman" w:cs="Times New Roman"/>
          <w:b/>
          <w:bCs/>
          <w:sz w:val="24"/>
          <w:szCs w:val="24"/>
        </w:rPr>
      </w:pPr>
      <w:r w:rsidRPr="002B1E17">
        <w:rPr>
          <w:rFonts w:ascii="Times New Roman" w:hAnsi="Times New Roman" w:cs="Times New Roman"/>
          <w:b/>
          <w:bCs/>
          <w:sz w:val="24"/>
          <w:szCs w:val="24"/>
        </w:rPr>
        <w:t>Contratos “swap”</w:t>
      </w:r>
    </w:p>
    <w:p w14:paraId="4944F7BF" w14:textId="77777777" w:rsidR="00023371" w:rsidRPr="002B1E17" w:rsidRDefault="00C37DE5" w:rsidP="00023371">
      <w:pPr>
        <w:spacing w:after="240"/>
        <w:jc w:val="both"/>
        <w:rPr>
          <w:rFonts w:ascii="Times New Roman" w:hAnsi="Times New Roman" w:cs="Times New Roman"/>
          <w:sz w:val="24"/>
          <w:szCs w:val="24"/>
        </w:rPr>
      </w:pPr>
      <w:hyperlink r:id="rId65" w:history="1">
        <w:r w:rsidR="00023371" w:rsidRPr="002B1E17">
          <w:rPr>
            <w:rStyle w:val="Hipervnculo"/>
            <w:rFonts w:ascii="Times New Roman" w:hAnsi="Times New Roman" w:cs="Times New Roman"/>
            <w:sz w:val="24"/>
            <w:szCs w:val="24"/>
          </w:rPr>
          <w:t>STS, Sala Primera, 19/2021, de 19 de enero de 2021</w:t>
        </w:r>
      </w:hyperlink>
      <w:r w:rsidR="00023371" w:rsidRPr="002B1E17">
        <w:rPr>
          <w:rFonts w:ascii="Times New Roman" w:hAnsi="Times New Roman" w:cs="Times New Roman"/>
          <w:sz w:val="24"/>
          <w:szCs w:val="24"/>
        </w:rPr>
        <w:t xml:space="preserve">. “Nulidad swap por error en el consentimiento. </w:t>
      </w:r>
      <w:proofErr w:type="spellStart"/>
      <w:r w:rsidR="00023371" w:rsidRPr="002B1E17">
        <w:rPr>
          <w:rFonts w:ascii="Times New Roman" w:hAnsi="Times New Roman" w:cs="Times New Roman"/>
          <w:sz w:val="24"/>
          <w:szCs w:val="24"/>
        </w:rPr>
        <w:t>Dies</w:t>
      </w:r>
      <w:proofErr w:type="spellEnd"/>
      <w:r w:rsidR="00023371" w:rsidRPr="002B1E17">
        <w:rPr>
          <w:rFonts w:ascii="Times New Roman" w:hAnsi="Times New Roman" w:cs="Times New Roman"/>
          <w:sz w:val="24"/>
          <w:szCs w:val="24"/>
        </w:rPr>
        <w:t xml:space="preserve"> a quo del plazo de ejercicio de la acción de anulación. Alcance del deber de control de oficio de cláusulas abusivas”. </w:t>
      </w:r>
    </w:p>
    <w:p w14:paraId="75E140BC" w14:textId="77777777" w:rsidR="00023371" w:rsidRPr="002B1E17" w:rsidRDefault="00C37DE5" w:rsidP="00023371">
      <w:pPr>
        <w:spacing w:after="240"/>
        <w:jc w:val="both"/>
        <w:rPr>
          <w:rFonts w:ascii="Times New Roman" w:hAnsi="Times New Roman" w:cs="Times New Roman"/>
          <w:sz w:val="24"/>
          <w:szCs w:val="24"/>
        </w:rPr>
      </w:pPr>
      <w:hyperlink r:id="rId66" w:history="1">
        <w:r w:rsidR="00023371" w:rsidRPr="002B1E17">
          <w:rPr>
            <w:rStyle w:val="Hipervnculo"/>
            <w:rFonts w:ascii="Times New Roman" w:hAnsi="Times New Roman" w:cs="Times New Roman"/>
            <w:sz w:val="24"/>
            <w:szCs w:val="24"/>
          </w:rPr>
          <w:t>STS, Sala Primera, 21/2021, de 21 de enero de 2021</w:t>
        </w:r>
      </w:hyperlink>
      <w:r w:rsidR="00023371" w:rsidRPr="002B1E17">
        <w:rPr>
          <w:rFonts w:ascii="Times New Roman" w:hAnsi="Times New Roman" w:cs="Times New Roman"/>
          <w:sz w:val="24"/>
          <w:szCs w:val="24"/>
        </w:rPr>
        <w:t xml:space="preserve">. “Swap. Admisión de hechos por incomparecencia al interrogatorio de parte. Requisitos. Improcedencia. Concurrencia de error vicio del consentimiento”. </w:t>
      </w:r>
    </w:p>
    <w:p w14:paraId="5D7D7125" w14:textId="77777777" w:rsidR="00023371" w:rsidRPr="002B1E17" w:rsidRDefault="00C37DE5" w:rsidP="00023371">
      <w:pPr>
        <w:spacing w:after="240"/>
        <w:jc w:val="both"/>
        <w:rPr>
          <w:rFonts w:ascii="Times New Roman" w:hAnsi="Times New Roman" w:cs="Times New Roman"/>
          <w:sz w:val="24"/>
          <w:szCs w:val="24"/>
        </w:rPr>
      </w:pPr>
      <w:hyperlink r:id="rId67" w:history="1">
        <w:r w:rsidR="00023371" w:rsidRPr="002B1E17">
          <w:rPr>
            <w:rStyle w:val="Hipervnculo"/>
            <w:rFonts w:ascii="Times New Roman" w:hAnsi="Times New Roman" w:cs="Times New Roman"/>
            <w:sz w:val="24"/>
            <w:szCs w:val="24"/>
          </w:rPr>
          <w:t>STS, Sala Primera, 47/2021, de 2 de febrero de 2021</w:t>
        </w:r>
      </w:hyperlink>
      <w:r w:rsidR="00023371" w:rsidRPr="002B1E17">
        <w:rPr>
          <w:rFonts w:ascii="Times New Roman" w:hAnsi="Times New Roman" w:cs="Times New Roman"/>
          <w:sz w:val="24"/>
          <w:szCs w:val="24"/>
        </w:rPr>
        <w:t xml:space="preserve">. “Contrato de swap. Nulidad de cláusulas abusivas”. </w:t>
      </w:r>
    </w:p>
    <w:p w14:paraId="306A743B" w14:textId="77777777" w:rsidR="00023371" w:rsidRPr="002B1E17" w:rsidRDefault="00C37DE5" w:rsidP="00023371">
      <w:pPr>
        <w:spacing w:after="240"/>
        <w:jc w:val="both"/>
        <w:rPr>
          <w:rFonts w:ascii="Times New Roman" w:hAnsi="Times New Roman" w:cs="Times New Roman"/>
          <w:sz w:val="24"/>
          <w:szCs w:val="24"/>
        </w:rPr>
      </w:pPr>
      <w:hyperlink r:id="rId68" w:history="1">
        <w:r w:rsidR="00023371" w:rsidRPr="002B1E17">
          <w:rPr>
            <w:rStyle w:val="Hipervnculo"/>
            <w:rFonts w:ascii="Times New Roman" w:hAnsi="Times New Roman" w:cs="Times New Roman"/>
            <w:sz w:val="24"/>
            <w:szCs w:val="24"/>
          </w:rPr>
          <w:t>STS, Sala Primera, 58/2021, de 8 de febrero de 2021</w:t>
        </w:r>
      </w:hyperlink>
      <w:r w:rsidR="00023371" w:rsidRPr="002B1E17">
        <w:rPr>
          <w:rFonts w:ascii="Times New Roman" w:hAnsi="Times New Roman" w:cs="Times New Roman"/>
          <w:sz w:val="24"/>
          <w:szCs w:val="24"/>
        </w:rPr>
        <w:t xml:space="preserve">. “Swap. Acción de anulabilidad que es estimada en casación, al no estar caducada”. </w:t>
      </w:r>
    </w:p>
    <w:p w14:paraId="0BB8572D" w14:textId="77777777" w:rsidR="00023371" w:rsidRPr="002B1E17" w:rsidRDefault="00023371" w:rsidP="00023371">
      <w:pPr>
        <w:spacing w:after="240"/>
        <w:jc w:val="both"/>
        <w:rPr>
          <w:rFonts w:ascii="Times New Roman" w:hAnsi="Times New Roman" w:cs="Times New Roman"/>
          <w:b/>
          <w:bCs/>
          <w:sz w:val="24"/>
          <w:szCs w:val="24"/>
        </w:rPr>
      </w:pPr>
      <w:r w:rsidRPr="002B1E17">
        <w:rPr>
          <w:rFonts w:ascii="Times New Roman" w:hAnsi="Times New Roman" w:cs="Times New Roman"/>
          <w:b/>
          <w:bCs/>
          <w:sz w:val="24"/>
          <w:szCs w:val="24"/>
        </w:rPr>
        <w:t>Tarjetas “revolving”. Nulidad por usura</w:t>
      </w:r>
    </w:p>
    <w:p w14:paraId="39F521A7" w14:textId="53CF4E25" w:rsidR="00023371" w:rsidRPr="002B1E17" w:rsidRDefault="00C37DE5" w:rsidP="00023371">
      <w:pPr>
        <w:spacing w:after="240"/>
        <w:jc w:val="both"/>
        <w:rPr>
          <w:rFonts w:ascii="Times New Roman" w:hAnsi="Times New Roman" w:cs="Times New Roman"/>
          <w:sz w:val="24"/>
          <w:szCs w:val="24"/>
        </w:rPr>
      </w:pPr>
      <w:hyperlink r:id="rId69" w:history="1">
        <w:r w:rsidR="00023371" w:rsidRPr="002B1E17">
          <w:rPr>
            <w:rStyle w:val="Hipervnculo"/>
            <w:rFonts w:ascii="Times New Roman" w:hAnsi="Times New Roman" w:cs="Times New Roman"/>
            <w:sz w:val="24"/>
            <w:szCs w:val="24"/>
          </w:rPr>
          <w:t>STS, Sala Primera, 40/2021, de 2 de febrero de 2021</w:t>
        </w:r>
      </w:hyperlink>
      <w:r w:rsidR="00023371" w:rsidRPr="002B1E17">
        <w:rPr>
          <w:rFonts w:ascii="Times New Roman" w:hAnsi="Times New Roman" w:cs="Times New Roman"/>
          <w:sz w:val="24"/>
          <w:szCs w:val="24"/>
        </w:rPr>
        <w:t xml:space="preserve">. “Nulidad por usura de contrato de tarjeta de crédito </w:t>
      </w:r>
      <w:r w:rsidR="004A67EC">
        <w:rPr>
          <w:rFonts w:ascii="Times New Roman" w:hAnsi="Times New Roman" w:cs="Times New Roman"/>
          <w:sz w:val="24"/>
          <w:szCs w:val="24"/>
        </w:rPr>
        <w:t>‘</w:t>
      </w:r>
      <w:r w:rsidR="00023371" w:rsidRPr="002B1E17">
        <w:rPr>
          <w:rFonts w:ascii="Times New Roman" w:hAnsi="Times New Roman" w:cs="Times New Roman"/>
          <w:sz w:val="24"/>
          <w:szCs w:val="24"/>
        </w:rPr>
        <w:t>revolving</w:t>
      </w:r>
      <w:r w:rsidR="004A67EC">
        <w:rPr>
          <w:rFonts w:ascii="Times New Roman" w:hAnsi="Times New Roman" w:cs="Times New Roman"/>
          <w:sz w:val="24"/>
          <w:szCs w:val="24"/>
        </w:rPr>
        <w:t>’</w:t>
      </w:r>
      <w:r w:rsidR="00023371" w:rsidRPr="002B1E17">
        <w:rPr>
          <w:rFonts w:ascii="Times New Roman" w:hAnsi="Times New Roman" w:cs="Times New Roman"/>
          <w:sz w:val="24"/>
          <w:szCs w:val="24"/>
        </w:rPr>
        <w:t xml:space="preserve">. No imposición de costas por apreciar dudas de derecho. Aplicación de la excepción al principio general del vencimiento”. </w:t>
      </w:r>
    </w:p>
    <w:p w14:paraId="7B1C5F45" w14:textId="27B6FFB2" w:rsidR="00023371" w:rsidRPr="002B1E17" w:rsidRDefault="00023371" w:rsidP="00023371">
      <w:pPr>
        <w:spacing w:after="240"/>
        <w:jc w:val="both"/>
        <w:rPr>
          <w:rFonts w:ascii="Times New Roman" w:hAnsi="Times New Roman" w:cs="Times New Roman"/>
          <w:b/>
          <w:bCs/>
          <w:sz w:val="24"/>
          <w:szCs w:val="24"/>
        </w:rPr>
      </w:pPr>
      <w:r w:rsidRPr="002B1E17">
        <w:rPr>
          <w:rFonts w:ascii="Times New Roman" w:hAnsi="Times New Roman" w:cs="Times New Roman"/>
          <w:b/>
          <w:bCs/>
          <w:sz w:val="24"/>
          <w:szCs w:val="24"/>
        </w:rPr>
        <w:t>Compraventa de vivienda. Devolución de anticipos</w:t>
      </w:r>
    </w:p>
    <w:p w14:paraId="0A7FC165" w14:textId="369C4CBE" w:rsidR="00023371" w:rsidRDefault="00C37DE5" w:rsidP="00023371">
      <w:pPr>
        <w:spacing w:after="240"/>
        <w:jc w:val="both"/>
        <w:rPr>
          <w:rFonts w:ascii="Times New Roman" w:hAnsi="Times New Roman" w:cs="Times New Roman"/>
          <w:sz w:val="24"/>
          <w:szCs w:val="24"/>
        </w:rPr>
      </w:pPr>
      <w:hyperlink r:id="rId70" w:history="1">
        <w:r w:rsidR="00023371" w:rsidRPr="002B1E17">
          <w:rPr>
            <w:rStyle w:val="Hipervnculo"/>
            <w:rFonts w:ascii="Times New Roman" w:hAnsi="Times New Roman" w:cs="Times New Roman"/>
            <w:sz w:val="24"/>
            <w:szCs w:val="24"/>
          </w:rPr>
          <w:t>STS, Sala Primera, 23/2021, de 25 de enero de 2021</w:t>
        </w:r>
      </w:hyperlink>
      <w:r w:rsidR="00023371" w:rsidRPr="002B1E17">
        <w:rPr>
          <w:rFonts w:ascii="Times New Roman" w:hAnsi="Times New Roman" w:cs="Times New Roman"/>
          <w:sz w:val="24"/>
          <w:szCs w:val="24"/>
        </w:rPr>
        <w:t xml:space="preserve">. “Ley 57/1968. Devolución de los anticipos. Responsabilidad de la entidad avalista por el total de las cantidades anticipadas por los compradores correspondientes a pagos previstos en el contrato, aunque se hayan abonado en metálico”. </w:t>
      </w:r>
    </w:p>
    <w:p w14:paraId="2538E74C" w14:textId="10994C81" w:rsidR="00AB31D0" w:rsidRPr="00AB31D0" w:rsidRDefault="00AB31D0" w:rsidP="00023371">
      <w:pPr>
        <w:spacing w:after="240"/>
        <w:jc w:val="both"/>
        <w:rPr>
          <w:rFonts w:ascii="Times New Roman" w:hAnsi="Times New Roman" w:cs="Times New Roman"/>
          <w:b/>
          <w:bCs/>
          <w:sz w:val="24"/>
          <w:szCs w:val="24"/>
        </w:rPr>
      </w:pPr>
      <w:r w:rsidRPr="00AB31D0">
        <w:rPr>
          <w:rFonts w:ascii="Times New Roman" w:hAnsi="Times New Roman" w:cs="Times New Roman"/>
          <w:b/>
          <w:bCs/>
          <w:sz w:val="24"/>
          <w:szCs w:val="24"/>
        </w:rPr>
        <w:t>Contrato</w:t>
      </w:r>
      <w:r w:rsidR="001426E9">
        <w:rPr>
          <w:rFonts w:ascii="Times New Roman" w:hAnsi="Times New Roman" w:cs="Times New Roman"/>
          <w:b/>
          <w:bCs/>
          <w:sz w:val="24"/>
          <w:szCs w:val="24"/>
        </w:rPr>
        <w:t>s</w:t>
      </w:r>
      <w:r w:rsidRPr="00AB31D0">
        <w:rPr>
          <w:rFonts w:ascii="Times New Roman" w:hAnsi="Times New Roman" w:cs="Times New Roman"/>
          <w:b/>
          <w:bCs/>
          <w:sz w:val="24"/>
          <w:szCs w:val="24"/>
        </w:rPr>
        <w:t xml:space="preserve"> de corretaje inmobiliario. Derecho de desistimiento </w:t>
      </w:r>
    </w:p>
    <w:p w14:paraId="7381A046" w14:textId="506833BD" w:rsidR="00AB31D0" w:rsidRPr="002B1E17" w:rsidRDefault="00C37DE5" w:rsidP="00023371">
      <w:pPr>
        <w:spacing w:after="240"/>
        <w:jc w:val="both"/>
        <w:rPr>
          <w:rFonts w:ascii="Times New Roman" w:hAnsi="Times New Roman" w:cs="Times New Roman"/>
          <w:sz w:val="24"/>
          <w:szCs w:val="24"/>
        </w:rPr>
      </w:pPr>
      <w:hyperlink r:id="rId71" w:history="1">
        <w:r w:rsidR="00AB31D0" w:rsidRPr="00AB31D0">
          <w:rPr>
            <w:rStyle w:val="Hipervnculo"/>
            <w:rFonts w:ascii="Times New Roman" w:hAnsi="Times New Roman" w:cs="Times New Roman"/>
            <w:sz w:val="24"/>
            <w:szCs w:val="24"/>
          </w:rPr>
          <w:t>STS, Sala Primera, 167/2021, de 24 de marzo de 2021</w:t>
        </w:r>
      </w:hyperlink>
      <w:r w:rsidR="00AB31D0">
        <w:rPr>
          <w:rFonts w:ascii="Times New Roman" w:hAnsi="Times New Roman" w:cs="Times New Roman"/>
          <w:sz w:val="24"/>
          <w:szCs w:val="24"/>
        </w:rPr>
        <w:t>. “</w:t>
      </w:r>
      <w:r w:rsidR="00AB31D0" w:rsidRPr="00AB31D0">
        <w:rPr>
          <w:rFonts w:ascii="Times New Roman" w:hAnsi="Times New Roman" w:cs="Times New Roman"/>
          <w:sz w:val="24"/>
          <w:szCs w:val="24"/>
        </w:rPr>
        <w:t>Contratación con consumidores. Contratos celebrados en el domicilio del consumidor. Derecho de desistimiento cuando el servicio está completamente ejecutado, pero no se ha informado al cliente del derecho a desistir [art. 103.a) del TRLGCU]</w:t>
      </w:r>
      <w:r w:rsidR="00AB31D0">
        <w:rPr>
          <w:rFonts w:ascii="Times New Roman" w:hAnsi="Times New Roman" w:cs="Times New Roman"/>
          <w:sz w:val="24"/>
          <w:szCs w:val="24"/>
        </w:rPr>
        <w:t>”.</w:t>
      </w:r>
    </w:p>
    <w:p w14:paraId="42427D6C" w14:textId="7AE4F428" w:rsidR="00023371" w:rsidRPr="002B1E17" w:rsidRDefault="00023371" w:rsidP="00023371">
      <w:pPr>
        <w:spacing w:after="240"/>
        <w:jc w:val="both"/>
        <w:rPr>
          <w:rFonts w:ascii="Times New Roman" w:hAnsi="Times New Roman" w:cs="Times New Roman"/>
          <w:b/>
          <w:bCs/>
          <w:sz w:val="24"/>
          <w:szCs w:val="24"/>
        </w:rPr>
      </w:pPr>
      <w:r w:rsidRPr="002B1E17">
        <w:rPr>
          <w:rFonts w:ascii="Times New Roman" w:hAnsi="Times New Roman" w:cs="Times New Roman"/>
          <w:b/>
          <w:bCs/>
          <w:sz w:val="24"/>
          <w:szCs w:val="24"/>
        </w:rPr>
        <w:t>Contrato</w:t>
      </w:r>
      <w:r w:rsidR="008F2A25">
        <w:rPr>
          <w:rFonts w:ascii="Times New Roman" w:hAnsi="Times New Roman" w:cs="Times New Roman"/>
          <w:b/>
          <w:bCs/>
          <w:sz w:val="24"/>
          <w:szCs w:val="24"/>
        </w:rPr>
        <w:t>s</w:t>
      </w:r>
      <w:r w:rsidRPr="002B1E17">
        <w:rPr>
          <w:rFonts w:ascii="Times New Roman" w:hAnsi="Times New Roman" w:cs="Times New Roman"/>
          <w:b/>
          <w:bCs/>
          <w:sz w:val="24"/>
          <w:szCs w:val="24"/>
        </w:rPr>
        <w:t xml:space="preserve"> de prestación de servicios. Intereses moratorios</w:t>
      </w:r>
    </w:p>
    <w:p w14:paraId="0BD265F0" w14:textId="77777777" w:rsidR="00023371" w:rsidRPr="002B1E17" w:rsidRDefault="00C37DE5" w:rsidP="00023371">
      <w:pPr>
        <w:spacing w:after="240"/>
        <w:jc w:val="both"/>
        <w:rPr>
          <w:rFonts w:ascii="Times New Roman" w:hAnsi="Times New Roman" w:cs="Times New Roman"/>
          <w:sz w:val="24"/>
          <w:szCs w:val="24"/>
        </w:rPr>
      </w:pPr>
      <w:hyperlink r:id="rId72" w:history="1">
        <w:r w:rsidR="00023371" w:rsidRPr="002B1E17">
          <w:rPr>
            <w:rStyle w:val="Hipervnculo"/>
            <w:rFonts w:ascii="Times New Roman" w:hAnsi="Times New Roman" w:cs="Times New Roman"/>
            <w:sz w:val="24"/>
            <w:szCs w:val="24"/>
          </w:rPr>
          <w:t>STS, Sala Primera, 103/2021, de 25 de febrero de 2021</w:t>
        </w:r>
      </w:hyperlink>
      <w:r w:rsidR="00023371" w:rsidRPr="002B1E17">
        <w:rPr>
          <w:rFonts w:ascii="Times New Roman" w:hAnsi="Times New Roman" w:cs="Times New Roman"/>
          <w:sz w:val="24"/>
          <w:szCs w:val="24"/>
        </w:rPr>
        <w:t xml:space="preserve">. “Contrato de prestación de servicios. Doctrina sobre la liquidez de los intereses de demora. Compatibilidad de los intereses de demora de la Ley 3/2004, de 29 de diciembre, con los intereses </w:t>
      </w:r>
      <w:proofErr w:type="spellStart"/>
      <w:r w:rsidR="00023371" w:rsidRPr="002B1E17">
        <w:rPr>
          <w:rFonts w:ascii="Times New Roman" w:hAnsi="Times New Roman" w:cs="Times New Roman"/>
          <w:sz w:val="24"/>
          <w:szCs w:val="24"/>
        </w:rPr>
        <w:t>anatocísticos</w:t>
      </w:r>
      <w:proofErr w:type="spellEnd"/>
      <w:r w:rsidR="00023371" w:rsidRPr="002B1E17">
        <w:rPr>
          <w:rFonts w:ascii="Times New Roman" w:hAnsi="Times New Roman" w:cs="Times New Roman"/>
          <w:sz w:val="24"/>
          <w:szCs w:val="24"/>
        </w:rPr>
        <w:t xml:space="preserve"> del art. 1109 CC”. </w:t>
      </w:r>
    </w:p>
    <w:p w14:paraId="042548BF" w14:textId="3C77AB5A" w:rsidR="00023371" w:rsidRPr="002B1E17" w:rsidRDefault="00023371" w:rsidP="00023371">
      <w:pPr>
        <w:spacing w:after="240"/>
        <w:jc w:val="both"/>
        <w:rPr>
          <w:rFonts w:ascii="Times New Roman" w:hAnsi="Times New Roman" w:cs="Times New Roman"/>
          <w:b/>
          <w:bCs/>
          <w:sz w:val="24"/>
          <w:szCs w:val="24"/>
        </w:rPr>
      </w:pPr>
      <w:r w:rsidRPr="002B1E17">
        <w:rPr>
          <w:rFonts w:ascii="Times New Roman" w:hAnsi="Times New Roman" w:cs="Times New Roman"/>
          <w:b/>
          <w:bCs/>
          <w:sz w:val="24"/>
          <w:szCs w:val="24"/>
        </w:rPr>
        <w:t>Contrato</w:t>
      </w:r>
      <w:r w:rsidR="008F2A25">
        <w:rPr>
          <w:rFonts w:ascii="Times New Roman" w:hAnsi="Times New Roman" w:cs="Times New Roman"/>
          <w:b/>
          <w:bCs/>
          <w:sz w:val="24"/>
          <w:szCs w:val="24"/>
        </w:rPr>
        <w:t>s</w:t>
      </w:r>
      <w:r w:rsidRPr="002B1E17">
        <w:rPr>
          <w:rFonts w:ascii="Times New Roman" w:hAnsi="Times New Roman" w:cs="Times New Roman"/>
          <w:b/>
          <w:bCs/>
          <w:sz w:val="24"/>
          <w:szCs w:val="24"/>
        </w:rPr>
        <w:t xml:space="preserve"> de transporte aéreo de pasajeros. Condiciones generales de la contratación</w:t>
      </w:r>
    </w:p>
    <w:p w14:paraId="2987FB62" w14:textId="4D875FA6" w:rsidR="00023371" w:rsidRPr="00023371" w:rsidRDefault="00C37DE5" w:rsidP="002B1E17">
      <w:pPr>
        <w:spacing w:after="240"/>
        <w:jc w:val="both"/>
        <w:rPr>
          <w:rFonts w:ascii="Times New Roman" w:hAnsi="Times New Roman" w:cs="Times New Roman"/>
          <w:sz w:val="24"/>
          <w:szCs w:val="24"/>
        </w:rPr>
      </w:pPr>
      <w:hyperlink r:id="rId73" w:history="1">
        <w:r w:rsidR="00023371" w:rsidRPr="002B1E17">
          <w:rPr>
            <w:rStyle w:val="Hipervnculo"/>
            <w:rFonts w:ascii="Times New Roman" w:hAnsi="Times New Roman" w:cs="Times New Roman"/>
            <w:sz w:val="24"/>
            <w:szCs w:val="24"/>
          </w:rPr>
          <w:t>ATS, Sala Primera, de 10 de febrero de 2021. Nº de recurso: 5168/2017</w:t>
        </w:r>
      </w:hyperlink>
      <w:r w:rsidR="00023371" w:rsidRPr="002B1E17">
        <w:rPr>
          <w:rFonts w:ascii="Times New Roman" w:hAnsi="Times New Roman" w:cs="Times New Roman"/>
          <w:sz w:val="24"/>
          <w:szCs w:val="24"/>
        </w:rPr>
        <w:t xml:space="preserve">. “Contrato de transporte aéreo de pasajeros. Condiciones generales de la contratación. Juicio de abusividad”. </w:t>
      </w:r>
    </w:p>
    <w:p w14:paraId="25BCCF01" w14:textId="2E8B1A98" w:rsidR="002B1E17" w:rsidRPr="002B1E17" w:rsidRDefault="00710790" w:rsidP="002B1E17">
      <w:pPr>
        <w:spacing w:after="240"/>
        <w:jc w:val="both"/>
        <w:rPr>
          <w:rFonts w:ascii="Times New Roman" w:hAnsi="Times New Roman" w:cs="Times New Roman"/>
          <w:b/>
          <w:bCs/>
          <w:sz w:val="24"/>
          <w:szCs w:val="24"/>
        </w:rPr>
      </w:pPr>
      <w:r w:rsidRPr="002B1E17">
        <w:rPr>
          <w:rFonts w:ascii="Times New Roman" w:hAnsi="Times New Roman" w:cs="Times New Roman"/>
          <w:b/>
          <w:bCs/>
          <w:sz w:val="24"/>
          <w:szCs w:val="24"/>
        </w:rPr>
        <w:t>Responsabilidad sanitaria</w:t>
      </w:r>
      <w:r>
        <w:rPr>
          <w:rFonts w:ascii="Times New Roman" w:hAnsi="Times New Roman" w:cs="Times New Roman"/>
          <w:b/>
          <w:bCs/>
          <w:sz w:val="24"/>
          <w:szCs w:val="24"/>
        </w:rPr>
        <w:t xml:space="preserve"> y del fabricante. </w:t>
      </w:r>
      <w:r w:rsidR="002B1E17" w:rsidRPr="002B1E17">
        <w:rPr>
          <w:rFonts w:ascii="Times New Roman" w:hAnsi="Times New Roman" w:cs="Times New Roman"/>
          <w:b/>
          <w:bCs/>
          <w:sz w:val="24"/>
          <w:szCs w:val="24"/>
        </w:rPr>
        <w:t xml:space="preserve">Productos defectuosos </w:t>
      </w:r>
    </w:p>
    <w:p w14:paraId="1D785800" w14:textId="77777777" w:rsidR="002B1E17" w:rsidRPr="002B1E17" w:rsidRDefault="00C37DE5" w:rsidP="002B1E17">
      <w:pPr>
        <w:spacing w:after="240"/>
        <w:jc w:val="both"/>
        <w:rPr>
          <w:rFonts w:ascii="Times New Roman" w:hAnsi="Times New Roman" w:cs="Times New Roman"/>
          <w:sz w:val="24"/>
          <w:szCs w:val="24"/>
        </w:rPr>
      </w:pPr>
      <w:hyperlink r:id="rId74" w:history="1">
        <w:r w:rsidR="002B1E17" w:rsidRPr="002B1E17">
          <w:rPr>
            <w:rStyle w:val="Hipervnculo"/>
            <w:rFonts w:ascii="Times New Roman" w:hAnsi="Times New Roman" w:cs="Times New Roman"/>
            <w:sz w:val="24"/>
            <w:szCs w:val="24"/>
          </w:rPr>
          <w:t>STS, Sala Primera, 5/2021, de 18 de enero de 2021</w:t>
        </w:r>
      </w:hyperlink>
      <w:r w:rsidR="002B1E17" w:rsidRPr="002B1E17">
        <w:rPr>
          <w:rFonts w:ascii="Times New Roman" w:hAnsi="Times New Roman" w:cs="Times New Roman"/>
          <w:sz w:val="24"/>
          <w:szCs w:val="24"/>
        </w:rPr>
        <w:t xml:space="preserve">. “Responsabilidad del organismo notificado por el fabricante de un producto defectuoso (normativa europea sobre productos sanitarios). Demanda contra un grupo de empresas, que es emplazado a través de una de sus empresas. Nulidad de actuaciones”. </w:t>
      </w:r>
    </w:p>
    <w:p w14:paraId="2CD4CB52" w14:textId="77777777" w:rsidR="002B1E17" w:rsidRPr="002B1E17" w:rsidRDefault="00C37DE5" w:rsidP="002B1E17">
      <w:pPr>
        <w:spacing w:after="240"/>
        <w:jc w:val="both"/>
        <w:rPr>
          <w:rFonts w:ascii="Times New Roman" w:hAnsi="Times New Roman" w:cs="Times New Roman"/>
          <w:sz w:val="24"/>
          <w:szCs w:val="24"/>
        </w:rPr>
      </w:pPr>
      <w:hyperlink r:id="rId75" w:history="1">
        <w:r w:rsidR="002B1E17" w:rsidRPr="002B1E17">
          <w:rPr>
            <w:rStyle w:val="Hipervnculo"/>
            <w:rFonts w:ascii="Times New Roman" w:hAnsi="Times New Roman" w:cs="Times New Roman"/>
            <w:sz w:val="24"/>
            <w:szCs w:val="24"/>
          </w:rPr>
          <w:t>STS, Sala Tercera, 50/2021, de 21 de enero de 2021</w:t>
        </w:r>
      </w:hyperlink>
      <w:r w:rsidR="002B1E17" w:rsidRPr="002B1E17">
        <w:rPr>
          <w:rFonts w:ascii="Times New Roman" w:hAnsi="Times New Roman" w:cs="Times New Roman"/>
          <w:sz w:val="24"/>
          <w:szCs w:val="24"/>
        </w:rPr>
        <w:t xml:space="preserve">. “Responsabilidad patrimonial sanitaria. Responsabilidad del fabricante”. </w:t>
      </w:r>
    </w:p>
    <w:p w14:paraId="7A88E207" w14:textId="7CFEA4AE" w:rsidR="002B1E17" w:rsidRPr="002B1E17" w:rsidRDefault="00C37DE5" w:rsidP="002B1E17">
      <w:pPr>
        <w:spacing w:after="240"/>
        <w:jc w:val="both"/>
        <w:rPr>
          <w:rFonts w:ascii="Times New Roman" w:hAnsi="Times New Roman" w:cs="Times New Roman"/>
          <w:sz w:val="24"/>
          <w:szCs w:val="24"/>
        </w:rPr>
      </w:pPr>
      <w:hyperlink r:id="rId76" w:history="1">
        <w:r w:rsidR="002B1E17" w:rsidRPr="002B1E17">
          <w:rPr>
            <w:rStyle w:val="Hipervnculo"/>
            <w:rFonts w:ascii="Times New Roman" w:hAnsi="Times New Roman" w:cs="Times New Roman"/>
            <w:sz w:val="24"/>
            <w:szCs w:val="24"/>
          </w:rPr>
          <w:t>STS, Sala Tercera, 92/2021, de 28 de enero de 2021</w:t>
        </w:r>
      </w:hyperlink>
      <w:r w:rsidR="002B1E17" w:rsidRPr="002B1E17">
        <w:rPr>
          <w:rFonts w:ascii="Times New Roman" w:hAnsi="Times New Roman" w:cs="Times New Roman"/>
          <w:sz w:val="24"/>
          <w:szCs w:val="24"/>
        </w:rPr>
        <w:t xml:space="preserve">. “Responsabilidad sanitaria. Desprendimiento de retina. Pérdida de visión. Utilización de producto defectuoso. </w:t>
      </w:r>
      <w:r w:rsidR="00F5658C">
        <w:rPr>
          <w:rFonts w:ascii="Times New Roman" w:hAnsi="Times New Roman" w:cs="Times New Roman"/>
          <w:sz w:val="24"/>
          <w:szCs w:val="24"/>
        </w:rPr>
        <w:t>A</w:t>
      </w:r>
      <w:r w:rsidR="002B1E17" w:rsidRPr="002B1E17">
        <w:rPr>
          <w:rFonts w:ascii="Times New Roman" w:hAnsi="Times New Roman" w:cs="Times New Roman"/>
          <w:sz w:val="24"/>
          <w:szCs w:val="24"/>
        </w:rPr>
        <w:t xml:space="preserve">ctuación quirúrgica conforme a la </w:t>
      </w:r>
      <w:proofErr w:type="spellStart"/>
      <w:r w:rsidR="002B1E17" w:rsidRPr="002B1E17">
        <w:rPr>
          <w:rFonts w:ascii="Times New Roman" w:hAnsi="Times New Roman" w:cs="Times New Roman"/>
          <w:sz w:val="24"/>
          <w:szCs w:val="24"/>
        </w:rPr>
        <w:t>lex</w:t>
      </w:r>
      <w:proofErr w:type="spellEnd"/>
      <w:r w:rsidR="002B1E17" w:rsidRPr="002B1E17">
        <w:rPr>
          <w:rFonts w:ascii="Times New Roman" w:hAnsi="Times New Roman" w:cs="Times New Roman"/>
          <w:sz w:val="24"/>
          <w:szCs w:val="24"/>
        </w:rPr>
        <w:t xml:space="preserve"> </w:t>
      </w:r>
      <w:proofErr w:type="spellStart"/>
      <w:r w:rsidR="002B1E17" w:rsidRPr="002B1E17">
        <w:rPr>
          <w:rFonts w:ascii="Times New Roman" w:hAnsi="Times New Roman" w:cs="Times New Roman"/>
          <w:sz w:val="24"/>
          <w:szCs w:val="24"/>
        </w:rPr>
        <w:t>artis</w:t>
      </w:r>
      <w:proofErr w:type="spellEnd"/>
      <w:r w:rsidR="002B1E17" w:rsidRPr="002B1E17">
        <w:rPr>
          <w:rFonts w:ascii="Times New Roman" w:hAnsi="Times New Roman" w:cs="Times New Roman"/>
          <w:sz w:val="24"/>
          <w:szCs w:val="24"/>
        </w:rPr>
        <w:t xml:space="preserve">. </w:t>
      </w:r>
      <w:r w:rsidR="00710790" w:rsidRPr="002B1E17">
        <w:rPr>
          <w:rFonts w:ascii="Times New Roman" w:hAnsi="Times New Roman" w:cs="Times New Roman"/>
          <w:sz w:val="24"/>
          <w:szCs w:val="24"/>
        </w:rPr>
        <w:t>Responsabilidad</w:t>
      </w:r>
      <w:r w:rsidR="002B1E17" w:rsidRPr="002B1E17">
        <w:rPr>
          <w:rFonts w:ascii="Times New Roman" w:hAnsi="Times New Roman" w:cs="Times New Roman"/>
          <w:sz w:val="24"/>
          <w:szCs w:val="24"/>
        </w:rPr>
        <w:t xml:space="preserve"> del fabricante o de la agencia española </w:t>
      </w:r>
      <w:r w:rsidR="00710790">
        <w:rPr>
          <w:rFonts w:ascii="Times New Roman" w:hAnsi="Times New Roman" w:cs="Times New Roman"/>
          <w:sz w:val="24"/>
          <w:szCs w:val="24"/>
        </w:rPr>
        <w:t>de</w:t>
      </w:r>
      <w:r w:rsidR="00C70BDE">
        <w:rPr>
          <w:rFonts w:ascii="Times New Roman" w:hAnsi="Times New Roman" w:cs="Times New Roman"/>
          <w:sz w:val="24"/>
          <w:szCs w:val="24"/>
        </w:rPr>
        <w:t xml:space="preserve"> los</w:t>
      </w:r>
      <w:r w:rsidR="002B1E17" w:rsidRPr="002B1E17">
        <w:rPr>
          <w:rFonts w:ascii="Times New Roman" w:hAnsi="Times New Roman" w:cs="Times New Roman"/>
          <w:sz w:val="24"/>
          <w:szCs w:val="24"/>
        </w:rPr>
        <w:t xml:space="preserve"> medicamento</w:t>
      </w:r>
      <w:r w:rsidR="00C70BDE">
        <w:rPr>
          <w:rFonts w:ascii="Times New Roman" w:hAnsi="Times New Roman" w:cs="Times New Roman"/>
          <w:sz w:val="24"/>
          <w:szCs w:val="24"/>
        </w:rPr>
        <w:t>s</w:t>
      </w:r>
      <w:r w:rsidR="002B1E17" w:rsidRPr="002B1E17">
        <w:rPr>
          <w:rFonts w:ascii="Times New Roman" w:hAnsi="Times New Roman" w:cs="Times New Roman"/>
          <w:sz w:val="24"/>
          <w:szCs w:val="24"/>
        </w:rPr>
        <w:t xml:space="preserve">”. </w:t>
      </w:r>
    </w:p>
    <w:p w14:paraId="05AE9431" w14:textId="1577DF77" w:rsidR="00C70BDE" w:rsidRPr="002B1E17" w:rsidRDefault="00C37DE5" w:rsidP="00710790">
      <w:pPr>
        <w:spacing w:after="240"/>
        <w:jc w:val="both"/>
        <w:rPr>
          <w:rFonts w:ascii="Times New Roman" w:hAnsi="Times New Roman" w:cs="Times New Roman"/>
          <w:sz w:val="24"/>
          <w:szCs w:val="24"/>
        </w:rPr>
      </w:pPr>
      <w:hyperlink r:id="rId77" w:history="1">
        <w:r w:rsidR="00710790" w:rsidRPr="002B1E17">
          <w:rPr>
            <w:rStyle w:val="Hipervnculo"/>
            <w:rFonts w:ascii="Times New Roman" w:hAnsi="Times New Roman" w:cs="Times New Roman"/>
            <w:sz w:val="24"/>
            <w:szCs w:val="24"/>
          </w:rPr>
          <w:t>STS, Sala Primera, 105/2021, de 1 de marzo de 2021</w:t>
        </w:r>
      </w:hyperlink>
      <w:r w:rsidR="00710790" w:rsidRPr="002B1E17">
        <w:rPr>
          <w:rFonts w:ascii="Times New Roman" w:hAnsi="Times New Roman" w:cs="Times New Roman"/>
          <w:sz w:val="24"/>
          <w:szCs w:val="24"/>
        </w:rPr>
        <w:t>. “Responsabilidad del fabricante. Carácter defectuoso de prótesis de cadera. Valoración jurídica”.</w:t>
      </w:r>
    </w:p>
    <w:p w14:paraId="2E918E56" w14:textId="77777777" w:rsidR="00023371" w:rsidRPr="002B1E17" w:rsidRDefault="00023371" w:rsidP="00023371">
      <w:pPr>
        <w:spacing w:after="240"/>
        <w:jc w:val="both"/>
        <w:rPr>
          <w:rFonts w:ascii="Times New Roman" w:hAnsi="Times New Roman" w:cs="Times New Roman"/>
          <w:b/>
          <w:bCs/>
          <w:sz w:val="24"/>
          <w:szCs w:val="24"/>
        </w:rPr>
      </w:pPr>
      <w:r w:rsidRPr="002B1E17">
        <w:rPr>
          <w:rFonts w:ascii="Times New Roman" w:hAnsi="Times New Roman" w:cs="Times New Roman"/>
          <w:b/>
          <w:bCs/>
          <w:sz w:val="24"/>
          <w:szCs w:val="24"/>
        </w:rPr>
        <w:t>Cuestiones de competencia</w:t>
      </w:r>
    </w:p>
    <w:p w14:paraId="210E37E2" w14:textId="2352299A" w:rsidR="00023371" w:rsidRPr="002B1E17" w:rsidRDefault="004D0941" w:rsidP="00023371">
      <w:pPr>
        <w:spacing w:after="240"/>
        <w:jc w:val="both"/>
        <w:rPr>
          <w:rFonts w:ascii="Times New Roman" w:hAnsi="Times New Roman" w:cs="Times New Roman"/>
          <w:sz w:val="24"/>
          <w:szCs w:val="24"/>
        </w:rPr>
      </w:pPr>
      <w:hyperlink r:id="rId78" w:history="1">
        <w:r w:rsidR="00023371" w:rsidRPr="004D0941">
          <w:rPr>
            <w:rStyle w:val="Hipervnculo"/>
            <w:rFonts w:ascii="Times New Roman" w:hAnsi="Times New Roman" w:cs="Times New Roman"/>
            <w:sz w:val="24"/>
            <w:szCs w:val="24"/>
          </w:rPr>
          <w:t>ATS, Sala Primera, de 23 de febrero de 2021. Nº de recurso: 304/2020.</w:t>
        </w:r>
      </w:hyperlink>
      <w:r w:rsidR="00023371" w:rsidRPr="002B1E17">
        <w:rPr>
          <w:rFonts w:ascii="Times New Roman" w:hAnsi="Times New Roman" w:cs="Times New Roman"/>
          <w:sz w:val="24"/>
          <w:szCs w:val="24"/>
        </w:rPr>
        <w:t xml:space="preserve"> “Conflicto negativo de competencia territorial. Juicio verbal. Acción individual de consumidor. Competencia del juzgado del domicilio del demandante y ante el que se presentó la demanda”.</w:t>
      </w:r>
    </w:p>
    <w:p w14:paraId="2751E408" w14:textId="129BD95A" w:rsidR="002B1E17" w:rsidRPr="002B1E17" w:rsidRDefault="00C37DE5" w:rsidP="002B1E17">
      <w:pPr>
        <w:spacing w:after="240"/>
        <w:jc w:val="both"/>
        <w:rPr>
          <w:rFonts w:ascii="Times New Roman" w:hAnsi="Times New Roman" w:cs="Times New Roman"/>
          <w:sz w:val="24"/>
          <w:szCs w:val="24"/>
        </w:rPr>
      </w:pPr>
      <w:r>
        <w:rPr>
          <w:noProof/>
        </w:rPr>
        <w:pict w14:anchorId="7FEE0983">
          <v:rect id="_x0000_i1028" alt="" style="width:425.2pt;height:.05pt;mso-width-percent:0;mso-height-percent:0;mso-width-percent:0;mso-height-percent:0" o:hralign="center" o:hrstd="t" o:hr="t" fillcolor="#a0a0a0" stroked="f"/>
        </w:pict>
      </w:r>
    </w:p>
    <w:p w14:paraId="59E95A55" w14:textId="77777777" w:rsidR="00823AEA" w:rsidRDefault="00823AEA" w:rsidP="002B1E17">
      <w:pPr>
        <w:spacing w:after="240"/>
        <w:jc w:val="center"/>
        <w:rPr>
          <w:rFonts w:ascii="Times New Roman" w:hAnsi="Times New Roman" w:cs="Times New Roman"/>
          <w:b/>
          <w:bCs/>
          <w:sz w:val="24"/>
          <w:szCs w:val="24"/>
        </w:rPr>
      </w:pPr>
    </w:p>
    <w:p w14:paraId="0BA5D164" w14:textId="16840B49" w:rsidR="002B1E17" w:rsidRDefault="002B1E17" w:rsidP="002B1E17">
      <w:pPr>
        <w:spacing w:after="240"/>
        <w:jc w:val="center"/>
        <w:rPr>
          <w:rFonts w:ascii="Times New Roman" w:hAnsi="Times New Roman" w:cs="Times New Roman"/>
          <w:b/>
          <w:bCs/>
          <w:sz w:val="24"/>
          <w:szCs w:val="24"/>
        </w:rPr>
      </w:pPr>
      <w:r w:rsidRPr="00D03066">
        <w:rPr>
          <w:rFonts w:ascii="Times New Roman" w:hAnsi="Times New Roman" w:cs="Times New Roman"/>
          <w:b/>
          <w:bCs/>
          <w:sz w:val="24"/>
          <w:szCs w:val="24"/>
        </w:rPr>
        <w:t>AUDIENCIAS PROVINCIALES</w:t>
      </w:r>
    </w:p>
    <w:p w14:paraId="683B4BCA" w14:textId="77777777" w:rsidR="00823AEA" w:rsidRPr="00823AEA" w:rsidRDefault="00823AEA" w:rsidP="002B1E17">
      <w:pPr>
        <w:spacing w:after="240"/>
        <w:jc w:val="center"/>
        <w:rPr>
          <w:rFonts w:ascii="Times New Roman" w:hAnsi="Times New Roman" w:cs="Times New Roman"/>
          <w:b/>
          <w:bCs/>
          <w:sz w:val="9"/>
          <w:szCs w:val="13"/>
        </w:rPr>
      </w:pPr>
    </w:p>
    <w:p w14:paraId="6DDA3C83" w14:textId="51E17AB9" w:rsidR="001269ED" w:rsidRPr="001269ED" w:rsidRDefault="00C37DE5" w:rsidP="001269ED">
      <w:pPr>
        <w:spacing w:after="240"/>
        <w:jc w:val="both"/>
        <w:rPr>
          <w:rFonts w:ascii="Times New Roman" w:hAnsi="Times New Roman" w:cs="Times New Roman"/>
          <w:sz w:val="24"/>
          <w:szCs w:val="24"/>
        </w:rPr>
      </w:pPr>
      <w:hyperlink r:id="rId79" w:history="1">
        <w:r w:rsidR="001269ED" w:rsidRPr="004B17F0">
          <w:rPr>
            <w:rStyle w:val="Hipervnculo"/>
            <w:rFonts w:ascii="Times New Roman" w:hAnsi="Times New Roman" w:cs="Times New Roman"/>
            <w:sz w:val="24"/>
            <w:szCs w:val="24"/>
          </w:rPr>
          <w:t>SAP de Pontevedra (Secc. 1ª), de 13 de enero de 2021</w:t>
        </w:r>
      </w:hyperlink>
      <w:r w:rsidR="001269ED">
        <w:rPr>
          <w:rFonts w:ascii="Times New Roman" w:hAnsi="Times New Roman" w:cs="Times New Roman"/>
          <w:sz w:val="24"/>
          <w:szCs w:val="24"/>
        </w:rPr>
        <w:t xml:space="preserve">. </w:t>
      </w:r>
      <w:r w:rsidR="004B17F0">
        <w:rPr>
          <w:rFonts w:ascii="Times New Roman" w:hAnsi="Times New Roman" w:cs="Times New Roman"/>
          <w:sz w:val="24"/>
          <w:szCs w:val="24"/>
        </w:rPr>
        <w:t>Anulabilidad</w:t>
      </w:r>
      <w:r w:rsidR="001269ED">
        <w:rPr>
          <w:rFonts w:ascii="Times New Roman" w:hAnsi="Times New Roman" w:cs="Times New Roman"/>
          <w:sz w:val="24"/>
          <w:szCs w:val="24"/>
        </w:rPr>
        <w:t xml:space="preserve"> </w:t>
      </w:r>
      <w:r w:rsidR="004B17F0">
        <w:rPr>
          <w:rFonts w:ascii="Times New Roman" w:hAnsi="Times New Roman" w:cs="Times New Roman"/>
          <w:sz w:val="24"/>
          <w:szCs w:val="24"/>
        </w:rPr>
        <w:t xml:space="preserve">por vicio en el consentimiento de contrato de suscripción de participaciones preferentes y de las operaciones ulteriores de canjes en bonos subordinados y en acciones del Banco Popular. </w:t>
      </w:r>
    </w:p>
    <w:p w14:paraId="52734701" w14:textId="2D2B8420" w:rsidR="00666C3C" w:rsidRDefault="00C37DE5" w:rsidP="00666C3C">
      <w:pPr>
        <w:spacing w:after="240"/>
        <w:jc w:val="both"/>
        <w:rPr>
          <w:rFonts w:ascii="Times New Roman" w:hAnsi="Times New Roman" w:cs="Times New Roman"/>
          <w:sz w:val="24"/>
          <w:szCs w:val="24"/>
        </w:rPr>
      </w:pPr>
      <w:hyperlink r:id="rId80" w:history="1">
        <w:r w:rsidR="00666C3C" w:rsidRPr="00045895">
          <w:rPr>
            <w:rStyle w:val="Hipervnculo"/>
            <w:rFonts w:ascii="Times New Roman" w:hAnsi="Times New Roman" w:cs="Times New Roman"/>
            <w:sz w:val="24"/>
            <w:szCs w:val="24"/>
          </w:rPr>
          <w:t>SAP de Zaragoza (Secc. 5ª), de 14 de enero de 2021</w:t>
        </w:r>
      </w:hyperlink>
      <w:r w:rsidR="00666C3C">
        <w:rPr>
          <w:rFonts w:ascii="Times New Roman" w:hAnsi="Times New Roman" w:cs="Times New Roman"/>
          <w:sz w:val="24"/>
          <w:szCs w:val="24"/>
        </w:rPr>
        <w:t xml:space="preserve">. Nulidad por abusividad de la cláusula de gastos hipotecarios. </w:t>
      </w:r>
      <w:r w:rsidR="00045895">
        <w:rPr>
          <w:rFonts w:ascii="Times New Roman" w:hAnsi="Times New Roman" w:cs="Times New Roman"/>
          <w:sz w:val="24"/>
          <w:szCs w:val="24"/>
        </w:rPr>
        <w:t>Consecuencia</w:t>
      </w:r>
      <w:r w:rsidR="00EC25EC">
        <w:rPr>
          <w:rFonts w:ascii="Times New Roman" w:hAnsi="Times New Roman" w:cs="Times New Roman"/>
          <w:sz w:val="24"/>
          <w:szCs w:val="24"/>
        </w:rPr>
        <w:t>s</w:t>
      </w:r>
      <w:r w:rsidR="00045895">
        <w:rPr>
          <w:rFonts w:ascii="Times New Roman" w:hAnsi="Times New Roman" w:cs="Times New Roman"/>
          <w:sz w:val="24"/>
          <w:szCs w:val="24"/>
        </w:rPr>
        <w:t xml:space="preserve"> de la nulidad de la cláusula abusiva. </w:t>
      </w:r>
      <w:r w:rsidR="00666C3C">
        <w:rPr>
          <w:rFonts w:ascii="Times New Roman" w:hAnsi="Times New Roman" w:cs="Times New Roman"/>
          <w:sz w:val="24"/>
          <w:szCs w:val="24"/>
        </w:rPr>
        <w:t xml:space="preserve">Plazo de prescripción de la acción de devolución de cantidades. </w:t>
      </w:r>
      <w:r w:rsidR="00666C3C" w:rsidRPr="00666C3C">
        <w:rPr>
          <w:rFonts w:ascii="Times New Roman" w:hAnsi="Times New Roman" w:cs="Times New Roman"/>
          <w:sz w:val="24"/>
          <w:szCs w:val="24"/>
        </w:rPr>
        <w:t>Fijación del día ini</w:t>
      </w:r>
      <w:r w:rsidR="00666C3C">
        <w:rPr>
          <w:rFonts w:ascii="Times New Roman" w:hAnsi="Times New Roman" w:cs="Times New Roman"/>
          <w:sz w:val="24"/>
          <w:szCs w:val="24"/>
        </w:rPr>
        <w:t>ci</w:t>
      </w:r>
      <w:r w:rsidR="00666C3C" w:rsidRPr="00666C3C">
        <w:rPr>
          <w:rFonts w:ascii="Times New Roman" w:hAnsi="Times New Roman" w:cs="Times New Roman"/>
          <w:sz w:val="24"/>
          <w:szCs w:val="24"/>
        </w:rPr>
        <w:t>al del</w:t>
      </w:r>
      <w:r w:rsidR="00666C3C">
        <w:rPr>
          <w:rFonts w:ascii="Times New Roman" w:hAnsi="Times New Roman" w:cs="Times New Roman"/>
          <w:i/>
          <w:iCs/>
          <w:sz w:val="24"/>
          <w:szCs w:val="24"/>
        </w:rPr>
        <w:t xml:space="preserve"> </w:t>
      </w:r>
      <w:r w:rsidR="00666C3C">
        <w:rPr>
          <w:rFonts w:ascii="Times New Roman" w:hAnsi="Times New Roman" w:cs="Times New Roman"/>
          <w:sz w:val="24"/>
          <w:szCs w:val="24"/>
        </w:rPr>
        <w:t xml:space="preserve">cómputo del plazo de prescripción. </w:t>
      </w:r>
    </w:p>
    <w:p w14:paraId="79787EB6" w14:textId="16D258AC" w:rsidR="00495CD3" w:rsidRDefault="00C37DE5" w:rsidP="00666C3C">
      <w:pPr>
        <w:spacing w:after="240"/>
        <w:jc w:val="both"/>
        <w:rPr>
          <w:rFonts w:ascii="Times New Roman" w:hAnsi="Times New Roman" w:cs="Times New Roman"/>
          <w:sz w:val="24"/>
          <w:szCs w:val="24"/>
        </w:rPr>
      </w:pPr>
      <w:hyperlink r:id="rId81" w:history="1">
        <w:r w:rsidR="00495CD3" w:rsidRPr="00C37702">
          <w:rPr>
            <w:rStyle w:val="Hipervnculo"/>
            <w:rFonts w:ascii="Times New Roman" w:hAnsi="Times New Roman" w:cs="Times New Roman"/>
            <w:sz w:val="24"/>
            <w:szCs w:val="24"/>
          </w:rPr>
          <w:t>SAP de Barcelona (Secc. 17ª), de 20 de enero de 2021</w:t>
        </w:r>
      </w:hyperlink>
      <w:r w:rsidR="00495CD3">
        <w:rPr>
          <w:rFonts w:ascii="Times New Roman" w:hAnsi="Times New Roman" w:cs="Times New Roman"/>
          <w:sz w:val="24"/>
          <w:szCs w:val="24"/>
        </w:rPr>
        <w:t xml:space="preserve">. Acciones de nulidad absoluta y anulabilidad por vicio del consentimiento de contratos de suscripción y compra de participaciones preferentes. Canje ulterior en acciones. Desestimación de </w:t>
      </w:r>
      <w:r w:rsidR="00C37702">
        <w:rPr>
          <w:rFonts w:ascii="Times New Roman" w:hAnsi="Times New Roman" w:cs="Times New Roman"/>
          <w:sz w:val="24"/>
          <w:szCs w:val="24"/>
        </w:rPr>
        <w:t>las</w:t>
      </w:r>
      <w:r w:rsidR="00495CD3">
        <w:rPr>
          <w:rFonts w:ascii="Times New Roman" w:hAnsi="Times New Roman" w:cs="Times New Roman"/>
          <w:sz w:val="24"/>
          <w:szCs w:val="24"/>
        </w:rPr>
        <w:t xml:space="preserve"> acciones</w:t>
      </w:r>
      <w:r w:rsidR="00C37702">
        <w:rPr>
          <w:rFonts w:ascii="Times New Roman" w:hAnsi="Times New Roman" w:cs="Times New Roman"/>
          <w:sz w:val="24"/>
          <w:szCs w:val="24"/>
        </w:rPr>
        <w:t xml:space="preserve"> de la actora</w:t>
      </w:r>
      <w:r w:rsidR="00495CD3">
        <w:rPr>
          <w:rFonts w:ascii="Times New Roman" w:hAnsi="Times New Roman" w:cs="Times New Roman"/>
          <w:sz w:val="24"/>
          <w:szCs w:val="24"/>
        </w:rPr>
        <w:t>. Caducidad de la acción de anulabilidad. Fijación del inicio del plazo de caducidad: “momento en que la actora pudo tener conocimiento del error sufrido en cuanto a la naturaleza y características del producto contratado” que</w:t>
      </w:r>
      <w:r w:rsidR="00C37702">
        <w:rPr>
          <w:rFonts w:ascii="Times New Roman" w:hAnsi="Times New Roman" w:cs="Times New Roman"/>
          <w:sz w:val="24"/>
          <w:szCs w:val="24"/>
        </w:rPr>
        <w:t>,</w:t>
      </w:r>
      <w:r w:rsidR="00495CD3">
        <w:rPr>
          <w:rFonts w:ascii="Times New Roman" w:hAnsi="Times New Roman" w:cs="Times New Roman"/>
          <w:sz w:val="24"/>
          <w:szCs w:val="24"/>
        </w:rPr>
        <w:t xml:space="preserve"> en el caso concreto</w:t>
      </w:r>
      <w:r w:rsidR="00C37702">
        <w:rPr>
          <w:rFonts w:ascii="Times New Roman" w:hAnsi="Times New Roman" w:cs="Times New Roman"/>
          <w:sz w:val="24"/>
          <w:szCs w:val="24"/>
        </w:rPr>
        <w:t>,</w:t>
      </w:r>
      <w:r w:rsidR="00495CD3">
        <w:rPr>
          <w:rFonts w:ascii="Times New Roman" w:hAnsi="Times New Roman" w:cs="Times New Roman"/>
          <w:sz w:val="24"/>
          <w:szCs w:val="24"/>
        </w:rPr>
        <w:t xml:space="preserve"> “es cuando se prod</w:t>
      </w:r>
      <w:r w:rsidR="00C37702">
        <w:rPr>
          <w:rFonts w:ascii="Times New Roman" w:hAnsi="Times New Roman" w:cs="Times New Roman"/>
          <w:sz w:val="24"/>
          <w:szCs w:val="24"/>
        </w:rPr>
        <w:t>ujo</w:t>
      </w:r>
      <w:r w:rsidR="00495CD3">
        <w:rPr>
          <w:rFonts w:ascii="Times New Roman" w:hAnsi="Times New Roman" w:cs="Times New Roman"/>
          <w:sz w:val="24"/>
          <w:szCs w:val="24"/>
        </w:rPr>
        <w:t xml:space="preserve"> el canje de acciones”. </w:t>
      </w:r>
    </w:p>
    <w:p w14:paraId="0707CC7B" w14:textId="77777777" w:rsidR="00EC25EC" w:rsidRPr="00091C1F" w:rsidRDefault="00C37DE5" w:rsidP="00EC25EC">
      <w:pPr>
        <w:spacing w:after="240"/>
        <w:jc w:val="both"/>
        <w:rPr>
          <w:rFonts w:ascii="Times New Roman" w:hAnsi="Times New Roman" w:cs="Times New Roman"/>
          <w:sz w:val="24"/>
          <w:szCs w:val="24"/>
        </w:rPr>
      </w:pPr>
      <w:hyperlink r:id="rId82" w:history="1">
        <w:r w:rsidR="00EC25EC" w:rsidRPr="008E7FE1">
          <w:rPr>
            <w:rStyle w:val="Hipervnculo"/>
            <w:rFonts w:ascii="Times New Roman" w:hAnsi="Times New Roman" w:cs="Times New Roman"/>
            <w:sz w:val="24"/>
            <w:szCs w:val="24"/>
          </w:rPr>
          <w:t>SAP de Zaragoza (Secc. 4ª), de 22 de enero de 2021</w:t>
        </w:r>
      </w:hyperlink>
      <w:r w:rsidR="00EC25EC">
        <w:rPr>
          <w:rFonts w:ascii="Times New Roman" w:hAnsi="Times New Roman" w:cs="Times New Roman"/>
          <w:sz w:val="24"/>
          <w:szCs w:val="24"/>
        </w:rPr>
        <w:t xml:space="preserve">. Nulidad de contrato de transmisión de derecho de aprovechamiento por turnos de bien inmueble de uso turístico, suscrito entre una mercantil y unos consumidores. Nulidad del contrato de préstamo concertado por los consumidores con una entidad bancaria para la adquisición del referido derecho. Nulidad por incumplimiento de los requisitos legales de la –hoy derogada– Ley </w:t>
      </w:r>
      <w:r w:rsidR="00EC25EC">
        <w:rPr>
          <w:rFonts w:ascii="Times New Roman" w:hAnsi="Times New Roman" w:cs="Times New Roman"/>
          <w:sz w:val="24"/>
          <w:szCs w:val="24"/>
        </w:rPr>
        <w:lastRenderedPageBreak/>
        <w:t xml:space="preserve">42/1998, de 15 de diciembre, sobre aprovechamiento por turno de bienes inmuebles de uso turístico y normas tributarias. </w:t>
      </w:r>
    </w:p>
    <w:p w14:paraId="0D3880CB" w14:textId="3E4726F6" w:rsidR="00426FB5" w:rsidRDefault="00C37DE5" w:rsidP="00426FB5">
      <w:pPr>
        <w:spacing w:after="240"/>
        <w:jc w:val="both"/>
        <w:rPr>
          <w:rFonts w:ascii="Times New Roman" w:hAnsi="Times New Roman" w:cs="Times New Roman"/>
          <w:sz w:val="24"/>
          <w:szCs w:val="24"/>
        </w:rPr>
      </w:pPr>
      <w:hyperlink r:id="rId83" w:history="1">
        <w:r w:rsidR="00426FB5" w:rsidRPr="001C7752">
          <w:rPr>
            <w:rStyle w:val="Hipervnculo"/>
            <w:rFonts w:ascii="Times New Roman" w:hAnsi="Times New Roman" w:cs="Times New Roman"/>
            <w:sz w:val="24"/>
            <w:szCs w:val="24"/>
          </w:rPr>
          <w:t>AAP de Alicante (Secc. 6ª), de 11 de febrero de 2021</w:t>
        </w:r>
      </w:hyperlink>
      <w:r w:rsidR="00426FB5">
        <w:rPr>
          <w:rFonts w:ascii="Times New Roman" w:hAnsi="Times New Roman" w:cs="Times New Roman"/>
          <w:sz w:val="24"/>
          <w:szCs w:val="24"/>
        </w:rPr>
        <w:t>. Ejecución de la garantía hipotecaria. Nulidad por abusividad de la cláusula de vencimiento anticipado en contrato de préstamo hipotecario. Sobreseimiento del proceso de ejecución. Condición de consumidor del ejecutado</w:t>
      </w:r>
      <w:r w:rsidR="00D464E6">
        <w:rPr>
          <w:rFonts w:ascii="Times New Roman" w:hAnsi="Times New Roman" w:cs="Times New Roman"/>
          <w:sz w:val="24"/>
          <w:szCs w:val="24"/>
        </w:rPr>
        <w:t xml:space="preserve">. </w:t>
      </w:r>
    </w:p>
    <w:p w14:paraId="0222122E" w14:textId="2053D037" w:rsidR="00D464E6" w:rsidRPr="009868A9" w:rsidRDefault="00C37DE5" w:rsidP="00426FB5">
      <w:pPr>
        <w:spacing w:after="240"/>
        <w:jc w:val="both"/>
        <w:rPr>
          <w:rFonts w:ascii="Times New Roman" w:hAnsi="Times New Roman" w:cs="Times New Roman"/>
          <w:sz w:val="24"/>
          <w:szCs w:val="24"/>
        </w:rPr>
      </w:pPr>
      <w:hyperlink r:id="rId84" w:history="1">
        <w:r w:rsidR="00D464E6" w:rsidRPr="00D464E6">
          <w:rPr>
            <w:rStyle w:val="Hipervnculo"/>
            <w:rFonts w:ascii="Times New Roman" w:hAnsi="Times New Roman" w:cs="Times New Roman"/>
            <w:sz w:val="24"/>
            <w:szCs w:val="24"/>
          </w:rPr>
          <w:t>SAP de Madrid (Secc. 25ª), de 18 de febrero de 2021</w:t>
        </w:r>
      </w:hyperlink>
      <w:r w:rsidR="00D464E6">
        <w:rPr>
          <w:rFonts w:ascii="Times New Roman" w:hAnsi="Times New Roman" w:cs="Times New Roman"/>
          <w:sz w:val="24"/>
          <w:szCs w:val="24"/>
        </w:rPr>
        <w:t>. Cláusula abusiva por falta de transparencia. Nulidad de la cláusula de interés remuneratorio prevista en un contrato de tarjeta “revolving” (contrato de tarjeta “Pass” Carrefour con un TAE del 21,99 %).</w:t>
      </w:r>
    </w:p>
    <w:p w14:paraId="581C893E" w14:textId="49AD624E" w:rsidR="00D03066" w:rsidRDefault="00C37DE5" w:rsidP="009868A9">
      <w:pPr>
        <w:spacing w:after="240"/>
        <w:jc w:val="both"/>
        <w:rPr>
          <w:rFonts w:ascii="Times New Roman" w:hAnsi="Times New Roman" w:cs="Times New Roman"/>
          <w:sz w:val="24"/>
          <w:szCs w:val="24"/>
        </w:rPr>
      </w:pPr>
      <w:hyperlink r:id="rId85" w:history="1">
        <w:r w:rsidR="009868A9" w:rsidRPr="001C7752">
          <w:rPr>
            <w:rStyle w:val="Hipervnculo"/>
            <w:rFonts w:ascii="Times New Roman" w:hAnsi="Times New Roman" w:cs="Times New Roman"/>
            <w:sz w:val="24"/>
            <w:szCs w:val="24"/>
          </w:rPr>
          <w:t>SAP de Barcelona (Secc. 15ª), de 24 de febrero de 202</w:t>
        </w:r>
        <w:r w:rsidR="001C7752" w:rsidRPr="001C7752">
          <w:rPr>
            <w:rStyle w:val="Hipervnculo"/>
            <w:rFonts w:ascii="Times New Roman" w:hAnsi="Times New Roman" w:cs="Times New Roman"/>
            <w:sz w:val="24"/>
            <w:szCs w:val="24"/>
          </w:rPr>
          <w:t>1</w:t>
        </w:r>
      </w:hyperlink>
      <w:r w:rsidR="009868A9">
        <w:rPr>
          <w:rFonts w:ascii="Times New Roman" w:hAnsi="Times New Roman" w:cs="Times New Roman"/>
          <w:sz w:val="24"/>
          <w:szCs w:val="24"/>
        </w:rPr>
        <w:t xml:space="preserve">. Imprescriptibilidad de la acción declarativa de nulidad de la cláusula de gastos hipotecarios. Sujeción a plazo de prescripción de la acción de restitución patrimonial de los gastos indebidamente abonados. Cómputo del plazo. </w:t>
      </w:r>
    </w:p>
    <w:p w14:paraId="1BA1247A" w14:textId="6DE1E886" w:rsidR="00777A36" w:rsidRDefault="00C37DE5" w:rsidP="009868A9">
      <w:pPr>
        <w:spacing w:after="240"/>
        <w:jc w:val="both"/>
        <w:rPr>
          <w:rFonts w:ascii="Times New Roman" w:hAnsi="Times New Roman" w:cs="Times New Roman"/>
          <w:sz w:val="24"/>
          <w:szCs w:val="24"/>
        </w:rPr>
      </w:pPr>
      <w:hyperlink r:id="rId86" w:history="1">
        <w:r w:rsidR="00777A36" w:rsidRPr="00777A36">
          <w:rPr>
            <w:rStyle w:val="Hipervnculo"/>
            <w:rFonts w:ascii="Times New Roman" w:hAnsi="Times New Roman" w:cs="Times New Roman"/>
            <w:sz w:val="24"/>
            <w:szCs w:val="24"/>
          </w:rPr>
          <w:t>SAP de Cádiz (Secc. 5ª), de 4 de marzo de 2021</w:t>
        </w:r>
      </w:hyperlink>
      <w:r w:rsidR="00777A36">
        <w:rPr>
          <w:rFonts w:ascii="Times New Roman" w:hAnsi="Times New Roman" w:cs="Times New Roman"/>
          <w:sz w:val="24"/>
          <w:szCs w:val="24"/>
        </w:rPr>
        <w:t xml:space="preserve">. Contrato de préstamo con garantía hipotecaria. Nulidad de cláusulas contractuales. Pacto de anatocismo. Cláusula de gastos. </w:t>
      </w:r>
    </w:p>
    <w:p w14:paraId="0EA246B5" w14:textId="5C8FA9FB" w:rsidR="00777A36" w:rsidRDefault="00914F9E" w:rsidP="009868A9">
      <w:pPr>
        <w:spacing w:after="240"/>
        <w:jc w:val="both"/>
        <w:rPr>
          <w:rFonts w:ascii="Times New Roman" w:hAnsi="Times New Roman" w:cs="Times New Roman"/>
          <w:sz w:val="24"/>
          <w:szCs w:val="24"/>
        </w:rPr>
      </w:pPr>
      <w:hyperlink r:id="rId87" w:history="1">
        <w:r w:rsidR="002A11EF" w:rsidRPr="00914F9E">
          <w:rPr>
            <w:rStyle w:val="Hipervnculo"/>
            <w:rFonts w:ascii="Times New Roman" w:hAnsi="Times New Roman" w:cs="Times New Roman"/>
            <w:sz w:val="24"/>
            <w:szCs w:val="24"/>
          </w:rPr>
          <w:t xml:space="preserve">AAP de </w:t>
        </w:r>
        <w:r w:rsidRPr="00914F9E">
          <w:rPr>
            <w:rStyle w:val="Hipervnculo"/>
            <w:rFonts w:ascii="Times New Roman" w:hAnsi="Times New Roman" w:cs="Times New Roman"/>
            <w:sz w:val="24"/>
            <w:szCs w:val="24"/>
          </w:rPr>
          <w:t>Cantabria</w:t>
        </w:r>
        <w:r w:rsidR="002A11EF" w:rsidRPr="00914F9E">
          <w:rPr>
            <w:rStyle w:val="Hipervnculo"/>
            <w:rFonts w:ascii="Times New Roman" w:hAnsi="Times New Roman" w:cs="Times New Roman"/>
            <w:sz w:val="24"/>
            <w:szCs w:val="24"/>
          </w:rPr>
          <w:t xml:space="preserve"> (Secc. 2ª), de 8 de marzo de 2021</w:t>
        </w:r>
      </w:hyperlink>
      <w:r w:rsidR="002A11EF">
        <w:rPr>
          <w:rFonts w:ascii="Times New Roman" w:hAnsi="Times New Roman" w:cs="Times New Roman"/>
          <w:sz w:val="24"/>
          <w:szCs w:val="24"/>
        </w:rPr>
        <w:t xml:space="preserve">. Proceso de ejecución de la garantía hipotecaria. Cláusula de vencimiento anticipado. Ley 5/2019, de 15 de marzo. Régimen transitorio. </w:t>
      </w:r>
    </w:p>
    <w:p w14:paraId="2DFE1C8E" w14:textId="089A4F14" w:rsidR="00D03066" w:rsidRPr="002B1E17" w:rsidRDefault="00C37DE5" w:rsidP="002B1E17">
      <w:pPr>
        <w:spacing w:after="240"/>
        <w:jc w:val="center"/>
        <w:rPr>
          <w:rFonts w:ascii="Times New Roman" w:hAnsi="Times New Roman" w:cs="Times New Roman"/>
          <w:b/>
          <w:bCs/>
          <w:sz w:val="24"/>
          <w:szCs w:val="24"/>
        </w:rPr>
      </w:pPr>
      <w:r>
        <w:rPr>
          <w:noProof/>
        </w:rPr>
        <w:pict w14:anchorId="22D85D6D">
          <v:rect id="_x0000_i1027" alt="" style="width:425.2pt;height:.05pt;mso-width-percent:0;mso-height-percent:0;mso-width-percent:0;mso-height-percent:0" o:hralign="center" o:hrstd="t" o:hr="t" fillcolor="#a0a0a0" stroked="f"/>
        </w:pict>
      </w:r>
    </w:p>
    <w:p w14:paraId="7D0B485C" w14:textId="77777777" w:rsidR="001C7752" w:rsidRDefault="001C7752" w:rsidP="00B32AD3">
      <w:pPr>
        <w:spacing w:after="240"/>
        <w:jc w:val="center"/>
        <w:rPr>
          <w:rFonts w:ascii="Times New Roman" w:hAnsi="Times New Roman" w:cs="Times New Roman"/>
          <w:b/>
          <w:bCs/>
          <w:sz w:val="24"/>
          <w:szCs w:val="24"/>
        </w:rPr>
      </w:pPr>
    </w:p>
    <w:p w14:paraId="6A2008C5" w14:textId="3D443753" w:rsidR="002B1E17" w:rsidRDefault="002B1E17" w:rsidP="00B32AD3">
      <w:pPr>
        <w:spacing w:after="240"/>
        <w:jc w:val="center"/>
        <w:rPr>
          <w:rFonts w:ascii="Times New Roman" w:hAnsi="Times New Roman" w:cs="Times New Roman"/>
          <w:b/>
          <w:bCs/>
          <w:sz w:val="24"/>
          <w:szCs w:val="24"/>
        </w:rPr>
      </w:pPr>
      <w:r w:rsidRPr="00F7142B">
        <w:rPr>
          <w:rFonts w:ascii="Times New Roman" w:hAnsi="Times New Roman" w:cs="Times New Roman"/>
          <w:b/>
          <w:bCs/>
          <w:sz w:val="24"/>
          <w:szCs w:val="24"/>
        </w:rPr>
        <w:t>JUZGADOS DE PRIMERA INSTANCIA</w:t>
      </w:r>
    </w:p>
    <w:p w14:paraId="739F72DB" w14:textId="2318FE63" w:rsidR="00823AEA" w:rsidRPr="00823AEA" w:rsidRDefault="00823AEA" w:rsidP="00823AEA">
      <w:pPr>
        <w:spacing w:after="240"/>
        <w:jc w:val="center"/>
        <w:rPr>
          <w:rFonts w:ascii="Times New Roman" w:hAnsi="Times New Roman" w:cs="Times New Roman"/>
          <w:b/>
          <w:bCs/>
          <w:sz w:val="12"/>
          <w:szCs w:val="12"/>
        </w:rPr>
      </w:pPr>
    </w:p>
    <w:p w14:paraId="179610D9" w14:textId="46F43444" w:rsidR="00913265" w:rsidRDefault="00C37DE5" w:rsidP="002B1E17">
      <w:pPr>
        <w:spacing w:after="240"/>
        <w:jc w:val="both"/>
        <w:rPr>
          <w:rFonts w:ascii="Times New Roman" w:hAnsi="Times New Roman" w:cs="Times New Roman"/>
          <w:sz w:val="24"/>
          <w:szCs w:val="24"/>
        </w:rPr>
      </w:pPr>
      <w:hyperlink r:id="rId88" w:history="1">
        <w:r w:rsidR="00913265" w:rsidRPr="009B7D1C">
          <w:rPr>
            <w:rStyle w:val="Hipervnculo"/>
            <w:rFonts w:ascii="Times New Roman" w:hAnsi="Times New Roman" w:cs="Times New Roman"/>
            <w:sz w:val="24"/>
            <w:szCs w:val="24"/>
          </w:rPr>
          <w:t>Auto del JPI núm. 2 de Ibiza, de 5 de enero de 2021</w:t>
        </w:r>
      </w:hyperlink>
      <w:r w:rsidR="00913265">
        <w:rPr>
          <w:rFonts w:ascii="Times New Roman" w:hAnsi="Times New Roman" w:cs="Times New Roman"/>
          <w:sz w:val="24"/>
          <w:szCs w:val="24"/>
        </w:rPr>
        <w:t xml:space="preserve">. Planteamiento de cuestión prejudicial al </w:t>
      </w:r>
      <w:r w:rsidR="00F7142B">
        <w:rPr>
          <w:rFonts w:ascii="Times New Roman" w:hAnsi="Times New Roman" w:cs="Times New Roman"/>
          <w:sz w:val="24"/>
          <w:szCs w:val="24"/>
        </w:rPr>
        <w:t>TJUE</w:t>
      </w:r>
      <w:r w:rsidR="00913265">
        <w:rPr>
          <w:rFonts w:ascii="Times New Roman" w:hAnsi="Times New Roman" w:cs="Times New Roman"/>
          <w:sz w:val="24"/>
          <w:szCs w:val="24"/>
        </w:rPr>
        <w:t xml:space="preserve"> sobre </w:t>
      </w:r>
      <w:r w:rsidR="009B7D1C">
        <w:rPr>
          <w:rFonts w:ascii="Times New Roman" w:hAnsi="Times New Roman" w:cs="Times New Roman"/>
          <w:sz w:val="24"/>
          <w:szCs w:val="24"/>
        </w:rPr>
        <w:t xml:space="preserve">cláusula “IRPH” contenida en </w:t>
      </w:r>
      <w:r w:rsidR="00F7142B">
        <w:rPr>
          <w:rFonts w:ascii="Times New Roman" w:hAnsi="Times New Roman" w:cs="Times New Roman"/>
          <w:sz w:val="24"/>
          <w:szCs w:val="24"/>
        </w:rPr>
        <w:t>un contrato</w:t>
      </w:r>
      <w:r w:rsidR="009B7D1C">
        <w:rPr>
          <w:rFonts w:ascii="Times New Roman" w:hAnsi="Times New Roman" w:cs="Times New Roman"/>
          <w:sz w:val="24"/>
          <w:szCs w:val="24"/>
        </w:rPr>
        <w:t xml:space="preserve"> de préstamo hipotecario suscrito por un consumidor. I</w:t>
      </w:r>
      <w:r w:rsidR="00913265">
        <w:rPr>
          <w:rFonts w:ascii="Times New Roman" w:hAnsi="Times New Roman" w:cs="Times New Roman"/>
          <w:sz w:val="24"/>
          <w:szCs w:val="24"/>
        </w:rPr>
        <w:t xml:space="preserve">nterpretación de </w:t>
      </w:r>
      <w:r w:rsidR="009B7D1C">
        <w:rPr>
          <w:rFonts w:ascii="Times New Roman" w:hAnsi="Times New Roman" w:cs="Times New Roman"/>
          <w:sz w:val="24"/>
          <w:szCs w:val="24"/>
        </w:rPr>
        <w:t>los</w:t>
      </w:r>
      <w:r w:rsidR="00913265">
        <w:rPr>
          <w:rFonts w:ascii="Times New Roman" w:hAnsi="Times New Roman" w:cs="Times New Roman"/>
          <w:sz w:val="24"/>
          <w:szCs w:val="24"/>
        </w:rPr>
        <w:t xml:space="preserve"> artículos </w:t>
      </w:r>
      <w:r w:rsidR="009B7D1C">
        <w:rPr>
          <w:rFonts w:ascii="Times New Roman" w:hAnsi="Times New Roman" w:cs="Times New Roman"/>
          <w:sz w:val="24"/>
          <w:szCs w:val="24"/>
        </w:rPr>
        <w:t>3, 4, 5, 6 y 7 d</w:t>
      </w:r>
      <w:r w:rsidR="00913265">
        <w:rPr>
          <w:rFonts w:ascii="Times New Roman" w:hAnsi="Times New Roman" w:cs="Times New Roman"/>
          <w:sz w:val="24"/>
          <w:szCs w:val="24"/>
        </w:rPr>
        <w:t xml:space="preserve">e la Directiva 93/13/CEE </w:t>
      </w:r>
      <w:r w:rsidR="009B7D1C">
        <w:rPr>
          <w:rFonts w:ascii="Times New Roman" w:hAnsi="Times New Roman" w:cs="Times New Roman"/>
          <w:sz w:val="24"/>
          <w:szCs w:val="24"/>
        </w:rPr>
        <w:t>del Consejo, de 5 de abril, sobre cláusulas abusivas en los contratos celebrados con los consumidores.</w:t>
      </w:r>
    </w:p>
    <w:p w14:paraId="69FD53EB" w14:textId="2E09C649" w:rsidR="002B1E17" w:rsidRDefault="00C37DE5" w:rsidP="002B1E17">
      <w:pPr>
        <w:spacing w:after="240"/>
        <w:jc w:val="both"/>
        <w:rPr>
          <w:rFonts w:ascii="Times New Roman" w:hAnsi="Times New Roman" w:cs="Times New Roman"/>
          <w:sz w:val="24"/>
          <w:szCs w:val="24"/>
        </w:rPr>
      </w:pPr>
      <w:hyperlink r:id="rId89" w:history="1">
        <w:r w:rsidR="002B1E17" w:rsidRPr="00F7142B">
          <w:rPr>
            <w:rStyle w:val="Hipervnculo"/>
            <w:rFonts w:ascii="Times New Roman" w:hAnsi="Times New Roman" w:cs="Times New Roman"/>
            <w:sz w:val="24"/>
            <w:szCs w:val="24"/>
          </w:rPr>
          <w:t>S</w:t>
        </w:r>
        <w:r w:rsidR="00B270D8" w:rsidRPr="00F7142B">
          <w:rPr>
            <w:rStyle w:val="Hipervnculo"/>
            <w:rFonts w:ascii="Times New Roman" w:hAnsi="Times New Roman" w:cs="Times New Roman"/>
            <w:sz w:val="24"/>
            <w:szCs w:val="24"/>
          </w:rPr>
          <w:t xml:space="preserve">entencia del </w:t>
        </w:r>
        <w:r w:rsidR="002B1E17" w:rsidRPr="00F7142B">
          <w:rPr>
            <w:rStyle w:val="Hipervnculo"/>
            <w:rFonts w:ascii="Times New Roman" w:hAnsi="Times New Roman" w:cs="Times New Roman"/>
            <w:sz w:val="24"/>
            <w:szCs w:val="24"/>
          </w:rPr>
          <w:t>JPI núm. 8 de Valladolid, de 12 de enero de 2021</w:t>
        </w:r>
      </w:hyperlink>
      <w:r w:rsidR="002B1E17" w:rsidRPr="002B1E17">
        <w:rPr>
          <w:rFonts w:ascii="Times New Roman" w:hAnsi="Times New Roman" w:cs="Times New Roman"/>
          <w:sz w:val="24"/>
          <w:szCs w:val="24"/>
        </w:rPr>
        <w:t xml:space="preserve">. </w:t>
      </w:r>
      <w:r w:rsidR="00F7142B">
        <w:rPr>
          <w:rFonts w:ascii="Times New Roman" w:hAnsi="Times New Roman" w:cs="Times New Roman"/>
          <w:sz w:val="24"/>
          <w:szCs w:val="24"/>
        </w:rPr>
        <w:t>Resolución de contrato de compra</w:t>
      </w:r>
      <w:r w:rsidR="00D74241">
        <w:rPr>
          <w:rFonts w:ascii="Times New Roman" w:hAnsi="Times New Roman" w:cs="Times New Roman"/>
          <w:sz w:val="24"/>
          <w:szCs w:val="24"/>
        </w:rPr>
        <w:t>venta</w:t>
      </w:r>
      <w:r w:rsidR="00F7142B">
        <w:rPr>
          <w:rFonts w:ascii="Times New Roman" w:hAnsi="Times New Roman" w:cs="Times New Roman"/>
          <w:sz w:val="24"/>
          <w:szCs w:val="24"/>
        </w:rPr>
        <w:t xml:space="preserve"> de vestido de novia tras cancelación de boda por la situación sanitaria originada por el coronavirus. </w:t>
      </w:r>
    </w:p>
    <w:p w14:paraId="3B8962DB" w14:textId="20A24852" w:rsidR="0006715A" w:rsidRPr="002B1E17" w:rsidRDefault="00C37DE5" w:rsidP="002B1E17">
      <w:pPr>
        <w:spacing w:after="240"/>
        <w:jc w:val="both"/>
        <w:rPr>
          <w:rFonts w:ascii="Times New Roman" w:hAnsi="Times New Roman" w:cs="Times New Roman"/>
          <w:sz w:val="24"/>
          <w:szCs w:val="24"/>
        </w:rPr>
      </w:pPr>
      <w:hyperlink r:id="rId90" w:history="1">
        <w:r w:rsidR="00B270D8" w:rsidRPr="00B270D8">
          <w:rPr>
            <w:rStyle w:val="Hipervnculo"/>
            <w:rFonts w:ascii="Times New Roman" w:hAnsi="Times New Roman" w:cs="Times New Roman"/>
            <w:sz w:val="24"/>
            <w:szCs w:val="24"/>
          </w:rPr>
          <w:t>Sentencia del JPII núm. 4 de Tudela, de 28 de enero de 2021</w:t>
        </w:r>
      </w:hyperlink>
      <w:r w:rsidR="00B270D8">
        <w:rPr>
          <w:rFonts w:ascii="Times New Roman" w:hAnsi="Times New Roman" w:cs="Times New Roman"/>
          <w:sz w:val="24"/>
          <w:szCs w:val="24"/>
        </w:rPr>
        <w:t xml:space="preserve">. </w:t>
      </w:r>
      <w:r w:rsidR="00F7142B">
        <w:rPr>
          <w:rFonts w:ascii="Times New Roman" w:hAnsi="Times New Roman" w:cs="Times New Roman"/>
          <w:sz w:val="24"/>
          <w:szCs w:val="24"/>
        </w:rPr>
        <w:t>C</w:t>
      </w:r>
      <w:r w:rsidR="00913265">
        <w:rPr>
          <w:rFonts w:ascii="Times New Roman" w:hAnsi="Times New Roman" w:cs="Times New Roman"/>
          <w:sz w:val="24"/>
          <w:szCs w:val="24"/>
        </w:rPr>
        <w:t>ontrato</w:t>
      </w:r>
      <w:r w:rsidR="00F7142B">
        <w:rPr>
          <w:rFonts w:ascii="Times New Roman" w:hAnsi="Times New Roman" w:cs="Times New Roman"/>
          <w:sz w:val="24"/>
          <w:szCs w:val="24"/>
        </w:rPr>
        <w:t>s</w:t>
      </w:r>
      <w:r w:rsidR="00913265">
        <w:rPr>
          <w:rFonts w:ascii="Times New Roman" w:hAnsi="Times New Roman" w:cs="Times New Roman"/>
          <w:sz w:val="24"/>
          <w:szCs w:val="24"/>
        </w:rPr>
        <w:t xml:space="preserve"> de tarjeta</w:t>
      </w:r>
      <w:r w:rsidR="00B270D8">
        <w:rPr>
          <w:rFonts w:ascii="Times New Roman" w:hAnsi="Times New Roman" w:cs="Times New Roman"/>
          <w:sz w:val="24"/>
          <w:szCs w:val="24"/>
        </w:rPr>
        <w:t xml:space="preserve"> “revolving”. Nulidad por usura. </w:t>
      </w:r>
    </w:p>
    <w:p w14:paraId="36893CDB" w14:textId="0969BE51" w:rsidR="002B1E17" w:rsidRPr="002B1E17" w:rsidRDefault="00C37DE5" w:rsidP="002B1E17">
      <w:pPr>
        <w:spacing w:after="240"/>
        <w:jc w:val="both"/>
        <w:rPr>
          <w:rFonts w:ascii="Times New Roman" w:hAnsi="Times New Roman" w:cs="Times New Roman"/>
          <w:b/>
          <w:bCs/>
          <w:sz w:val="24"/>
          <w:szCs w:val="24"/>
        </w:rPr>
      </w:pPr>
      <w:r>
        <w:rPr>
          <w:noProof/>
        </w:rPr>
        <w:pict w14:anchorId="38B6F22F">
          <v:rect id="_x0000_i1026" alt="" style="width:425.2pt;height:.05pt;mso-width-percent:0;mso-height-percent:0;mso-width-percent:0;mso-height-percent:0" o:hralign="center" o:hrstd="t" o:hr="t" fillcolor="#a0a0a0" stroked="f"/>
        </w:pict>
      </w:r>
    </w:p>
    <w:p w14:paraId="49B72A1B" w14:textId="77777777" w:rsidR="00913265" w:rsidRDefault="00913265" w:rsidP="002B1E17">
      <w:pPr>
        <w:spacing w:after="240"/>
        <w:jc w:val="center"/>
        <w:rPr>
          <w:rFonts w:ascii="Times New Roman" w:hAnsi="Times New Roman" w:cs="Times New Roman"/>
          <w:b/>
          <w:bCs/>
          <w:sz w:val="24"/>
          <w:szCs w:val="24"/>
        </w:rPr>
      </w:pPr>
    </w:p>
    <w:p w14:paraId="49F07945" w14:textId="129AD3FD" w:rsidR="002B1E17" w:rsidRDefault="002B1E17" w:rsidP="002B1E17">
      <w:pPr>
        <w:spacing w:after="240"/>
        <w:jc w:val="center"/>
        <w:rPr>
          <w:rFonts w:ascii="Times New Roman" w:hAnsi="Times New Roman" w:cs="Times New Roman"/>
          <w:b/>
          <w:bCs/>
          <w:sz w:val="24"/>
          <w:szCs w:val="24"/>
        </w:rPr>
      </w:pPr>
      <w:r w:rsidRPr="00913265">
        <w:rPr>
          <w:rFonts w:ascii="Times New Roman" w:hAnsi="Times New Roman" w:cs="Times New Roman"/>
          <w:b/>
          <w:bCs/>
          <w:sz w:val="24"/>
          <w:szCs w:val="24"/>
        </w:rPr>
        <w:t>JUZGADO</w:t>
      </w:r>
      <w:r w:rsidR="0038090B">
        <w:rPr>
          <w:rFonts w:ascii="Times New Roman" w:hAnsi="Times New Roman" w:cs="Times New Roman"/>
          <w:b/>
          <w:bCs/>
          <w:sz w:val="24"/>
          <w:szCs w:val="24"/>
        </w:rPr>
        <w:t>S</w:t>
      </w:r>
      <w:r w:rsidR="00F7142B">
        <w:rPr>
          <w:rFonts w:ascii="Times New Roman" w:hAnsi="Times New Roman" w:cs="Times New Roman"/>
          <w:b/>
          <w:bCs/>
          <w:sz w:val="24"/>
          <w:szCs w:val="24"/>
        </w:rPr>
        <w:t xml:space="preserve"> </w:t>
      </w:r>
      <w:r w:rsidRPr="00913265">
        <w:rPr>
          <w:rFonts w:ascii="Times New Roman" w:hAnsi="Times New Roman" w:cs="Times New Roman"/>
          <w:b/>
          <w:bCs/>
          <w:sz w:val="24"/>
          <w:szCs w:val="24"/>
        </w:rPr>
        <w:t>DE LO MERCANTIL</w:t>
      </w:r>
    </w:p>
    <w:p w14:paraId="10E3D271" w14:textId="77777777" w:rsidR="00823AEA" w:rsidRPr="00823AEA" w:rsidRDefault="00823AEA" w:rsidP="002B1E17">
      <w:pPr>
        <w:spacing w:after="240"/>
        <w:jc w:val="center"/>
        <w:rPr>
          <w:rFonts w:ascii="Times New Roman" w:hAnsi="Times New Roman" w:cs="Times New Roman"/>
          <w:b/>
          <w:bCs/>
          <w:sz w:val="12"/>
          <w:szCs w:val="12"/>
        </w:rPr>
      </w:pPr>
    </w:p>
    <w:p w14:paraId="7AB10861" w14:textId="2965CEE7" w:rsidR="00226C2F" w:rsidRPr="003C4F44" w:rsidRDefault="00C37DE5" w:rsidP="003C4F44">
      <w:pPr>
        <w:spacing w:after="240"/>
        <w:jc w:val="both"/>
        <w:rPr>
          <w:rFonts w:ascii="Times New Roman" w:hAnsi="Times New Roman" w:cs="Times New Roman"/>
          <w:sz w:val="24"/>
          <w:szCs w:val="24"/>
        </w:rPr>
      </w:pPr>
      <w:hyperlink r:id="rId91" w:history="1">
        <w:r w:rsidR="002B1E17" w:rsidRPr="00913265">
          <w:rPr>
            <w:rStyle w:val="Hipervnculo"/>
            <w:rFonts w:ascii="Times New Roman" w:hAnsi="Times New Roman" w:cs="Times New Roman"/>
            <w:sz w:val="24"/>
            <w:szCs w:val="24"/>
          </w:rPr>
          <w:t>S</w:t>
        </w:r>
        <w:r w:rsidR="00B270D8" w:rsidRPr="00913265">
          <w:rPr>
            <w:rStyle w:val="Hipervnculo"/>
            <w:rFonts w:ascii="Times New Roman" w:hAnsi="Times New Roman" w:cs="Times New Roman"/>
            <w:sz w:val="24"/>
            <w:szCs w:val="24"/>
          </w:rPr>
          <w:t xml:space="preserve">entencia del </w:t>
        </w:r>
        <w:r w:rsidR="002B1E17" w:rsidRPr="00913265">
          <w:rPr>
            <w:rStyle w:val="Hipervnculo"/>
            <w:rFonts w:ascii="Times New Roman" w:hAnsi="Times New Roman" w:cs="Times New Roman"/>
            <w:sz w:val="24"/>
            <w:szCs w:val="24"/>
          </w:rPr>
          <w:t>JM núm. 1 de Madrid, de 25 de enero de 2021</w:t>
        </w:r>
      </w:hyperlink>
      <w:r w:rsidR="002B1E17" w:rsidRPr="002B1E17">
        <w:rPr>
          <w:rFonts w:ascii="Times New Roman" w:hAnsi="Times New Roman" w:cs="Times New Roman"/>
          <w:sz w:val="24"/>
          <w:szCs w:val="24"/>
        </w:rPr>
        <w:t xml:space="preserve">. </w:t>
      </w:r>
      <w:r w:rsidR="00913265">
        <w:rPr>
          <w:rFonts w:ascii="Times New Roman" w:hAnsi="Times New Roman" w:cs="Times New Roman"/>
          <w:sz w:val="24"/>
          <w:szCs w:val="24"/>
        </w:rPr>
        <w:t xml:space="preserve">Práctica comercial desleal por la instalación en vehículos motores diésel de un programa informático que ofrecía una imagen irreal de las emisiones de gases contaminantes. Demanda interpuesta por la Organización de Consumidores y Usuarios (OCU) frente a la entidad “Volkswagen </w:t>
      </w:r>
      <w:proofErr w:type="spellStart"/>
      <w:r w:rsidR="00913265">
        <w:rPr>
          <w:rFonts w:ascii="Times New Roman" w:hAnsi="Times New Roman" w:cs="Times New Roman"/>
          <w:sz w:val="24"/>
          <w:szCs w:val="24"/>
        </w:rPr>
        <w:t>Group</w:t>
      </w:r>
      <w:proofErr w:type="spellEnd"/>
      <w:r w:rsidR="00913265">
        <w:rPr>
          <w:rFonts w:ascii="Times New Roman" w:hAnsi="Times New Roman" w:cs="Times New Roman"/>
          <w:sz w:val="24"/>
          <w:szCs w:val="24"/>
        </w:rPr>
        <w:t xml:space="preserve"> España Distribución, S.A.”. </w:t>
      </w:r>
    </w:p>
    <w:p w14:paraId="749B5E68" w14:textId="4E72F68F" w:rsidR="00226C2F" w:rsidRPr="00226C2F" w:rsidRDefault="00226C2F" w:rsidP="00226C2F">
      <w:pPr>
        <w:spacing w:after="0" w:line="240" w:lineRule="auto"/>
        <w:jc w:val="center"/>
        <w:rPr>
          <w:rFonts w:cstheme="minorHAnsi"/>
          <w:b/>
          <w:color w:val="FFFFFF" w:themeColor="background1"/>
          <w:sz w:val="20"/>
          <w:szCs w:val="20"/>
        </w:rPr>
      </w:pPr>
    </w:p>
    <w:p w14:paraId="73DED83D" w14:textId="0F0CEE8E" w:rsidR="003F49BB" w:rsidRPr="00823AEA" w:rsidRDefault="00C37DE5" w:rsidP="00823AEA">
      <w:pPr>
        <w:rPr>
          <w:rFonts w:ascii="Segoe UI" w:hAnsi="Segoe UI" w:cs="Segoe UI"/>
          <w:b/>
          <w:color w:val="000000" w:themeColor="text1"/>
          <w:sz w:val="20"/>
          <w:szCs w:val="20"/>
        </w:rPr>
      </w:pPr>
      <w:r>
        <w:rPr>
          <w:noProof/>
        </w:rPr>
        <w:pict w14:anchorId="1C30F18C">
          <v:rect id="_x0000_i1025" alt="" style="width:425.2pt;height:.05pt;mso-width-percent:0;mso-height-percent:0;mso-width-percent:0;mso-height-percent:0" o:hralign="center" o:hrstd="t" o:hr="t" fillcolor="#a0a0a0" stroked="f"/>
        </w:pict>
      </w:r>
    </w:p>
    <w:sectPr w:rsidR="003F49BB" w:rsidRPr="00823AEA" w:rsidSect="000562B1">
      <w:footerReference w:type="default" r:id="rId92"/>
      <w:pgSz w:w="11906" w:h="16838"/>
      <w:pgMar w:top="1417" w:right="1701" w:bottom="1417" w:left="1701" w:header="708" w:footer="708"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BCF7D2" w14:textId="77777777" w:rsidR="00C37DE5" w:rsidRDefault="00C37DE5" w:rsidP="000562B1">
      <w:pPr>
        <w:spacing w:after="0" w:line="240" w:lineRule="auto"/>
      </w:pPr>
      <w:r>
        <w:separator/>
      </w:r>
    </w:p>
  </w:endnote>
  <w:endnote w:type="continuationSeparator" w:id="0">
    <w:p w14:paraId="3F3863D4" w14:textId="77777777" w:rsidR="00C37DE5" w:rsidRDefault="00C37DE5" w:rsidP="000562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41363187"/>
      <w:docPartObj>
        <w:docPartGallery w:val="Page Numbers (Bottom of Page)"/>
        <w:docPartUnique/>
      </w:docPartObj>
    </w:sdtPr>
    <w:sdtEndPr>
      <w:rPr>
        <w:rFonts w:ascii="Times New Roman" w:hAnsi="Times New Roman" w:cs="Times New Roman"/>
        <w:sz w:val="24"/>
        <w:szCs w:val="24"/>
      </w:rPr>
    </w:sdtEndPr>
    <w:sdtContent>
      <w:p w14:paraId="63290595" w14:textId="77777777" w:rsidR="00827C04" w:rsidRPr="001832F8" w:rsidRDefault="00827C04">
        <w:pPr>
          <w:pStyle w:val="Piedepgina"/>
          <w:jc w:val="right"/>
          <w:rPr>
            <w:rFonts w:ascii="Times New Roman" w:hAnsi="Times New Roman" w:cs="Times New Roman"/>
            <w:sz w:val="24"/>
            <w:szCs w:val="24"/>
          </w:rPr>
        </w:pPr>
        <w:r w:rsidRPr="001832F8">
          <w:rPr>
            <w:rFonts w:ascii="Times New Roman" w:hAnsi="Times New Roman" w:cs="Times New Roman"/>
            <w:sz w:val="24"/>
            <w:szCs w:val="24"/>
          </w:rPr>
          <w:fldChar w:fldCharType="begin"/>
        </w:r>
        <w:r w:rsidRPr="001832F8">
          <w:rPr>
            <w:rFonts w:ascii="Times New Roman" w:hAnsi="Times New Roman" w:cs="Times New Roman"/>
            <w:sz w:val="24"/>
            <w:szCs w:val="24"/>
          </w:rPr>
          <w:instrText>PAGE   \* MERGEFORMAT</w:instrText>
        </w:r>
        <w:r w:rsidRPr="001832F8">
          <w:rPr>
            <w:rFonts w:ascii="Times New Roman" w:hAnsi="Times New Roman" w:cs="Times New Roman"/>
            <w:sz w:val="24"/>
            <w:szCs w:val="24"/>
          </w:rPr>
          <w:fldChar w:fldCharType="separate"/>
        </w:r>
        <w:r w:rsidR="00930248">
          <w:rPr>
            <w:rFonts w:ascii="Times New Roman" w:hAnsi="Times New Roman" w:cs="Times New Roman"/>
            <w:noProof/>
            <w:sz w:val="24"/>
            <w:szCs w:val="24"/>
          </w:rPr>
          <w:t>0</w:t>
        </w:r>
        <w:r w:rsidRPr="001832F8">
          <w:rPr>
            <w:rFonts w:ascii="Times New Roman" w:hAnsi="Times New Roman" w:cs="Times New Roman"/>
            <w:sz w:val="24"/>
            <w:szCs w:val="24"/>
          </w:rPr>
          <w:fldChar w:fldCharType="end"/>
        </w:r>
      </w:p>
    </w:sdtContent>
  </w:sdt>
  <w:p w14:paraId="37C823B9" w14:textId="77777777" w:rsidR="00827C04" w:rsidRDefault="00827C0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271F38" w14:textId="77777777" w:rsidR="00C37DE5" w:rsidRDefault="00C37DE5" w:rsidP="000562B1">
      <w:pPr>
        <w:spacing w:after="0" w:line="240" w:lineRule="auto"/>
      </w:pPr>
      <w:r>
        <w:separator/>
      </w:r>
    </w:p>
  </w:footnote>
  <w:footnote w:type="continuationSeparator" w:id="0">
    <w:p w14:paraId="32F663A6" w14:textId="77777777" w:rsidR="00C37DE5" w:rsidRDefault="00C37DE5" w:rsidP="000562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E315AE"/>
    <w:multiLevelType w:val="hybridMultilevel"/>
    <w:tmpl w:val="F6222D90"/>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1A47CDC"/>
    <w:multiLevelType w:val="hybridMultilevel"/>
    <w:tmpl w:val="9CFE2A6E"/>
    <w:lvl w:ilvl="0" w:tplc="D750CB88">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15:restartNumberingAfterBreak="0">
    <w:nsid w:val="14397483"/>
    <w:multiLevelType w:val="hybridMultilevel"/>
    <w:tmpl w:val="2014F256"/>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9795D65"/>
    <w:multiLevelType w:val="hybridMultilevel"/>
    <w:tmpl w:val="6CAED840"/>
    <w:lvl w:ilvl="0" w:tplc="2C8094C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4" w15:restartNumberingAfterBreak="0">
    <w:nsid w:val="1CA75E7F"/>
    <w:multiLevelType w:val="hybridMultilevel"/>
    <w:tmpl w:val="08249B3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D4075B9"/>
    <w:multiLevelType w:val="hybridMultilevel"/>
    <w:tmpl w:val="55201CAE"/>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65861EC8"/>
    <w:multiLevelType w:val="hybridMultilevel"/>
    <w:tmpl w:val="B194020E"/>
    <w:lvl w:ilvl="0" w:tplc="8DF0A502">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6B2123B9"/>
    <w:multiLevelType w:val="hybridMultilevel"/>
    <w:tmpl w:val="B9C406EE"/>
    <w:lvl w:ilvl="0" w:tplc="471C8DA0">
      <w:numFmt w:val="bullet"/>
      <w:lvlText w:val="-"/>
      <w:lvlJc w:val="left"/>
      <w:pPr>
        <w:ind w:left="720" w:hanging="360"/>
      </w:pPr>
      <w:rPr>
        <w:rFonts w:ascii="Times New Roman" w:eastAsiaTheme="minorHAnsi"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8" w15:restartNumberingAfterBreak="0">
    <w:nsid w:val="713A1A64"/>
    <w:multiLevelType w:val="hybridMultilevel"/>
    <w:tmpl w:val="370E71BC"/>
    <w:lvl w:ilvl="0" w:tplc="45FE9F5A">
      <w:start w:val="1"/>
      <w:numFmt w:val="bullet"/>
      <w:lvlText w:val="-"/>
      <w:lvlJc w:val="left"/>
      <w:pPr>
        <w:ind w:left="720" w:hanging="360"/>
      </w:pPr>
      <w:rPr>
        <w:rFonts w:ascii="Calibri" w:hAnsi="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78CB4682"/>
    <w:multiLevelType w:val="hybridMultilevel"/>
    <w:tmpl w:val="F922407E"/>
    <w:lvl w:ilvl="0" w:tplc="45FE9F5A">
      <w:start w:val="1"/>
      <w:numFmt w:val="bullet"/>
      <w:lvlText w:val="-"/>
      <w:lvlJc w:val="left"/>
      <w:pPr>
        <w:ind w:left="720" w:hanging="360"/>
      </w:pPr>
      <w:rPr>
        <w:rFonts w:ascii="Calibri" w:hAnsi="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0"/>
  </w:num>
  <w:num w:numId="3">
    <w:abstractNumId w:val="8"/>
  </w:num>
  <w:num w:numId="4">
    <w:abstractNumId w:val="5"/>
  </w:num>
  <w:num w:numId="5">
    <w:abstractNumId w:val="2"/>
  </w:num>
  <w:num w:numId="6">
    <w:abstractNumId w:val="4"/>
  </w:num>
  <w:num w:numId="7">
    <w:abstractNumId w:val="1"/>
  </w:num>
  <w:num w:numId="8">
    <w:abstractNumId w:val="3"/>
  </w:num>
  <w:num w:numId="9">
    <w:abstractNumId w:val="6"/>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178D6"/>
    <w:rsid w:val="00020F4E"/>
    <w:rsid w:val="00023371"/>
    <w:rsid w:val="000260EA"/>
    <w:rsid w:val="00033A21"/>
    <w:rsid w:val="00045895"/>
    <w:rsid w:val="00054FB7"/>
    <w:rsid w:val="00055DCF"/>
    <w:rsid w:val="000562B1"/>
    <w:rsid w:val="0006715A"/>
    <w:rsid w:val="00091C1F"/>
    <w:rsid w:val="000B5305"/>
    <w:rsid w:val="001175FF"/>
    <w:rsid w:val="0012310A"/>
    <w:rsid w:val="001269ED"/>
    <w:rsid w:val="001342BF"/>
    <w:rsid w:val="001426E9"/>
    <w:rsid w:val="0017035A"/>
    <w:rsid w:val="00181687"/>
    <w:rsid w:val="001832F8"/>
    <w:rsid w:val="00197F42"/>
    <w:rsid w:val="001B39D6"/>
    <w:rsid w:val="001C7752"/>
    <w:rsid w:val="001E467C"/>
    <w:rsid w:val="00226C2F"/>
    <w:rsid w:val="002321F9"/>
    <w:rsid w:val="0028255D"/>
    <w:rsid w:val="002920B4"/>
    <w:rsid w:val="002A11EF"/>
    <w:rsid w:val="002B1E17"/>
    <w:rsid w:val="002C3D5D"/>
    <w:rsid w:val="00326C94"/>
    <w:rsid w:val="003662F8"/>
    <w:rsid w:val="0038090B"/>
    <w:rsid w:val="003C4F44"/>
    <w:rsid w:val="003C7E66"/>
    <w:rsid w:val="003E66AA"/>
    <w:rsid w:val="003F49BB"/>
    <w:rsid w:val="003F4BCA"/>
    <w:rsid w:val="00410FE1"/>
    <w:rsid w:val="004158D3"/>
    <w:rsid w:val="00426FB5"/>
    <w:rsid w:val="00474518"/>
    <w:rsid w:val="00495CD3"/>
    <w:rsid w:val="004A1086"/>
    <w:rsid w:val="004A67EC"/>
    <w:rsid w:val="004B17F0"/>
    <w:rsid w:val="004D0941"/>
    <w:rsid w:val="004D794A"/>
    <w:rsid w:val="004F749B"/>
    <w:rsid w:val="0051297C"/>
    <w:rsid w:val="005524C4"/>
    <w:rsid w:val="005527B0"/>
    <w:rsid w:val="00582008"/>
    <w:rsid w:val="005939BE"/>
    <w:rsid w:val="005B7019"/>
    <w:rsid w:val="005E340F"/>
    <w:rsid w:val="005F0DEC"/>
    <w:rsid w:val="005F1DFB"/>
    <w:rsid w:val="005F3752"/>
    <w:rsid w:val="005F7187"/>
    <w:rsid w:val="00617D90"/>
    <w:rsid w:val="00633110"/>
    <w:rsid w:val="00656A1A"/>
    <w:rsid w:val="00666C3C"/>
    <w:rsid w:val="00673A7C"/>
    <w:rsid w:val="006B09DF"/>
    <w:rsid w:val="006B172C"/>
    <w:rsid w:val="00710790"/>
    <w:rsid w:val="0073215C"/>
    <w:rsid w:val="00750189"/>
    <w:rsid w:val="00777A36"/>
    <w:rsid w:val="007C2FE3"/>
    <w:rsid w:val="007C7C81"/>
    <w:rsid w:val="00823AEA"/>
    <w:rsid w:val="008251E3"/>
    <w:rsid w:val="00827C04"/>
    <w:rsid w:val="00846866"/>
    <w:rsid w:val="00847269"/>
    <w:rsid w:val="0085768E"/>
    <w:rsid w:val="00891EF7"/>
    <w:rsid w:val="008A254E"/>
    <w:rsid w:val="008B032C"/>
    <w:rsid w:val="008D2AC3"/>
    <w:rsid w:val="008D4ACD"/>
    <w:rsid w:val="008D6849"/>
    <w:rsid w:val="008E7FE1"/>
    <w:rsid w:val="008F2A25"/>
    <w:rsid w:val="008F5D80"/>
    <w:rsid w:val="00913265"/>
    <w:rsid w:val="00914F9E"/>
    <w:rsid w:val="00916F83"/>
    <w:rsid w:val="00923CBC"/>
    <w:rsid w:val="00930248"/>
    <w:rsid w:val="0093649B"/>
    <w:rsid w:val="009432D4"/>
    <w:rsid w:val="00952BF5"/>
    <w:rsid w:val="00982BD1"/>
    <w:rsid w:val="009868A9"/>
    <w:rsid w:val="009B7D1C"/>
    <w:rsid w:val="009E7932"/>
    <w:rsid w:val="009F6D54"/>
    <w:rsid w:val="00A00862"/>
    <w:rsid w:val="00A178D6"/>
    <w:rsid w:val="00A21DDE"/>
    <w:rsid w:val="00A535EC"/>
    <w:rsid w:val="00A95CE0"/>
    <w:rsid w:val="00AB31D0"/>
    <w:rsid w:val="00B00158"/>
    <w:rsid w:val="00B03532"/>
    <w:rsid w:val="00B065EF"/>
    <w:rsid w:val="00B270D8"/>
    <w:rsid w:val="00B32AD3"/>
    <w:rsid w:val="00B40032"/>
    <w:rsid w:val="00B42623"/>
    <w:rsid w:val="00B44604"/>
    <w:rsid w:val="00B55B74"/>
    <w:rsid w:val="00B917BF"/>
    <w:rsid w:val="00BE3615"/>
    <w:rsid w:val="00BE5D7E"/>
    <w:rsid w:val="00C07046"/>
    <w:rsid w:val="00C26685"/>
    <w:rsid w:val="00C37702"/>
    <w:rsid w:val="00C37DE5"/>
    <w:rsid w:val="00C41A52"/>
    <w:rsid w:val="00C45C39"/>
    <w:rsid w:val="00C47765"/>
    <w:rsid w:val="00C5425C"/>
    <w:rsid w:val="00C57D67"/>
    <w:rsid w:val="00C660D0"/>
    <w:rsid w:val="00C67BF4"/>
    <w:rsid w:val="00C70BDE"/>
    <w:rsid w:val="00C87AA6"/>
    <w:rsid w:val="00C943B2"/>
    <w:rsid w:val="00C967BA"/>
    <w:rsid w:val="00C97832"/>
    <w:rsid w:val="00CA7C2A"/>
    <w:rsid w:val="00CB0586"/>
    <w:rsid w:val="00CE63DC"/>
    <w:rsid w:val="00D03066"/>
    <w:rsid w:val="00D10448"/>
    <w:rsid w:val="00D364FB"/>
    <w:rsid w:val="00D37249"/>
    <w:rsid w:val="00D464E6"/>
    <w:rsid w:val="00D74241"/>
    <w:rsid w:val="00D827B7"/>
    <w:rsid w:val="00DA30E6"/>
    <w:rsid w:val="00DB24F9"/>
    <w:rsid w:val="00DC326F"/>
    <w:rsid w:val="00DD73EB"/>
    <w:rsid w:val="00E37172"/>
    <w:rsid w:val="00E618E3"/>
    <w:rsid w:val="00E67C54"/>
    <w:rsid w:val="00E7533D"/>
    <w:rsid w:val="00E75818"/>
    <w:rsid w:val="00E76D1E"/>
    <w:rsid w:val="00E843AB"/>
    <w:rsid w:val="00E86324"/>
    <w:rsid w:val="00EC25EC"/>
    <w:rsid w:val="00EE05FD"/>
    <w:rsid w:val="00EF0B8C"/>
    <w:rsid w:val="00F334A1"/>
    <w:rsid w:val="00F5658C"/>
    <w:rsid w:val="00F7142B"/>
    <w:rsid w:val="00FA6DED"/>
    <w:rsid w:val="00FE1D5C"/>
    <w:rsid w:val="00FF618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1F9BF5"/>
  <w15:docId w15:val="{0F50294A-85E9-274D-868A-FE027EA0C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E3615"/>
    <w:pPr>
      <w:ind w:left="720"/>
      <w:contextualSpacing/>
    </w:pPr>
  </w:style>
  <w:style w:type="paragraph" w:styleId="Textodeglobo">
    <w:name w:val="Balloon Text"/>
    <w:basedOn w:val="Normal"/>
    <w:link w:val="TextodegloboCar"/>
    <w:uiPriority w:val="99"/>
    <w:semiHidden/>
    <w:unhideWhenUsed/>
    <w:rsid w:val="00C660D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60D0"/>
    <w:rPr>
      <w:rFonts w:ascii="Tahoma" w:hAnsi="Tahoma" w:cs="Tahoma"/>
      <w:sz w:val="16"/>
      <w:szCs w:val="16"/>
    </w:rPr>
  </w:style>
  <w:style w:type="paragraph" w:styleId="Encabezado">
    <w:name w:val="header"/>
    <w:basedOn w:val="Normal"/>
    <w:link w:val="EncabezadoCar"/>
    <w:uiPriority w:val="99"/>
    <w:unhideWhenUsed/>
    <w:rsid w:val="000562B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562B1"/>
  </w:style>
  <w:style w:type="paragraph" w:styleId="Piedepgina">
    <w:name w:val="footer"/>
    <w:basedOn w:val="Normal"/>
    <w:link w:val="PiedepginaCar"/>
    <w:uiPriority w:val="99"/>
    <w:unhideWhenUsed/>
    <w:rsid w:val="000562B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562B1"/>
  </w:style>
  <w:style w:type="character" w:styleId="Hipervnculo">
    <w:name w:val="Hyperlink"/>
    <w:basedOn w:val="Fuentedeprrafopredeter"/>
    <w:uiPriority w:val="99"/>
    <w:unhideWhenUsed/>
    <w:rsid w:val="002B1E17"/>
    <w:rPr>
      <w:color w:val="0000FF" w:themeColor="hyperlink"/>
      <w:u w:val="single"/>
    </w:rPr>
  </w:style>
  <w:style w:type="character" w:customStyle="1" w:styleId="Mencinsinresolver1">
    <w:name w:val="Mención sin resolver1"/>
    <w:basedOn w:val="Fuentedeprrafopredeter"/>
    <w:uiPriority w:val="99"/>
    <w:semiHidden/>
    <w:unhideWhenUsed/>
    <w:rsid w:val="00C47765"/>
    <w:rPr>
      <w:color w:val="605E5C"/>
      <w:shd w:val="clear" w:color="auto" w:fill="E1DFDD"/>
    </w:rPr>
  </w:style>
  <w:style w:type="character" w:styleId="Hipervnculovisitado">
    <w:name w:val="FollowedHyperlink"/>
    <w:basedOn w:val="Fuentedeprrafopredeter"/>
    <w:uiPriority w:val="99"/>
    <w:semiHidden/>
    <w:unhideWhenUsed/>
    <w:rsid w:val="00F334A1"/>
    <w:rPr>
      <w:color w:val="800080" w:themeColor="followedHyperlink"/>
      <w:u w:val="single"/>
    </w:rPr>
  </w:style>
  <w:style w:type="character" w:styleId="Mencinsinresolver">
    <w:name w:val="Unresolved Mention"/>
    <w:basedOn w:val="Fuentedeprrafopredeter"/>
    <w:uiPriority w:val="99"/>
    <w:semiHidden/>
    <w:unhideWhenUsed/>
    <w:rsid w:val="00C5425C"/>
    <w:rPr>
      <w:color w:val="605E5C"/>
      <w:shd w:val="clear" w:color="auto" w:fill="E1DFDD"/>
    </w:rPr>
  </w:style>
  <w:style w:type="paragraph" w:styleId="Textonotapie">
    <w:name w:val="footnote text"/>
    <w:basedOn w:val="Normal"/>
    <w:link w:val="TextonotapieCar"/>
    <w:uiPriority w:val="99"/>
    <w:semiHidden/>
    <w:unhideWhenUsed/>
    <w:rsid w:val="00C5425C"/>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C5425C"/>
    <w:rPr>
      <w:sz w:val="20"/>
      <w:szCs w:val="20"/>
    </w:rPr>
  </w:style>
  <w:style w:type="character" w:styleId="Refdenotaalpie">
    <w:name w:val="footnote reference"/>
    <w:basedOn w:val="Fuentedeprrafopredeter"/>
    <w:uiPriority w:val="99"/>
    <w:semiHidden/>
    <w:unhideWhenUsed/>
    <w:rsid w:val="00C5425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95219153">
      <w:bodyDiv w:val="1"/>
      <w:marLeft w:val="0"/>
      <w:marRight w:val="0"/>
      <w:marTop w:val="0"/>
      <w:marBottom w:val="0"/>
      <w:divBdr>
        <w:top w:val="none" w:sz="0" w:space="0" w:color="auto"/>
        <w:left w:val="none" w:sz="0" w:space="0" w:color="auto"/>
        <w:bottom w:val="none" w:sz="0" w:space="0" w:color="auto"/>
        <w:right w:val="none" w:sz="0" w:space="0" w:color="auto"/>
      </w:divBdr>
      <w:divsChild>
        <w:div w:id="709261901">
          <w:marLeft w:val="0"/>
          <w:marRight w:val="0"/>
          <w:marTop w:val="0"/>
          <w:marBottom w:val="150"/>
          <w:divBdr>
            <w:top w:val="none" w:sz="0" w:space="0" w:color="auto"/>
            <w:left w:val="none" w:sz="0" w:space="0" w:color="auto"/>
            <w:bottom w:val="none" w:sz="0" w:space="0" w:color="auto"/>
            <w:right w:val="none" w:sz="0" w:space="0" w:color="auto"/>
          </w:divBdr>
        </w:div>
        <w:div w:id="54663381">
          <w:marLeft w:val="0"/>
          <w:marRight w:val="0"/>
          <w:marTop w:val="0"/>
          <w:marBottom w:val="300"/>
          <w:divBdr>
            <w:top w:val="none" w:sz="0" w:space="0" w:color="auto"/>
            <w:left w:val="none" w:sz="0" w:space="0" w:color="auto"/>
            <w:bottom w:val="none" w:sz="0" w:space="0" w:color="auto"/>
            <w:right w:val="none" w:sz="0" w:space="0" w:color="auto"/>
          </w:divBdr>
          <w:divsChild>
            <w:div w:id="20587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oderjudicial.es/search/AN/openDocument/55d1a390ae6970ea/20210126" TargetMode="External"/><Relationship Id="rId21" Type="http://schemas.openxmlformats.org/officeDocument/2006/relationships/hyperlink" Target="https://hj.tribunalconstitucional.es/docs/BOE/BOE-A-2021-5132.pdf" TargetMode="External"/><Relationship Id="rId42" Type="http://schemas.openxmlformats.org/officeDocument/2006/relationships/hyperlink" Target="https://www.poderjudicial.es/search/AN/openDocument/01f014a6d5106987/20210204" TargetMode="External"/><Relationship Id="rId47" Type="http://schemas.openxmlformats.org/officeDocument/2006/relationships/hyperlink" Target="https://www.poderjudicial.es/search/AN/openDocument/29b9614028846a79/20210223" TargetMode="External"/><Relationship Id="rId63" Type="http://schemas.openxmlformats.org/officeDocument/2006/relationships/hyperlink" Target="https://www.poderjudicial.es/search/AN/openDocument/4ac937638fdbaccc/20210412" TargetMode="External"/><Relationship Id="rId68" Type="http://schemas.openxmlformats.org/officeDocument/2006/relationships/hyperlink" Target="https://www.poderjudicial.es/search/AN/openDocument/1140d40bb5fa639b/20210224" TargetMode="External"/><Relationship Id="rId84" Type="http://schemas.openxmlformats.org/officeDocument/2006/relationships/hyperlink" Target="https://www.poderjudicial.es/search/AN/openDocument/e2d45a4a0100296c/20210331" TargetMode="External"/><Relationship Id="rId89" Type="http://schemas.openxmlformats.org/officeDocument/2006/relationships/hyperlink" Target="https://www.poderjudicial.es/search/AN/openDocument/9b2177352b2fbf33/20210114" TargetMode="External"/><Relationship Id="rId16" Type="http://schemas.openxmlformats.org/officeDocument/2006/relationships/hyperlink" Target="https://hj.tribunalconstitucional.es/HJ/docs/BOE/BOE-A-2021-2826.pdf" TargetMode="External"/><Relationship Id="rId11" Type="http://schemas.openxmlformats.org/officeDocument/2006/relationships/hyperlink" Target="https://curia.europa.eu/juris/document/document.jsf?text=%2522consumidores%2522&amp;docid=239003&amp;pageIndex=0&amp;doclang=es&amp;mode=lst&amp;dir=&amp;occ=first&amp;part=1&amp;cid=5285591" TargetMode="External"/><Relationship Id="rId32" Type="http://schemas.openxmlformats.org/officeDocument/2006/relationships/hyperlink" Target="https://www.poderjudicial.es/search/AN/openDocument/fb4c8d56ceefb5e5/20210225" TargetMode="External"/><Relationship Id="rId37" Type="http://schemas.openxmlformats.org/officeDocument/2006/relationships/hyperlink" Target="https://www.poderjudicial.es/search/AN/openDocument/7b90699c1ce7d4d8/20210316" TargetMode="External"/><Relationship Id="rId53" Type="http://schemas.openxmlformats.org/officeDocument/2006/relationships/hyperlink" Target="https://www.poderjudicial.es/search/AN/openDocument/c89167408f5cd0a0/20210205" TargetMode="External"/><Relationship Id="rId58" Type="http://schemas.openxmlformats.org/officeDocument/2006/relationships/hyperlink" Target="https://www.poderjudicial.es/search/AN/openDocument/90d55b23d2c0f261/20210223" TargetMode="External"/><Relationship Id="rId74" Type="http://schemas.openxmlformats.org/officeDocument/2006/relationships/hyperlink" Target="https://www.poderjudicial.es/search/AN/openDocument/78e9d6462c308079/20210203" TargetMode="External"/><Relationship Id="rId79" Type="http://schemas.openxmlformats.org/officeDocument/2006/relationships/hyperlink" Target="https://www.poderjudicial.es/search/AN/openDocument/32c1d1858aa54311/20210330" TargetMode="External"/><Relationship Id="rId5" Type="http://schemas.openxmlformats.org/officeDocument/2006/relationships/webSettings" Target="webSettings.xml"/><Relationship Id="rId90" Type="http://schemas.openxmlformats.org/officeDocument/2006/relationships/hyperlink" Target="https://www.poderjudicial.es/search/AN/openDocument/fa1ed91bb9d58c45/20210225" TargetMode="External"/><Relationship Id="rId22" Type="http://schemas.openxmlformats.org/officeDocument/2006/relationships/hyperlink" Target="http://www.tribunalconstitucional.es/NotasDePrensaDocumentos/NP_2021_024/P%20998-2021.pdf" TargetMode="External"/><Relationship Id="rId27" Type="http://schemas.openxmlformats.org/officeDocument/2006/relationships/hyperlink" Target="https://www.poderjudicial.es/search/AN/openDocument/8dc7ec05e76c1713/20210208" TargetMode="External"/><Relationship Id="rId43" Type="http://schemas.openxmlformats.org/officeDocument/2006/relationships/hyperlink" Target="https://www.poderjudicial.es/search/AN/openDocument/a83f54a49332b0d0/20210202" TargetMode="External"/><Relationship Id="rId48" Type="http://schemas.openxmlformats.org/officeDocument/2006/relationships/hyperlink" Target="https://www.poderjudicial.es/search/AN/openDocument/f5b0993d3289eae3/20210301" TargetMode="External"/><Relationship Id="rId64" Type="http://schemas.openxmlformats.org/officeDocument/2006/relationships/hyperlink" Target="https://www.poderjudicial.es/search/AN/openDocument/8427996ebf577502/20210210" TargetMode="External"/><Relationship Id="rId69" Type="http://schemas.openxmlformats.org/officeDocument/2006/relationships/hyperlink" Target="https://www.poderjudicial.es/search/AN/openDocument/df37718eb79ca24b/20210215" TargetMode="External"/><Relationship Id="rId8" Type="http://schemas.openxmlformats.org/officeDocument/2006/relationships/image" Target="media/image1.png"/><Relationship Id="rId51" Type="http://schemas.openxmlformats.org/officeDocument/2006/relationships/hyperlink" Target="https://www.poderjudicial.es/search/AN/openDocument/bdc13719864bb02c/20210208" TargetMode="External"/><Relationship Id="rId72" Type="http://schemas.openxmlformats.org/officeDocument/2006/relationships/hyperlink" Target="https://www.poderjudicial.es/search/AN/openDocument/3fb45ebb56a2b26e/20210305" TargetMode="External"/><Relationship Id="rId80" Type="http://schemas.openxmlformats.org/officeDocument/2006/relationships/hyperlink" Target="https://www.poderjudicial.es/search/AN/openDocument/7c4ef569b8059a72/20210329" TargetMode="External"/><Relationship Id="rId85" Type="http://schemas.openxmlformats.org/officeDocument/2006/relationships/hyperlink" Target="https://www.poderjudicial.es/search/AN/openDocument/40118b4a93e90b5a/20210330"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curia.europa.eu/juris/document/document.jsf?text=%2522consumidores%2522&amp;docid=239181&amp;pageIndex=0&amp;doclang=ES&amp;mode=req&amp;dir=&amp;occ=first&amp;part=1&amp;cid=5285591" TargetMode="External"/><Relationship Id="rId17" Type="http://schemas.openxmlformats.org/officeDocument/2006/relationships/hyperlink" Target="https://hj.tribunalconstitucional.es/HJ/docs/BOE/BOE-A-2021-2827.pdf" TargetMode="External"/><Relationship Id="rId25" Type="http://schemas.openxmlformats.org/officeDocument/2006/relationships/hyperlink" Target="https://www.poderjudicial.es/search/AN/openDocument/f8ac10daeee55c11/20210203" TargetMode="External"/><Relationship Id="rId33" Type="http://schemas.openxmlformats.org/officeDocument/2006/relationships/hyperlink" Target="https://www.poderjudicial.es/search/AN/openDocument/cab03a94598240ea/20210223" TargetMode="External"/><Relationship Id="rId38" Type="http://schemas.openxmlformats.org/officeDocument/2006/relationships/hyperlink" Target="https://www.poderjudicial.es/search/AN/openDocument/f61311f65aff0964/20210329" TargetMode="External"/><Relationship Id="rId46" Type="http://schemas.openxmlformats.org/officeDocument/2006/relationships/hyperlink" Target="https://www.poderjudicial.es/search/AN/openDocument/dea2b42cd1815c06/20210301" TargetMode="External"/><Relationship Id="rId59" Type="http://schemas.openxmlformats.org/officeDocument/2006/relationships/hyperlink" Target="https://www.poderjudicial.es/search/AN/openDocument/e0527745e3e1e910/20210301" TargetMode="External"/><Relationship Id="rId67" Type="http://schemas.openxmlformats.org/officeDocument/2006/relationships/hyperlink" Target="https://www.poderjudicial.es/search/AN/openDocument/9233756f3e71141a/20210215" TargetMode="External"/><Relationship Id="rId20" Type="http://schemas.openxmlformats.org/officeDocument/2006/relationships/hyperlink" Target="https://hj.tribunalconstitucional.es/HJ/es/Resolucion/Show/26594" TargetMode="External"/><Relationship Id="rId41" Type="http://schemas.openxmlformats.org/officeDocument/2006/relationships/hyperlink" Target="https://www.poderjudicial.es/search/AN/openDocument/f2a6a77adb401f7e/20210204" TargetMode="External"/><Relationship Id="rId54" Type="http://schemas.openxmlformats.org/officeDocument/2006/relationships/hyperlink" Target="https://www.poderjudicial.es/search/AN/openDocument/78ab405a8b9cded7/20210323" TargetMode="External"/><Relationship Id="rId62" Type="http://schemas.openxmlformats.org/officeDocument/2006/relationships/hyperlink" Target="https://www.poderjudicial.es/search/AN/openDocument/3cd3e423c957e963/20210329" TargetMode="External"/><Relationship Id="rId70" Type="http://schemas.openxmlformats.org/officeDocument/2006/relationships/hyperlink" Target="https://www.poderjudicial.es/search/AN/openDocument/3639f2557a605b4c/20210211" TargetMode="External"/><Relationship Id="rId75" Type="http://schemas.openxmlformats.org/officeDocument/2006/relationships/hyperlink" Target="https://www.poderjudicial.es/search/AN/openDocument/dce6777b7b4cb11f/20210209" TargetMode="External"/><Relationship Id="rId83" Type="http://schemas.openxmlformats.org/officeDocument/2006/relationships/hyperlink" Target="https://www.poderjudicial.es/search/AN/openDocument/91d2460c51bdbbd1/20210331" TargetMode="External"/><Relationship Id="rId88" Type="http://schemas.openxmlformats.org/officeDocument/2006/relationships/hyperlink" Target="https://www.poderjudicial.es/search/AN/openDocument/ad28e9d89d1c2864/20210126" TargetMode="External"/><Relationship Id="rId91" Type="http://schemas.openxmlformats.org/officeDocument/2006/relationships/hyperlink" Target="https://www.poderjudicial.es/search/AN/openDocument/605a4bcb0afb3cfd/2021012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ia.europa.eu/juris/document/document.jsf?text=%2522consumidores%2522&amp;docid=239608&amp;pageIndex=0&amp;doclang=es&amp;mode=req&amp;dir=&amp;occ=first&amp;part=1&amp;cid=5285591" TargetMode="External"/><Relationship Id="rId23" Type="http://schemas.openxmlformats.org/officeDocument/2006/relationships/hyperlink" Target="https://www.boe.es/diario_boe/txt.php?id=BOE-A-2021-4516" TargetMode="External"/><Relationship Id="rId28" Type="http://schemas.openxmlformats.org/officeDocument/2006/relationships/hyperlink" Target="https://www.poderjudicial.es/search/AN/openDocument/c076b07dfa1dd7d9/20210208" TargetMode="External"/><Relationship Id="rId36" Type="http://schemas.openxmlformats.org/officeDocument/2006/relationships/hyperlink" Target="https://www.poderjudicial.es/search/AN/openDocument/ee280f72a4cf2a05/20210316" TargetMode="External"/><Relationship Id="rId49" Type="http://schemas.openxmlformats.org/officeDocument/2006/relationships/hyperlink" Target="https://www.poderjudicial.es/search/AN/openDocument/52bcef226f40eee1/20210329" TargetMode="External"/><Relationship Id="rId57" Type="http://schemas.openxmlformats.org/officeDocument/2006/relationships/hyperlink" Target="https://www.poderjudicial.es/search/AN/openDocument/c2557f0f6e63174e/20210408" TargetMode="External"/><Relationship Id="rId10" Type="http://schemas.openxmlformats.org/officeDocument/2006/relationships/hyperlink" Target="https://curia.europa.eu/juris/document/document.jsf?text=%2522consumidores%2522&amp;docid=237283&amp;pageIndex=0&amp;doclang=ES&amp;mode=req&amp;dir=&amp;occ=first&amp;part=1&amp;cid=5797536" TargetMode="External"/><Relationship Id="rId31" Type="http://schemas.openxmlformats.org/officeDocument/2006/relationships/hyperlink" Target="https://www.poderjudicial.es/search/AN/openDocument/26a7a04f2b6cb17c/20210225" TargetMode="External"/><Relationship Id="rId44" Type="http://schemas.openxmlformats.org/officeDocument/2006/relationships/hyperlink" Target="https://www.poderjudicial.es/search/AN/openDocument/afdb58e0aaad977b/20210215" TargetMode="External"/><Relationship Id="rId52" Type="http://schemas.openxmlformats.org/officeDocument/2006/relationships/hyperlink" Target="https://www.poderjudicial.es/search/AN/openDocument/0af5b47b7ec7161b/20210208" TargetMode="External"/><Relationship Id="rId60" Type="http://schemas.openxmlformats.org/officeDocument/2006/relationships/hyperlink" Target="https://www.poderjudicial.es/search/AN/openDocument/91a64deeaef2a1a2/20210305" TargetMode="External"/><Relationship Id="rId65" Type="http://schemas.openxmlformats.org/officeDocument/2006/relationships/hyperlink" Target="https://www.poderjudicial.es/search/AN/openDocument/5242e6f679748bdd/20210203" TargetMode="External"/><Relationship Id="rId73" Type="http://schemas.openxmlformats.org/officeDocument/2006/relationships/hyperlink" Target="https://www.poderjudicial.es/search/AN/openDocument/27217ed5d1ffee47/20210224" TargetMode="External"/><Relationship Id="rId78" Type="http://schemas.openxmlformats.org/officeDocument/2006/relationships/hyperlink" Target="https://www.poderjudicial.es/search/AN/openDocument/edb3862c8a738a6b/20210316" TargetMode="External"/><Relationship Id="rId81" Type="http://schemas.openxmlformats.org/officeDocument/2006/relationships/hyperlink" Target="https://www.poderjudicial.es/search/AN/openDocument/ee54fd8e5488fc08/20210308" TargetMode="External"/><Relationship Id="rId86" Type="http://schemas.openxmlformats.org/officeDocument/2006/relationships/hyperlink" Target="https://www.poderjudicial.es/search/AN/openDocument/623bddb0a903adda/20210409"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curia.europa.eu/juris/document/document.jsf?text=%2522consumidores%2522&amp;docid=237043&amp;pageIndex=0&amp;doclang=ES&amp;mode=req&amp;dir=&amp;occ=first&amp;part=1&amp;cid=5797536" TargetMode="External"/><Relationship Id="rId13" Type="http://schemas.openxmlformats.org/officeDocument/2006/relationships/hyperlink" Target="https://curia.europa.eu/juris/document/document.jsf?text=consumidores&amp;docid=237681&amp;pageIndex=0&amp;doclang=es&amp;mode=req&amp;dir=&amp;occ=first&amp;part=1&amp;cid=5797536" TargetMode="External"/><Relationship Id="rId18" Type="http://schemas.openxmlformats.org/officeDocument/2006/relationships/hyperlink" Target="https://hj.tribunalconstitucional.es/HJ/docs/BOE/BOE-A-2021-2831.pdf" TargetMode="External"/><Relationship Id="rId39" Type="http://schemas.openxmlformats.org/officeDocument/2006/relationships/hyperlink" Target="https://www.poderjudicial.es/search/AN/openDocument/082f15f29df867e1/20210208" TargetMode="External"/><Relationship Id="rId34" Type="http://schemas.openxmlformats.org/officeDocument/2006/relationships/hyperlink" Target="https://www.poderjudicial.es/search/AN/openDocument/bf04a5dc95161dcc/20210223" TargetMode="External"/><Relationship Id="rId50" Type="http://schemas.openxmlformats.org/officeDocument/2006/relationships/hyperlink" Target="https://www.poderjudicial.es/search/AN/openDocument/5af443246a828583/20210203" TargetMode="External"/><Relationship Id="rId55" Type="http://schemas.openxmlformats.org/officeDocument/2006/relationships/hyperlink" Target="https://www.poderjudicial.es/search/AN/openDocument/52bcef226f40eee1/20210329" TargetMode="External"/><Relationship Id="rId76" Type="http://schemas.openxmlformats.org/officeDocument/2006/relationships/hyperlink" Target="https://www.poderjudicial.es/search/AN/openDocument/191a7614d190db83/20210216" TargetMode="External"/><Relationship Id="rId7" Type="http://schemas.openxmlformats.org/officeDocument/2006/relationships/endnotes" Target="endnotes.xml"/><Relationship Id="rId71" Type="http://schemas.openxmlformats.org/officeDocument/2006/relationships/hyperlink" Target="https://www.poderjudicial.es/search/AN/openDocument/084eca1b10e23dd2/20210408" TargetMode="External"/><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hyperlink" Target="https://www.poderjudicial.es/search/contenidos.action" TargetMode="External"/><Relationship Id="rId24" Type="http://schemas.openxmlformats.org/officeDocument/2006/relationships/hyperlink" Target="https://www.poderjudicial.es/search/AN/openDocument/eec34108fec8183e/20210323" TargetMode="External"/><Relationship Id="rId40" Type="http://schemas.openxmlformats.org/officeDocument/2006/relationships/hyperlink" Target="https://www.poderjudicial.es/search/AN/openDocument/05d2ba3d22a382b9/20210209" TargetMode="External"/><Relationship Id="rId45" Type="http://schemas.openxmlformats.org/officeDocument/2006/relationships/hyperlink" Target="https://www.poderjudicial.es/search/AN/openDocument/144044cbc465f8df/20210223" TargetMode="External"/><Relationship Id="rId66" Type="http://schemas.openxmlformats.org/officeDocument/2006/relationships/hyperlink" Target="https://www.poderjudicial.es/search/AN/openDocument/16ae7d9ba0bb44ec/20210203" TargetMode="External"/><Relationship Id="rId87" Type="http://schemas.openxmlformats.org/officeDocument/2006/relationships/hyperlink" Target="https://www.poderjudicial.es/search/AN/openDocument/b81d5327d94a4a4f/20210331" TargetMode="External"/><Relationship Id="rId61" Type="http://schemas.openxmlformats.org/officeDocument/2006/relationships/hyperlink" Target="https://www.poderjudicial.es/search/AN/openDocument/3973230d294c0830/20210329" TargetMode="External"/><Relationship Id="rId82" Type="http://schemas.openxmlformats.org/officeDocument/2006/relationships/hyperlink" Target="https://www.poderjudicial.es/search/AN/openDocument/e95a431fff5e8766/20210311" TargetMode="External"/><Relationship Id="rId19" Type="http://schemas.openxmlformats.org/officeDocument/2006/relationships/hyperlink" Target="https://hj.tribunalconstitucional.es/HJ/docs/BOE/BOE-A-2021-2835.pdf" TargetMode="External"/><Relationship Id="rId14" Type="http://schemas.openxmlformats.org/officeDocument/2006/relationships/hyperlink" Target="https://curia.europa.eu/juris/document/document.jsf?text=%2522consumidores%2522&amp;docid=238705&amp;pageIndex=0&amp;doclang=ES&amp;mode=req&amp;dir=&amp;occ=first&amp;part=1&amp;cid=5797536" TargetMode="External"/><Relationship Id="rId30" Type="http://schemas.openxmlformats.org/officeDocument/2006/relationships/hyperlink" Target="https://www.poderjudicial.es/search/AN/openDocument/011ad8b8e2175e34/20210208" TargetMode="External"/><Relationship Id="rId35" Type="http://schemas.openxmlformats.org/officeDocument/2006/relationships/hyperlink" Target="https://www.poderjudicial.es/search/AN/openDocument/9740b16053a4f7e6/20210301" TargetMode="External"/><Relationship Id="rId56" Type="http://schemas.openxmlformats.org/officeDocument/2006/relationships/hyperlink" Target="https://www.poderjudicial.es/search/AN/openDocument/0bdd5b1aab698c5a/20210408" TargetMode="External"/><Relationship Id="rId77" Type="http://schemas.openxmlformats.org/officeDocument/2006/relationships/hyperlink" Target="https://www.poderjudicial.es/search/AN/openDocument/c8adae2b6aede4f1/20210316"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D6A6CB-9DC6-489A-A252-BFC5A6A34D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13</Pages>
  <Words>5366</Words>
  <Characters>29518</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JESUS BASTANTE GONZALEZ</dc:creator>
  <cp:lastModifiedBy>LUCIA MORENO GARCIA</cp:lastModifiedBy>
  <cp:revision>140</cp:revision>
  <cp:lastPrinted>2021-04-08T11:14:00Z</cp:lastPrinted>
  <dcterms:created xsi:type="dcterms:W3CDTF">2021-04-07T15:27:00Z</dcterms:created>
  <dcterms:modified xsi:type="dcterms:W3CDTF">2021-04-14T16:17:00Z</dcterms:modified>
</cp:coreProperties>
</file>