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bookmarkStart w:id="0" w:name="_GoBack"/>
      <w:bookmarkEnd w:id="0"/>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5A07CFE4" w:rsidR="00827C04" w:rsidRDefault="00C67C8B">
                            <w:pPr>
                              <w:rPr>
                                <w:rFonts w:ascii="Segoe UI" w:hAnsi="Segoe UI" w:cs="Segoe UI"/>
                                <w:b/>
                                <w:color w:val="FFFFFF" w:themeColor="background1"/>
                                <w:sz w:val="36"/>
                                <w:szCs w:val="36"/>
                              </w:rPr>
                            </w:pPr>
                            <w:r>
                              <w:rPr>
                                <w:rFonts w:ascii="Segoe UI" w:hAnsi="Segoe UI" w:cs="Segoe UI"/>
                                <w:b/>
                                <w:color w:val="FFFFFF" w:themeColor="background1"/>
                                <w:sz w:val="36"/>
                                <w:szCs w:val="36"/>
                              </w:rPr>
                              <w:t>Enero</w:t>
                            </w:r>
                            <w:r w:rsidR="00B40032">
                              <w:rPr>
                                <w:rFonts w:ascii="Segoe UI" w:hAnsi="Segoe UI" w:cs="Segoe UI"/>
                                <w:b/>
                                <w:color w:val="FFFFFF" w:themeColor="background1"/>
                                <w:sz w:val="36"/>
                                <w:szCs w:val="36"/>
                              </w:rPr>
                              <w:t>-</w:t>
                            </w:r>
                            <w:r>
                              <w:rPr>
                                <w:rFonts w:ascii="Segoe UI" w:hAnsi="Segoe UI" w:cs="Segoe UI"/>
                                <w:b/>
                                <w:color w:val="FFFFFF" w:themeColor="background1"/>
                                <w:sz w:val="36"/>
                                <w:szCs w:val="36"/>
                              </w:rPr>
                              <w:t>Marzo</w:t>
                            </w:r>
                            <w:r w:rsidR="00827C04" w:rsidRPr="00D37249">
                              <w:rPr>
                                <w:rFonts w:ascii="Segoe UI" w:hAnsi="Segoe UI" w:cs="Segoe UI"/>
                                <w:b/>
                                <w:color w:val="FFFFFF" w:themeColor="background1"/>
                                <w:sz w:val="36"/>
                                <w:szCs w:val="36"/>
                              </w:rPr>
                              <w:t xml:space="preserve"> 202</w:t>
                            </w:r>
                            <w:r w:rsidR="00816AAB">
                              <w:rPr>
                                <w:rFonts w:ascii="Segoe UI" w:hAnsi="Segoe UI" w:cs="Segoe UI"/>
                                <w:b/>
                                <w:color w:val="FFFFFF" w:themeColor="background1"/>
                                <w:sz w:val="36"/>
                                <w:szCs w:val="36"/>
                              </w:rPr>
                              <w:t>1</w:t>
                            </w:r>
                          </w:p>
                          <w:p w14:paraId="2EB7BD8F" w14:textId="77777777" w:rsidR="00827C04" w:rsidRPr="00D37249" w:rsidRDefault="00827C04">
                            <w:pPr>
                              <w:rPr>
                                <w:rFonts w:ascii="Segoe UI" w:hAnsi="Segoe UI" w:cs="Segoe UI"/>
                                <w:b/>
                                <w:color w:val="FFFFFF" w:themeColor="background1"/>
                                <w:sz w:val="36"/>
                                <w:szCs w:val="36"/>
                              </w:rPr>
                            </w:pPr>
                          </w:p>
                          <w:p w14:paraId="34318A5E" w14:textId="77777777" w:rsidR="00DC3841"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110CCB52" w:rsidR="00827C04" w:rsidRPr="00DC3841" w:rsidRDefault="00DC3841" w:rsidP="005F1DFB">
                            <w:pPr>
                              <w:spacing w:after="0" w:line="240" w:lineRule="auto"/>
                              <w:rPr>
                                <w:rFonts w:ascii="Segoe UI" w:hAnsi="Segoe UI" w:cs="Segoe UI"/>
                                <w:b/>
                                <w:color w:val="FFFFFF" w:themeColor="background1"/>
                                <w:sz w:val="96"/>
                                <w:szCs w:val="96"/>
                              </w:rPr>
                            </w:pPr>
                            <w:r>
                              <w:rPr>
                                <w:rFonts w:ascii="Segoe UI" w:hAnsi="Segoe UI" w:cs="Segoe UI"/>
                                <w:b/>
                                <w:sz w:val="36"/>
                                <w:szCs w:val="36"/>
                              </w:rPr>
                              <w:t xml:space="preserve">CONSUMO Y DERECHO </w:t>
                            </w:r>
                            <w:r w:rsidR="00827C04">
                              <w:rPr>
                                <w:rFonts w:ascii="Segoe UI" w:hAnsi="Segoe UI" w:cs="Segoe UI"/>
                                <w:b/>
                                <w:sz w:val="36"/>
                                <w:szCs w:val="36"/>
                              </w:rPr>
                              <w:t>(BIBLIOGRAFÍ</w:t>
                            </w:r>
                            <w:r w:rsidR="00827C04"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Víctor Bastante </w:t>
                            </w:r>
                            <w:proofErr w:type="spellStart"/>
                            <w:r w:rsidRPr="00EE05FD">
                              <w:rPr>
                                <w:rFonts w:ascii="Segoe UI" w:hAnsi="Segoe UI" w:cs="Segoe UI"/>
                                <w:sz w:val="20"/>
                                <w:szCs w:val="20"/>
                              </w:rPr>
                              <w:t>Granell</w:t>
                            </w:r>
                            <w:proofErr w:type="spellEnd"/>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" filled="f" stroked="f" strokeweight=".5pt">
                <v:textbox>
                  <w:txbxContent>
                    <w:p w14:paraId="4D436CF4" w14:textId="5A07CFE4" w:rsidR="00827C04" w:rsidRDefault="00C67C8B">
                      <w:pPr>
                        <w:rPr>
                          <w:rFonts w:ascii="Segoe UI" w:hAnsi="Segoe UI" w:cs="Segoe UI"/>
                          <w:b/>
                          <w:color w:val="FFFFFF" w:themeColor="background1"/>
                          <w:sz w:val="36"/>
                          <w:szCs w:val="36"/>
                        </w:rPr>
                      </w:pPr>
                      <w:r>
                        <w:rPr>
                          <w:rFonts w:ascii="Segoe UI" w:hAnsi="Segoe UI" w:cs="Segoe UI"/>
                          <w:b/>
                          <w:color w:val="FFFFFF" w:themeColor="background1"/>
                          <w:sz w:val="36"/>
                          <w:szCs w:val="36"/>
                        </w:rPr>
                        <w:t>Enero</w:t>
                      </w:r>
                      <w:r w:rsidR="00B40032">
                        <w:rPr>
                          <w:rFonts w:ascii="Segoe UI" w:hAnsi="Segoe UI" w:cs="Segoe UI"/>
                          <w:b/>
                          <w:color w:val="FFFFFF" w:themeColor="background1"/>
                          <w:sz w:val="36"/>
                          <w:szCs w:val="36"/>
                        </w:rPr>
                        <w:t>-</w:t>
                      </w:r>
                      <w:r>
                        <w:rPr>
                          <w:rFonts w:ascii="Segoe UI" w:hAnsi="Segoe UI" w:cs="Segoe UI"/>
                          <w:b/>
                          <w:color w:val="FFFFFF" w:themeColor="background1"/>
                          <w:sz w:val="36"/>
                          <w:szCs w:val="36"/>
                        </w:rPr>
                        <w:t>Marzo</w:t>
                      </w:r>
                      <w:r w:rsidR="00827C04" w:rsidRPr="00D37249">
                        <w:rPr>
                          <w:rFonts w:ascii="Segoe UI" w:hAnsi="Segoe UI" w:cs="Segoe UI"/>
                          <w:b/>
                          <w:color w:val="FFFFFF" w:themeColor="background1"/>
                          <w:sz w:val="36"/>
                          <w:szCs w:val="36"/>
                        </w:rPr>
                        <w:t xml:space="preserve"> 202</w:t>
                      </w:r>
                      <w:r w:rsidR="00816AAB">
                        <w:rPr>
                          <w:rFonts w:ascii="Segoe UI" w:hAnsi="Segoe UI" w:cs="Segoe UI"/>
                          <w:b/>
                          <w:color w:val="FFFFFF" w:themeColor="background1"/>
                          <w:sz w:val="36"/>
                          <w:szCs w:val="36"/>
                        </w:rPr>
                        <w:t>1</w:t>
                      </w:r>
                    </w:p>
                    <w:p w14:paraId="2EB7BD8F" w14:textId="77777777" w:rsidR="00827C04" w:rsidRPr="00D37249" w:rsidRDefault="00827C04">
                      <w:pPr>
                        <w:rPr>
                          <w:rFonts w:ascii="Segoe UI" w:hAnsi="Segoe UI" w:cs="Segoe UI"/>
                          <w:b/>
                          <w:color w:val="FFFFFF" w:themeColor="background1"/>
                          <w:sz w:val="36"/>
                          <w:szCs w:val="36"/>
                        </w:rPr>
                      </w:pPr>
                    </w:p>
                    <w:p w14:paraId="34318A5E" w14:textId="77777777" w:rsidR="00DC3841"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110CCB52" w:rsidR="00827C04" w:rsidRPr="00DC3841" w:rsidRDefault="00DC3841" w:rsidP="005F1DFB">
                      <w:pPr>
                        <w:spacing w:after="0" w:line="240" w:lineRule="auto"/>
                        <w:rPr>
                          <w:rFonts w:ascii="Segoe UI" w:hAnsi="Segoe UI" w:cs="Segoe UI"/>
                          <w:b/>
                          <w:color w:val="FFFFFF" w:themeColor="background1"/>
                          <w:sz w:val="96"/>
                          <w:szCs w:val="96"/>
                        </w:rPr>
                      </w:pPr>
                      <w:r>
                        <w:rPr>
                          <w:rFonts w:ascii="Segoe UI" w:hAnsi="Segoe UI" w:cs="Segoe UI"/>
                          <w:b/>
                          <w:sz w:val="36"/>
                          <w:szCs w:val="36"/>
                        </w:rPr>
                        <w:t xml:space="preserve">CONSUMO Y DERECHO </w:t>
                      </w:r>
                      <w:r w:rsidR="00827C04">
                        <w:rPr>
                          <w:rFonts w:ascii="Segoe UI" w:hAnsi="Segoe UI" w:cs="Segoe UI"/>
                          <w:b/>
                          <w:sz w:val="36"/>
                          <w:szCs w:val="36"/>
                        </w:rPr>
                        <w:t>(BIBLIOGRAFÍ</w:t>
                      </w:r>
                      <w:r w:rsidR="00827C04"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 xml:space="preserve">Profesor Ayudante Doctor.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12AADB1D">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638C718F" w:rsidR="00827C04" w:rsidRPr="00226C2F" w:rsidRDefault="00DC3841"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CONSUMO Y DERECHO</w:t>
                            </w:r>
                            <w:r w:rsidR="00827C04">
                              <w:rPr>
                                <w:rFonts w:cstheme="minorHAnsi"/>
                                <w:b/>
                                <w:color w:val="000000" w:themeColor="text1"/>
                                <w:sz w:val="28"/>
                                <w:szCs w:val="28"/>
                              </w:rPr>
                              <w:t xml:space="preserve"> </w:t>
                            </w:r>
                            <w:r w:rsidR="00827C04"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29E42E84" w14:textId="59CD580B" w:rsidR="00827C04" w:rsidRPr="00226C2F" w:rsidRDefault="00C67C8B" w:rsidP="00226C2F">
                            <w:pPr>
                              <w:jc w:val="center"/>
                              <w:rPr>
                                <w:rFonts w:cstheme="minorHAnsi"/>
                                <w:b/>
                                <w:color w:val="FFFFFF" w:themeColor="background1"/>
                                <w:sz w:val="20"/>
                                <w:szCs w:val="20"/>
                              </w:rPr>
                            </w:pPr>
                            <w:r>
                              <w:rPr>
                                <w:rFonts w:cstheme="minorHAnsi"/>
                                <w:b/>
                                <w:color w:val="FFFFFF" w:themeColor="background1"/>
                                <w:sz w:val="20"/>
                                <w:szCs w:val="20"/>
                              </w:rPr>
                              <w:t>Enero</w:t>
                            </w:r>
                            <w:r w:rsidR="00B40032">
                              <w:rPr>
                                <w:rFonts w:cstheme="minorHAnsi"/>
                                <w:b/>
                                <w:color w:val="FFFFFF" w:themeColor="background1"/>
                                <w:sz w:val="20"/>
                                <w:szCs w:val="20"/>
                              </w:rPr>
                              <w:t>-</w:t>
                            </w:r>
                            <w:r>
                              <w:rPr>
                                <w:rFonts w:cstheme="minorHAnsi"/>
                                <w:b/>
                                <w:color w:val="FFFFFF" w:themeColor="background1"/>
                                <w:sz w:val="20"/>
                                <w:szCs w:val="20"/>
                              </w:rPr>
                              <w:t>Marzo</w:t>
                            </w:r>
                            <w:r w:rsidR="00827C04" w:rsidRPr="00226C2F">
                              <w:rPr>
                                <w:rFonts w:cstheme="minorHAnsi"/>
                                <w:b/>
                                <w:color w:val="FFFFFF" w:themeColor="background1"/>
                                <w:sz w:val="20"/>
                                <w:szCs w:val="20"/>
                              </w:rPr>
                              <w:t xml:space="preserve"> 202</w:t>
                            </w:r>
                            <w:r w:rsidR="00816AAB">
                              <w:rPr>
                                <w:rFonts w:cstheme="minorHAnsi"/>
                                <w:b/>
                                <w:color w:val="FFFFFF" w:themeColor="background1"/>
                                <w:sz w:val="20"/>
                                <w:szCs w:val="20"/>
                              </w:rPr>
                              <w:t>1</w:t>
                            </w:r>
                          </w:p>
                          <w:p w14:paraId="31D940F1" w14:textId="77777777" w:rsidR="00827C04" w:rsidRDefault="00827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A495B1"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638C718F" w:rsidR="00827C04" w:rsidRPr="00226C2F" w:rsidRDefault="00DC3841"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CONSUMO Y DERECHO</w:t>
                      </w:r>
                      <w:r w:rsidR="00827C04">
                        <w:rPr>
                          <w:rFonts w:cstheme="minorHAnsi"/>
                          <w:b/>
                          <w:color w:val="000000" w:themeColor="text1"/>
                          <w:sz w:val="28"/>
                          <w:szCs w:val="28"/>
                        </w:rPr>
                        <w:t xml:space="preserve"> </w:t>
                      </w:r>
                      <w:r w:rsidR="00827C04"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29E42E84" w14:textId="59CD580B" w:rsidR="00827C04" w:rsidRPr="00226C2F" w:rsidRDefault="00C67C8B" w:rsidP="00226C2F">
                      <w:pPr>
                        <w:jc w:val="center"/>
                        <w:rPr>
                          <w:rFonts w:cstheme="minorHAnsi"/>
                          <w:b/>
                          <w:color w:val="FFFFFF" w:themeColor="background1"/>
                          <w:sz w:val="20"/>
                          <w:szCs w:val="20"/>
                        </w:rPr>
                      </w:pPr>
                      <w:r>
                        <w:rPr>
                          <w:rFonts w:cstheme="minorHAnsi"/>
                          <w:b/>
                          <w:color w:val="FFFFFF" w:themeColor="background1"/>
                          <w:sz w:val="20"/>
                          <w:szCs w:val="20"/>
                        </w:rPr>
                        <w:t>Enero</w:t>
                      </w:r>
                      <w:r w:rsidR="00B40032">
                        <w:rPr>
                          <w:rFonts w:cstheme="minorHAnsi"/>
                          <w:b/>
                          <w:color w:val="FFFFFF" w:themeColor="background1"/>
                          <w:sz w:val="20"/>
                          <w:szCs w:val="20"/>
                        </w:rPr>
                        <w:t>-</w:t>
                      </w:r>
                      <w:r>
                        <w:rPr>
                          <w:rFonts w:cstheme="minorHAnsi"/>
                          <w:b/>
                          <w:color w:val="FFFFFF" w:themeColor="background1"/>
                          <w:sz w:val="20"/>
                          <w:szCs w:val="20"/>
                        </w:rPr>
                        <w:t>Marzo</w:t>
                      </w:r>
                      <w:r w:rsidR="00827C04" w:rsidRPr="00226C2F">
                        <w:rPr>
                          <w:rFonts w:cstheme="minorHAnsi"/>
                          <w:b/>
                          <w:color w:val="FFFFFF" w:themeColor="background1"/>
                          <w:sz w:val="20"/>
                          <w:szCs w:val="20"/>
                        </w:rPr>
                        <w:t xml:space="preserve"> 202</w:t>
                      </w:r>
                      <w:r w:rsidR="00816AAB">
                        <w:rPr>
                          <w:rFonts w:cstheme="minorHAnsi"/>
                          <w:b/>
                          <w:color w:val="FFFFFF" w:themeColor="background1"/>
                          <w:sz w:val="20"/>
                          <w:szCs w:val="20"/>
                        </w:rPr>
                        <w:t>1</w:t>
                      </w:r>
                    </w:p>
                    <w:p w14:paraId="31D940F1" w14:textId="77777777" w:rsidR="00827C04" w:rsidRDefault="00827C04"/>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proofErr w:type="spellStart"/>
                            <w:r w:rsidRPr="00226C2F">
                              <w:rPr>
                                <w:rFonts w:ascii="Monotype Corsiva" w:hAnsi="Monotype Corsiva"/>
                                <w:b/>
                                <w:color w:val="FFFFFF" w:themeColor="background1"/>
                                <w:sz w:val="32"/>
                                <w:szCs w:val="3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391AFD"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r w:rsidRPr="00226C2F">
                        <w:rPr>
                          <w:rFonts w:ascii="Monotype Corsiva" w:hAnsi="Monotype Corsiva"/>
                          <w:b/>
                          <w:color w:val="FFFFFF" w:themeColor="background1"/>
                          <w:sz w:val="32"/>
                          <w:szCs w:val="32"/>
                        </w:rPr>
                        <w:t>NyR</w:t>
                      </w:r>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0781AEA6" w14:textId="77777777" w:rsidR="00226C2F" w:rsidRPr="005F0DEC" w:rsidRDefault="00226C2F" w:rsidP="00C943B2">
      <w:pPr>
        <w:rPr>
          <w:rFonts w:ascii="Segoe UI" w:hAnsi="Segoe UI" w:cs="Segoe UI"/>
          <w:b/>
          <w:color w:val="000000" w:themeColor="text1"/>
          <w:sz w:val="20"/>
          <w:szCs w:val="20"/>
        </w:rPr>
      </w:pPr>
    </w:p>
    <w:p w14:paraId="0FDC7D30" w14:textId="77777777" w:rsidR="00C67C8B" w:rsidRDefault="00C67C8B" w:rsidP="00C67C8B">
      <w:pPr>
        <w:pStyle w:val="Prrafodelista"/>
        <w:numPr>
          <w:ilvl w:val="0"/>
          <w:numId w:val="7"/>
        </w:numPr>
        <w:spacing w:after="160" w:line="259" w:lineRule="auto"/>
        <w:ind w:left="360"/>
        <w:jc w:val="both"/>
        <w:rPr>
          <w:sz w:val="20"/>
          <w:szCs w:val="20"/>
        </w:rPr>
      </w:pPr>
      <w:r w:rsidRPr="001B2902">
        <w:rPr>
          <w:caps/>
          <w:sz w:val="20"/>
          <w:szCs w:val="20"/>
        </w:rPr>
        <w:t>Andújar Hurtado</w:t>
      </w:r>
      <w:r w:rsidRPr="001B2902">
        <w:rPr>
          <w:sz w:val="20"/>
          <w:szCs w:val="20"/>
        </w:rPr>
        <w:t xml:space="preserve">, Juan Antonio. “La LCCI y las hipotecas de préstamos extranjeros”: </w:t>
      </w:r>
      <w:r w:rsidRPr="001B2902">
        <w:rPr>
          <w:i/>
          <w:iCs/>
          <w:sz w:val="20"/>
          <w:szCs w:val="20"/>
        </w:rPr>
        <w:t>El notario del siglo XXI: revista del Colegio Notarial de Madrid</w:t>
      </w:r>
      <w:r w:rsidRPr="001B2902">
        <w:rPr>
          <w:sz w:val="20"/>
          <w:szCs w:val="20"/>
        </w:rPr>
        <w:t xml:space="preserve">, Nº. 95, 2021, págs. 96-101. </w:t>
      </w:r>
    </w:p>
    <w:p w14:paraId="18BB5F60" w14:textId="77777777" w:rsidR="00C67C8B" w:rsidRPr="001B2902" w:rsidRDefault="00C67C8B" w:rsidP="00C67C8B">
      <w:pPr>
        <w:pStyle w:val="Prrafodelista"/>
        <w:ind w:left="360"/>
        <w:jc w:val="both"/>
        <w:rPr>
          <w:sz w:val="20"/>
          <w:szCs w:val="20"/>
        </w:rPr>
      </w:pPr>
    </w:p>
    <w:p w14:paraId="67469D8B"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ARGELICH COMELLES, Cristina. “La imprecisión del vencimiento anticipado como exclusión de la mora del deudor por un incumplimiento relativo”: </w:t>
      </w:r>
      <w:r w:rsidRPr="001B2902">
        <w:rPr>
          <w:i/>
          <w:iCs/>
          <w:sz w:val="20"/>
          <w:szCs w:val="20"/>
        </w:rPr>
        <w:t>Revista Crítica de Derecho Inmobiliario</w:t>
      </w:r>
      <w:r w:rsidRPr="001B2902">
        <w:rPr>
          <w:sz w:val="20"/>
          <w:szCs w:val="20"/>
        </w:rPr>
        <w:t>, Año nº 97, Nº 783, 2021, págs. 555-569</w:t>
      </w:r>
      <w:r>
        <w:rPr>
          <w:sz w:val="20"/>
          <w:szCs w:val="20"/>
        </w:rPr>
        <w:t>.</w:t>
      </w:r>
    </w:p>
    <w:p w14:paraId="1B16DC21" w14:textId="77777777" w:rsidR="00C67C8B" w:rsidRPr="001B2902" w:rsidRDefault="00C67C8B" w:rsidP="00C67C8B">
      <w:pPr>
        <w:pStyle w:val="Prrafodelista"/>
        <w:ind w:left="360"/>
        <w:jc w:val="both"/>
        <w:rPr>
          <w:sz w:val="20"/>
          <w:szCs w:val="20"/>
        </w:rPr>
      </w:pPr>
    </w:p>
    <w:p w14:paraId="5707906A"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Arnau Moya, Federico. “Inexistencia de retraso desleal en el ejercicio de la acción de reclamación de cantidades indebidamente cobradas. Comentario a la STS de España núm. 243/2019, de 24 abril 2019”: </w:t>
      </w:r>
      <w:r w:rsidRPr="001B2902">
        <w:rPr>
          <w:i/>
          <w:iCs/>
          <w:sz w:val="20"/>
          <w:szCs w:val="20"/>
        </w:rPr>
        <w:t>Actualidad jurídica iberoamericana</w:t>
      </w:r>
      <w:r w:rsidRPr="001B2902">
        <w:rPr>
          <w:sz w:val="20"/>
          <w:szCs w:val="20"/>
        </w:rPr>
        <w:t xml:space="preserve">, Nº. 12, 2020, págs. 832-845. </w:t>
      </w:r>
    </w:p>
    <w:p w14:paraId="583C15B6" w14:textId="77777777" w:rsidR="00C67C8B" w:rsidRPr="001B2902" w:rsidRDefault="00C67C8B" w:rsidP="00C67C8B">
      <w:pPr>
        <w:pStyle w:val="Prrafodelista"/>
        <w:ind w:left="360"/>
        <w:jc w:val="both"/>
        <w:rPr>
          <w:sz w:val="20"/>
          <w:szCs w:val="20"/>
        </w:rPr>
      </w:pPr>
    </w:p>
    <w:p w14:paraId="1419D3D7"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Artíñano Marra</w:t>
      </w:r>
      <w:r w:rsidRPr="001B2902">
        <w:rPr>
          <w:sz w:val="20"/>
          <w:szCs w:val="20"/>
        </w:rPr>
        <w:t>, Pastora de “«</w:t>
      </w:r>
      <w:proofErr w:type="spellStart"/>
      <w:r w:rsidRPr="001B2902">
        <w:rPr>
          <w:sz w:val="20"/>
          <w:szCs w:val="20"/>
        </w:rPr>
        <w:t>Rebus</w:t>
      </w:r>
      <w:proofErr w:type="spellEnd"/>
      <w:r w:rsidRPr="001B2902">
        <w:rPr>
          <w:sz w:val="20"/>
          <w:szCs w:val="20"/>
        </w:rPr>
        <w:t xml:space="preserve"> sic </w:t>
      </w:r>
      <w:proofErr w:type="spellStart"/>
      <w:r w:rsidRPr="001B2902">
        <w:rPr>
          <w:sz w:val="20"/>
          <w:szCs w:val="20"/>
        </w:rPr>
        <w:t>stantibus</w:t>
      </w:r>
      <w:proofErr w:type="spellEnd"/>
      <w:r w:rsidRPr="001B2902">
        <w:rPr>
          <w:sz w:val="20"/>
          <w:szCs w:val="20"/>
        </w:rPr>
        <w:t xml:space="preserve">» y su aplicación a los contratos en situación de crisis: Los retos de su regulación normativa”: </w:t>
      </w:r>
      <w:proofErr w:type="spellStart"/>
      <w:r w:rsidRPr="001B2902">
        <w:rPr>
          <w:i/>
          <w:iCs/>
          <w:sz w:val="20"/>
          <w:szCs w:val="20"/>
        </w:rPr>
        <w:t>Icade</w:t>
      </w:r>
      <w:proofErr w:type="spellEnd"/>
      <w:r w:rsidRPr="001B2902">
        <w:rPr>
          <w:i/>
          <w:iCs/>
          <w:sz w:val="20"/>
          <w:szCs w:val="20"/>
        </w:rPr>
        <w:t>: Revista de la Facultad de Derecho</w:t>
      </w:r>
      <w:r w:rsidRPr="001B2902">
        <w:rPr>
          <w:sz w:val="20"/>
          <w:szCs w:val="20"/>
        </w:rPr>
        <w:t>, Nº 110, 2020 (Ejemplar dedicado a: Los retos de la COVID-19 para el derecho de los negocios).</w:t>
      </w:r>
    </w:p>
    <w:p w14:paraId="3DE0A816" w14:textId="77777777" w:rsidR="00C67C8B" w:rsidRPr="001B2902" w:rsidRDefault="00C67C8B" w:rsidP="00C67C8B">
      <w:pPr>
        <w:pStyle w:val="Prrafodelista"/>
        <w:ind w:left="360"/>
        <w:jc w:val="both"/>
        <w:rPr>
          <w:sz w:val="20"/>
          <w:szCs w:val="20"/>
        </w:rPr>
      </w:pPr>
    </w:p>
    <w:p w14:paraId="6E9D2AA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Bárcena Suárez</w:t>
      </w:r>
      <w:r w:rsidRPr="001B2902">
        <w:rPr>
          <w:sz w:val="20"/>
          <w:szCs w:val="20"/>
        </w:rPr>
        <w:t xml:space="preserve">, Nicolás. “La actividad notarial en los contratos de crédito inmobiliario: funciones y responsabilidad”: </w:t>
      </w:r>
      <w:r w:rsidRPr="001B2902">
        <w:rPr>
          <w:i/>
          <w:iCs/>
          <w:sz w:val="20"/>
          <w:szCs w:val="20"/>
        </w:rPr>
        <w:t>Revista de derecho privado</w:t>
      </w:r>
      <w:r w:rsidRPr="001B2902">
        <w:rPr>
          <w:sz w:val="20"/>
          <w:szCs w:val="20"/>
        </w:rPr>
        <w:t xml:space="preserve">, Año nº 105, Mes 1, 2021, págs. 25-42. </w:t>
      </w:r>
    </w:p>
    <w:p w14:paraId="1E7B5B7C" w14:textId="77777777" w:rsidR="00C67C8B" w:rsidRPr="001B2902" w:rsidRDefault="00C67C8B" w:rsidP="00C67C8B">
      <w:pPr>
        <w:pStyle w:val="Prrafodelista"/>
        <w:ind w:left="360"/>
        <w:jc w:val="both"/>
        <w:rPr>
          <w:sz w:val="20"/>
          <w:szCs w:val="20"/>
        </w:rPr>
      </w:pPr>
    </w:p>
    <w:p w14:paraId="7D716AB3"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Bartolomé Martín</w:t>
      </w:r>
      <w:r w:rsidRPr="001B2902">
        <w:rPr>
          <w:sz w:val="20"/>
          <w:szCs w:val="20"/>
        </w:rPr>
        <w:t xml:space="preserve">, Claire Murphy. “Derecho de acceso e información desestructurada: ¿acceso o exceso?”: </w:t>
      </w:r>
      <w:r w:rsidRPr="001B2902">
        <w:rPr>
          <w:i/>
          <w:iCs/>
          <w:sz w:val="20"/>
          <w:szCs w:val="20"/>
        </w:rPr>
        <w:t>Diario La Ley</w:t>
      </w:r>
      <w:r w:rsidRPr="001B2902">
        <w:rPr>
          <w:sz w:val="20"/>
          <w:szCs w:val="20"/>
        </w:rPr>
        <w:t xml:space="preserve">, Nº 9755, 2020. </w:t>
      </w:r>
    </w:p>
    <w:p w14:paraId="03176040" w14:textId="77777777" w:rsidR="00C67C8B" w:rsidRPr="001B2902" w:rsidRDefault="00C67C8B" w:rsidP="00C67C8B">
      <w:pPr>
        <w:pStyle w:val="Prrafodelista"/>
        <w:ind w:left="360"/>
        <w:jc w:val="both"/>
        <w:rPr>
          <w:sz w:val="20"/>
          <w:szCs w:val="20"/>
        </w:rPr>
      </w:pPr>
    </w:p>
    <w:p w14:paraId="32D4173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Bastidas Cid</w:t>
      </w:r>
      <w:r w:rsidRPr="001B2902">
        <w:rPr>
          <w:sz w:val="20"/>
          <w:szCs w:val="20"/>
        </w:rPr>
        <w:t xml:space="preserve">, </w:t>
      </w:r>
      <w:proofErr w:type="spellStart"/>
      <w:r w:rsidRPr="001B2902">
        <w:rPr>
          <w:sz w:val="20"/>
          <w:szCs w:val="20"/>
        </w:rPr>
        <w:t>Yasna</w:t>
      </w:r>
      <w:proofErr w:type="spellEnd"/>
      <w:r w:rsidRPr="001B2902">
        <w:rPr>
          <w:sz w:val="20"/>
          <w:szCs w:val="20"/>
        </w:rPr>
        <w:t xml:space="preserve"> Vanessa. “Pandemia, apps móviles de salud y protección de datos personales: Principios y buenas prácticas a la luz del reglamento general de protección de datos de la Unión Europea”: </w:t>
      </w:r>
      <w:r w:rsidRPr="001B2902">
        <w:rPr>
          <w:i/>
          <w:iCs/>
          <w:sz w:val="20"/>
          <w:szCs w:val="20"/>
        </w:rPr>
        <w:t>Informática y Derecho: Revista Iberoamericana de Derecho Informático</w:t>
      </w:r>
      <w:r w:rsidRPr="001B2902">
        <w:rPr>
          <w:sz w:val="20"/>
          <w:szCs w:val="20"/>
        </w:rPr>
        <w:t xml:space="preserve"> (segunda época), Nº. 9, 2020 (Ejemplar dedicado a: Objetivos de desarrollo sostenible de la ONU. Derecho y transformación digital en contexto de pandemia), págs. 93-106. </w:t>
      </w:r>
    </w:p>
    <w:p w14:paraId="0D8C94DF" w14:textId="77777777" w:rsidR="00C67C8B" w:rsidRPr="001B2902" w:rsidRDefault="00C67C8B" w:rsidP="00C67C8B">
      <w:pPr>
        <w:pStyle w:val="Prrafodelista"/>
        <w:ind w:left="360"/>
        <w:jc w:val="both"/>
        <w:rPr>
          <w:sz w:val="20"/>
          <w:szCs w:val="20"/>
        </w:rPr>
      </w:pPr>
    </w:p>
    <w:p w14:paraId="6537F657"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Bernabéu Pérez</w:t>
      </w:r>
      <w:r w:rsidRPr="001B2902">
        <w:rPr>
          <w:sz w:val="20"/>
          <w:szCs w:val="20"/>
        </w:rPr>
        <w:t xml:space="preserve">, Isaac Carlos. “La aprobación del remate y la identificación del adquirente”: </w:t>
      </w:r>
      <w:r w:rsidRPr="001B2902">
        <w:rPr>
          <w:i/>
          <w:iCs/>
          <w:sz w:val="20"/>
          <w:szCs w:val="20"/>
        </w:rPr>
        <w:t>Práctica de tribunales: revista de derecho procesal civil y mercantil</w:t>
      </w:r>
      <w:r w:rsidRPr="001B2902">
        <w:rPr>
          <w:sz w:val="20"/>
          <w:szCs w:val="20"/>
        </w:rPr>
        <w:t>, Nº. 147, 2020.</w:t>
      </w:r>
    </w:p>
    <w:p w14:paraId="2EF264D0" w14:textId="77777777" w:rsidR="00C67C8B" w:rsidRPr="001B2902" w:rsidRDefault="00C67C8B" w:rsidP="00C67C8B">
      <w:pPr>
        <w:pStyle w:val="Prrafodelista"/>
        <w:ind w:left="360"/>
        <w:jc w:val="both"/>
        <w:rPr>
          <w:sz w:val="20"/>
          <w:szCs w:val="20"/>
        </w:rPr>
      </w:pPr>
    </w:p>
    <w:p w14:paraId="2412470C"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BONETE SATORRE, Berta. “A vueltas con el desahucio y las últimas reformas con ocasión del SARS-CoV-2”: </w:t>
      </w:r>
      <w:r w:rsidRPr="001B2902">
        <w:rPr>
          <w:i/>
          <w:iCs/>
          <w:sz w:val="20"/>
          <w:szCs w:val="20"/>
        </w:rPr>
        <w:t>Diario La Ley</w:t>
      </w:r>
      <w:r w:rsidRPr="001B2902">
        <w:rPr>
          <w:sz w:val="20"/>
          <w:szCs w:val="20"/>
        </w:rPr>
        <w:t xml:space="preserve">, Nº 9767, 2021. </w:t>
      </w:r>
    </w:p>
    <w:p w14:paraId="6C3C55C6" w14:textId="77777777" w:rsidR="00C67C8B" w:rsidRPr="001B2902" w:rsidRDefault="00C67C8B" w:rsidP="00C67C8B">
      <w:pPr>
        <w:pStyle w:val="Prrafodelista"/>
        <w:ind w:left="360"/>
        <w:jc w:val="both"/>
        <w:rPr>
          <w:sz w:val="20"/>
          <w:szCs w:val="20"/>
        </w:rPr>
      </w:pPr>
    </w:p>
    <w:p w14:paraId="61B37288"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Bueno Biot</w:t>
      </w:r>
      <w:r w:rsidRPr="001B2902">
        <w:rPr>
          <w:sz w:val="20"/>
          <w:szCs w:val="20"/>
        </w:rPr>
        <w:t xml:space="preserve">, </w:t>
      </w:r>
      <w:proofErr w:type="spellStart"/>
      <w:r w:rsidRPr="001B2902">
        <w:rPr>
          <w:sz w:val="20"/>
          <w:szCs w:val="20"/>
        </w:rPr>
        <w:t>Alvaro</w:t>
      </w:r>
      <w:proofErr w:type="spellEnd"/>
      <w:r w:rsidRPr="001B2902">
        <w:rPr>
          <w:sz w:val="20"/>
          <w:szCs w:val="20"/>
        </w:rPr>
        <w:t xml:space="preserve">. “Cláusula </w:t>
      </w:r>
      <w:proofErr w:type="spellStart"/>
      <w:r w:rsidRPr="001B2902">
        <w:rPr>
          <w:sz w:val="20"/>
          <w:szCs w:val="20"/>
        </w:rPr>
        <w:t>rebus</w:t>
      </w:r>
      <w:proofErr w:type="spellEnd"/>
      <w:r w:rsidRPr="001B2902">
        <w:rPr>
          <w:sz w:val="20"/>
          <w:szCs w:val="20"/>
        </w:rPr>
        <w:t xml:space="preserve"> sic </w:t>
      </w:r>
      <w:proofErr w:type="spellStart"/>
      <w:r w:rsidRPr="001B2902">
        <w:rPr>
          <w:sz w:val="20"/>
          <w:szCs w:val="20"/>
        </w:rPr>
        <w:t>stantibus</w:t>
      </w:r>
      <w:proofErr w:type="spellEnd"/>
      <w:r w:rsidRPr="001B2902">
        <w:rPr>
          <w:sz w:val="20"/>
          <w:szCs w:val="20"/>
        </w:rPr>
        <w:t xml:space="preserve"> y bonos estructurados. Comentario a la STS de España núm. 5/2019, de 9 de enero”: </w:t>
      </w:r>
      <w:r w:rsidRPr="001B2902">
        <w:rPr>
          <w:i/>
          <w:iCs/>
          <w:sz w:val="20"/>
          <w:szCs w:val="20"/>
        </w:rPr>
        <w:t>Actualidad jurídica iberoamericana</w:t>
      </w:r>
      <w:r w:rsidRPr="001B2902">
        <w:rPr>
          <w:sz w:val="20"/>
          <w:szCs w:val="20"/>
        </w:rPr>
        <w:t xml:space="preserve">, Nº. 12, 2020, págs. 846-863. </w:t>
      </w:r>
    </w:p>
    <w:p w14:paraId="3C3DB0EF" w14:textId="77777777" w:rsidR="00C67C8B" w:rsidRPr="001B2902" w:rsidRDefault="00C67C8B" w:rsidP="00C67C8B">
      <w:pPr>
        <w:pStyle w:val="Prrafodelista"/>
        <w:ind w:left="360"/>
        <w:jc w:val="both"/>
        <w:rPr>
          <w:sz w:val="20"/>
          <w:szCs w:val="20"/>
        </w:rPr>
      </w:pPr>
    </w:p>
    <w:p w14:paraId="25B99F63"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Caballero Trenado,</w:t>
      </w:r>
      <w:r w:rsidRPr="001B2902">
        <w:rPr>
          <w:sz w:val="20"/>
          <w:szCs w:val="20"/>
        </w:rPr>
        <w:t xml:space="preserve"> Laura. “Cookies y consentimiento”: </w:t>
      </w:r>
      <w:r w:rsidRPr="001B2902">
        <w:rPr>
          <w:i/>
          <w:iCs/>
          <w:sz w:val="20"/>
          <w:szCs w:val="20"/>
        </w:rPr>
        <w:t>Revista Crítica de Derecho Inmobiliario</w:t>
      </w:r>
      <w:r w:rsidRPr="001B2902">
        <w:rPr>
          <w:sz w:val="20"/>
          <w:szCs w:val="20"/>
        </w:rPr>
        <w:t>, Año nº 96, Nº 781, 2020, págs. 3227-3239.</w:t>
      </w:r>
    </w:p>
    <w:p w14:paraId="5D245548" w14:textId="77777777" w:rsidR="00C67C8B" w:rsidRPr="001B2902" w:rsidRDefault="00C67C8B" w:rsidP="00C67C8B">
      <w:pPr>
        <w:pStyle w:val="Prrafodelista"/>
        <w:ind w:left="360"/>
        <w:jc w:val="both"/>
        <w:rPr>
          <w:sz w:val="20"/>
          <w:szCs w:val="20"/>
        </w:rPr>
      </w:pPr>
    </w:p>
    <w:p w14:paraId="55E88D76"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Calero Olmos</w:t>
      </w:r>
      <w:r w:rsidRPr="001B2902">
        <w:rPr>
          <w:sz w:val="20"/>
          <w:szCs w:val="20"/>
        </w:rPr>
        <w:t xml:space="preserve">, Juan Bautista. “El papel del fiscal de consumo. Su actuación en el proceso civil en defensa de consumidores y usuarios”: </w:t>
      </w:r>
      <w:r w:rsidRPr="001B2902">
        <w:rPr>
          <w:i/>
          <w:iCs/>
          <w:sz w:val="20"/>
          <w:szCs w:val="20"/>
        </w:rPr>
        <w:t>RDUNED. Revista de derecho UNED</w:t>
      </w:r>
      <w:r w:rsidRPr="001B2902">
        <w:rPr>
          <w:sz w:val="20"/>
          <w:szCs w:val="20"/>
        </w:rPr>
        <w:t>, Nº. 26, 2020, págs. 49-75.</w:t>
      </w:r>
    </w:p>
    <w:p w14:paraId="5587CDB2" w14:textId="77777777" w:rsidR="00C67C8B" w:rsidRPr="001B2902" w:rsidRDefault="00C67C8B" w:rsidP="00C67C8B">
      <w:pPr>
        <w:pStyle w:val="Prrafodelista"/>
        <w:ind w:left="360"/>
        <w:jc w:val="both"/>
        <w:rPr>
          <w:sz w:val="20"/>
          <w:szCs w:val="20"/>
        </w:rPr>
      </w:pPr>
    </w:p>
    <w:p w14:paraId="55EAF9BC"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Camacho Pereira</w:t>
      </w:r>
      <w:r w:rsidRPr="001B2902">
        <w:rPr>
          <w:sz w:val="20"/>
          <w:szCs w:val="20"/>
        </w:rPr>
        <w:t xml:space="preserve">, Consuelo. “Exclusión del derecho de desistimiento en contratos en línea con consumidores en caso de bienes desprecintados tras la entrega, no aptos para ser devueltos por razones de protección de la salud o higiene”: </w:t>
      </w:r>
      <w:r w:rsidRPr="001B2902">
        <w:rPr>
          <w:i/>
          <w:iCs/>
          <w:sz w:val="20"/>
          <w:szCs w:val="20"/>
        </w:rPr>
        <w:t>Revista chilena de derecho privado</w:t>
      </w:r>
      <w:r w:rsidRPr="001B2902">
        <w:rPr>
          <w:sz w:val="20"/>
          <w:szCs w:val="20"/>
        </w:rPr>
        <w:t>, Nº. 35 (Diciembre), 2020, págs. 81-116.</w:t>
      </w:r>
    </w:p>
    <w:p w14:paraId="327B737F" w14:textId="77777777" w:rsidR="00C67C8B" w:rsidRPr="001B2902" w:rsidRDefault="00C67C8B" w:rsidP="00C67C8B">
      <w:pPr>
        <w:pStyle w:val="Prrafodelista"/>
        <w:ind w:left="360"/>
        <w:jc w:val="both"/>
        <w:rPr>
          <w:sz w:val="20"/>
          <w:szCs w:val="20"/>
        </w:rPr>
      </w:pPr>
    </w:p>
    <w:p w14:paraId="6ABF0F52" w14:textId="77D6EC91" w:rsidR="00D166C3" w:rsidRPr="00D166C3" w:rsidRDefault="00C67C8B" w:rsidP="00D166C3">
      <w:pPr>
        <w:pStyle w:val="Prrafodelista"/>
        <w:numPr>
          <w:ilvl w:val="0"/>
          <w:numId w:val="7"/>
        </w:numPr>
        <w:spacing w:after="160" w:line="259" w:lineRule="auto"/>
        <w:ind w:left="360"/>
        <w:jc w:val="both"/>
        <w:rPr>
          <w:sz w:val="20"/>
          <w:szCs w:val="20"/>
        </w:rPr>
      </w:pPr>
      <w:r w:rsidRPr="001B2902">
        <w:rPr>
          <w:caps/>
          <w:sz w:val="20"/>
          <w:szCs w:val="20"/>
        </w:rPr>
        <w:t>Carrizo Aguado</w:t>
      </w:r>
      <w:r w:rsidRPr="001B2902">
        <w:rPr>
          <w:sz w:val="20"/>
          <w:szCs w:val="20"/>
        </w:rPr>
        <w:t xml:space="preserve">, David. “El transporte aéreo de pasajeros en clave internacional: reflexiones materiales y procesales en el arduo equilibrio contractual”: </w:t>
      </w:r>
      <w:r w:rsidRPr="001B2902">
        <w:rPr>
          <w:i/>
          <w:iCs/>
          <w:sz w:val="20"/>
          <w:szCs w:val="20"/>
        </w:rPr>
        <w:t>Revista de derecho del transporte: Terrestre, marítimo, aéreo y multimodal</w:t>
      </w:r>
      <w:r w:rsidRPr="001B2902">
        <w:rPr>
          <w:sz w:val="20"/>
          <w:szCs w:val="20"/>
        </w:rPr>
        <w:t xml:space="preserve">, Nº. 26, 2020, págs. 147-182. </w:t>
      </w:r>
    </w:p>
    <w:p w14:paraId="1A987ADE" w14:textId="77777777" w:rsidR="00D166C3" w:rsidRPr="001B2902" w:rsidRDefault="00D166C3" w:rsidP="00D166C3">
      <w:pPr>
        <w:pStyle w:val="Prrafodelista"/>
        <w:spacing w:after="160" w:line="259" w:lineRule="auto"/>
        <w:ind w:left="360"/>
        <w:jc w:val="both"/>
        <w:rPr>
          <w:sz w:val="20"/>
          <w:szCs w:val="20"/>
        </w:rPr>
      </w:pPr>
    </w:p>
    <w:p w14:paraId="40BFE182" w14:textId="77777777" w:rsidR="00C67C8B" w:rsidRDefault="00C67C8B" w:rsidP="00C67C8B">
      <w:pPr>
        <w:pStyle w:val="Prrafodelista"/>
        <w:numPr>
          <w:ilvl w:val="0"/>
          <w:numId w:val="7"/>
        </w:numPr>
        <w:spacing w:after="160" w:line="259" w:lineRule="auto"/>
        <w:ind w:left="360"/>
        <w:jc w:val="both"/>
        <w:rPr>
          <w:sz w:val="20"/>
          <w:szCs w:val="20"/>
        </w:rPr>
      </w:pPr>
      <w:r w:rsidRPr="001B2902">
        <w:rPr>
          <w:caps/>
          <w:sz w:val="20"/>
          <w:szCs w:val="20"/>
        </w:rPr>
        <w:t>Castillo Martínez</w:t>
      </w:r>
      <w:r w:rsidRPr="001B2902">
        <w:rPr>
          <w:sz w:val="20"/>
          <w:szCs w:val="20"/>
        </w:rPr>
        <w:t xml:space="preserve">, Carolina del Carmen. “Algunas reflexiones acerca de la </w:t>
      </w:r>
      <w:proofErr w:type="spellStart"/>
      <w:r w:rsidRPr="001B2902">
        <w:rPr>
          <w:sz w:val="20"/>
          <w:szCs w:val="20"/>
        </w:rPr>
        <w:t>stjue</w:t>
      </w:r>
      <w:proofErr w:type="spellEnd"/>
      <w:r w:rsidRPr="001B2902">
        <w:rPr>
          <w:sz w:val="20"/>
          <w:szCs w:val="20"/>
        </w:rPr>
        <w:t xml:space="preserve"> de 9 de julio de 2020 sobre los pactos novatorios en materia de cláusulas suelo”: </w:t>
      </w:r>
      <w:r w:rsidRPr="001B2902">
        <w:rPr>
          <w:i/>
          <w:iCs/>
          <w:sz w:val="20"/>
          <w:szCs w:val="20"/>
        </w:rPr>
        <w:t>Revista Boliviana de Derecho</w:t>
      </w:r>
      <w:r w:rsidRPr="001B2902">
        <w:rPr>
          <w:sz w:val="20"/>
          <w:szCs w:val="20"/>
        </w:rPr>
        <w:t xml:space="preserve">, Nº. 31, 2021, págs. 132-159. </w:t>
      </w:r>
    </w:p>
    <w:p w14:paraId="1C3B069B" w14:textId="77777777" w:rsidR="00C67C8B" w:rsidRPr="001B2902" w:rsidRDefault="00C67C8B" w:rsidP="00C67C8B">
      <w:pPr>
        <w:pStyle w:val="Prrafodelista"/>
        <w:ind w:left="360"/>
        <w:jc w:val="both"/>
        <w:rPr>
          <w:sz w:val="20"/>
          <w:szCs w:val="20"/>
        </w:rPr>
      </w:pPr>
    </w:p>
    <w:p w14:paraId="1F791BA3"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Castillo Martínez</w:t>
      </w:r>
      <w:r w:rsidRPr="001B2902">
        <w:rPr>
          <w:sz w:val="20"/>
          <w:szCs w:val="20"/>
        </w:rPr>
        <w:t xml:space="preserve">, Carolina del Carmen. “Consideraciones sobre la cláusula </w:t>
      </w:r>
      <w:proofErr w:type="spellStart"/>
      <w:r w:rsidRPr="001B2902">
        <w:rPr>
          <w:sz w:val="20"/>
          <w:szCs w:val="20"/>
        </w:rPr>
        <w:t>irph</w:t>
      </w:r>
      <w:proofErr w:type="spellEnd"/>
      <w:r w:rsidRPr="001B2902">
        <w:rPr>
          <w:sz w:val="20"/>
          <w:szCs w:val="20"/>
        </w:rPr>
        <w:t xml:space="preserve"> a la luz de sus antecedentes y de la doctrina consolidada del tribunal de justicia de la </w:t>
      </w:r>
      <w:proofErr w:type="spellStart"/>
      <w:r w:rsidRPr="001B2902">
        <w:rPr>
          <w:sz w:val="20"/>
          <w:szCs w:val="20"/>
        </w:rPr>
        <w:t>union</w:t>
      </w:r>
      <w:proofErr w:type="spellEnd"/>
      <w:r w:rsidRPr="001B2902">
        <w:rPr>
          <w:sz w:val="20"/>
          <w:szCs w:val="20"/>
        </w:rPr>
        <w:t xml:space="preserve"> europea”: </w:t>
      </w:r>
      <w:r w:rsidRPr="001B2902">
        <w:rPr>
          <w:i/>
          <w:iCs/>
          <w:sz w:val="20"/>
          <w:szCs w:val="20"/>
        </w:rPr>
        <w:t>Revista Boliviana de Derecho</w:t>
      </w:r>
      <w:r w:rsidRPr="001B2902">
        <w:rPr>
          <w:sz w:val="20"/>
          <w:szCs w:val="20"/>
        </w:rPr>
        <w:t xml:space="preserve">, Nº. 31, 2021, págs. 504-549. </w:t>
      </w:r>
    </w:p>
    <w:p w14:paraId="0425FFF4" w14:textId="77777777" w:rsidR="00C67C8B" w:rsidRPr="001B2902" w:rsidRDefault="00C67C8B" w:rsidP="00C67C8B">
      <w:pPr>
        <w:pStyle w:val="Prrafodelista"/>
        <w:ind w:left="360"/>
        <w:jc w:val="both"/>
        <w:rPr>
          <w:sz w:val="20"/>
          <w:szCs w:val="20"/>
        </w:rPr>
      </w:pPr>
    </w:p>
    <w:p w14:paraId="40D8EEE9" w14:textId="77777777" w:rsidR="00C67C8B" w:rsidRPr="001B2902" w:rsidRDefault="00C67C8B" w:rsidP="00C67C8B">
      <w:pPr>
        <w:pStyle w:val="Prrafodelista"/>
        <w:numPr>
          <w:ilvl w:val="0"/>
          <w:numId w:val="7"/>
        </w:numPr>
        <w:spacing w:after="160" w:line="259" w:lineRule="auto"/>
        <w:ind w:left="360"/>
        <w:jc w:val="both"/>
        <w:rPr>
          <w:sz w:val="20"/>
          <w:szCs w:val="20"/>
        </w:rPr>
      </w:pPr>
      <w:r w:rsidRPr="00C67C8B">
        <w:rPr>
          <w:caps/>
          <w:sz w:val="20"/>
          <w:szCs w:val="20"/>
        </w:rPr>
        <w:t>Conrads Araya</w:t>
      </w:r>
      <w:r w:rsidRPr="001B2902">
        <w:rPr>
          <w:sz w:val="20"/>
          <w:szCs w:val="20"/>
        </w:rPr>
        <w:t xml:space="preserve">, Karl; </w:t>
      </w:r>
      <w:r w:rsidRPr="00C67C8B">
        <w:rPr>
          <w:caps/>
          <w:sz w:val="20"/>
          <w:szCs w:val="20"/>
        </w:rPr>
        <w:t>Berner Zúñiga</w:t>
      </w:r>
      <w:r w:rsidRPr="001B2902">
        <w:rPr>
          <w:sz w:val="20"/>
          <w:szCs w:val="20"/>
        </w:rPr>
        <w:t xml:space="preserve">, Carlos. “Una mirada contemporánea a la revisión del contrato de suministro eléctrico ante eventos imprevistos”: </w:t>
      </w:r>
      <w:r w:rsidRPr="001B2902">
        <w:rPr>
          <w:i/>
          <w:iCs/>
          <w:sz w:val="20"/>
          <w:szCs w:val="20"/>
        </w:rPr>
        <w:t>Revista chilena de derecho privado</w:t>
      </w:r>
      <w:r w:rsidRPr="001B2902">
        <w:rPr>
          <w:sz w:val="20"/>
          <w:szCs w:val="20"/>
        </w:rPr>
        <w:t>, Nº. 34 (Julio), 2020, págs. 9-56.</w:t>
      </w:r>
    </w:p>
    <w:p w14:paraId="5D522E1E" w14:textId="77777777" w:rsidR="00C67C8B" w:rsidRPr="001B2902" w:rsidRDefault="00C67C8B" w:rsidP="00C67C8B">
      <w:pPr>
        <w:pStyle w:val="Prrafodelista"/>
        <w:ind w:left="360"/>
        <w:jc w:val="both"/>
        <w:rPr>
          <w:sz w:val="20"/>
          <w:szCs w:val="20"/>
        </w:rPr>
      </w:pPr>
    </w:p>
    <w:p w14:paraId="34C02E0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CRESPO MORA, Mª Carmen.  “La protección del consumidor de servicios jurídicos”: </w:t>
      </w:r>
      <w:r w:rsidRPr="001B2902">
        <w:rPr>
          <w:i/>
          <w:iCs/>
          <w:sz w:val="20"/>
          <w:szCs w:val="20"/>
        </w:rPr>
        <w:t>Revista de Derecho Civil</w:t>
      </w:r>
      <w:r w:rsidRPr="001B2902">
        <w:rPr>
          <w:sz w:val="20"/>
          <w:szCs w:val="20"/>
        </w:rPr>
        <w:t xml:space="preserve">, Vol. 8, Nº. 1 (enero-marzo), 2021, págs. 93-145. </w:t>
      </w:r>
    </w:p>
    <w:p w14:paraId="4BB3C446" w14:textId="77777777" w:rsidR="00C67C8B" w:rsidRPr="001B2902" w:rsidRDefault="00C67C8B" w:rsidP="00C67C8B">
      <w:pPr>
        <w:pStyle w:val="Prrafodelista"/>
        <w:ind w:left="360"/>
        <w:jc w:val="both"/>
        <w:rPr>
          <w:sz w:val="20"/>
          <w:szCs w:val="20"/>
        </w:rPr>
      </w:pPr>
    </w:p>
    <w:p w14:paraId="4A7D8E91"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del Saz Domínguez</w:t>
      </w:r>
      <w:r w:rsidRPr="001B2902">
        <w:rPr>
          <w:sz w:val="20"/>
          <w:szCs w:val="20"/>
        </w:rPr>
        <w:t xml:space="preserve">, Lucía. “¿El Real Decreto-ley 37/2020 impide los desahucios durante el estado de alarma?”: </w:t>
      </w:r>
      <w:r w:rsidRPr="001B2902">
        <w:rPr>
          <w:i/>
          <w:iCs/>
          <w:sz w:val="20"/>
          <w:szCs w:val="20"/>
        </w:rPr>
        <w:t>Revista CESCO de Derecho de Consumo</w:t>
      </w:r>
      <w:r w:rsidRPr="001B2902">
        <w:rPr>
          <w:sz w:val="20"/>
          <w:szCs w:val="20"/>
        </w:rPr>
        <w:t xml:space="preserve">, Nº 37, 2021, págs. 1-11. </w:t>
      </w:r>
    </w:p>
    <w:p w14:paraId="4DD3220C" w14:textId="77777777" w:rsidR="00C67C8B" w:rsidRPr="001B2902" w:rsidRDefault="00C67C8B" w:rsidP="00C67C8B">
      <w:pPr>
        <w:pStyle w:val="Prrafodelista"/>
        <w:ind w:left="360"/>
        <w:jc w:val="both"/>
        <w:rPr>
          <w:sz w:val="20"/>
          <w:szCs w:val="20"/>
        </w:rPr>
      </w:pPr>
    </w:p>
    <w:p w14:paraId="37CE0A3D"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Delagrange</w:t>
      </w:r>
      <w:r w:rsidRPr="001B2902">
        <w:rPr>
          <w:sz w:val="20"/>
          <w:szCs w:val="20"/>
        </w:rPr>
        <w:t xml:space="preserve">, Olivia; </w:t>
      </w:r>
      <w:r w:rsidRPr="001B2902">
        <w:rPr>
          <w:caps/>
          <w:sz w:val="20"/>
          <w:szCs w:val="20"/>
        </w:rPr>
        <w:t>Montero García-Noblejas</w:t>
      </w:r>
      <w:r w:rsidRPr="001B2902">
        <w:rPr>
          <w:sz w:val="20"/>
          <w:szCs w:val="20"/>
        </w:rPr>
        <w:t xml:space="preserve">, Javier. “El efecto Covid-19 en los contratos de seguro”: </w:t>
      </w:r>
      <w:r w:rsidRPr="001B2902">
        <w:rPr>
          <w:i/>
          <w:iCs/>
          <w:sz w:val="20"/>
          <w:szCs w:val="20"/>
        </w:rPr>
        <w:t>Diario La Ley</w:t>
      </w:r>
      <w:r w:rsidRPr="001B2902">
        <w:rPr>
          <w:sz w:val="20"/>
          <w:szCs w:val="20"/>
        </w:rPr>
        <w:t xml:space="preserve">, Nº 9753, 2020. </w:t>
      </w:r>
    </w:p>
    <w:p w14:paraId="766BA4DE" w14:textId="77777777" w:rsidR="00C67C8B" w:rsidRPr="001B2902" w:rsidRDefault="00C67C8B" w:rsidP="00C67C8B">
      <w:pPr>
        <w:pStyle w:val="Prrafodelista"/>
        <w:ind w:left="360"/>
        <w:jc w:val="both"/>
        <w:rPr>
          <w:sz w:val="20"/>
          <w:szCs w:val="20"/>
        </w:rPr>
      </w:pPr>
    </w:p>
    <w:p w14:paraId="1AA0C945"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Díaz de Valdés Haase</w:t>
      </w:r>
      <w:r w:rsidRPr="001B2902">
        <w:rPr>
          <w:sz w:val="20"/>
          <w:szCs w:val="20"/>
        </w:rPr>
        <w:t xml:space="preserve">, Macarena. “Nulidad de cláusulas abusivas en reservas, promesas de compraventa y compraventas suscritas por consumidores de viviendas comercializadas en verde”: </w:t>
      </w:r>
      <w:r w:rsidRPr="001B2902">
        <w:rPr>
          <w:i/>
          <w:iCs/>
          <w:sz w:val="20"/>
          <w:szCs w:val="20"/>
        </w:rPr>
        <w:t>Revista chilena de derecho privado</w:t>
      </w:r>
      <w:r w:rsidRPr="001B2902">
        <w:rPr>
          <w:sz w:val="20"/>
          <w:szCs w:val="20"/>
        </w:rPr>
        <w:t>, Nº. 35 (Diciembre), 2020, págs. 273-285.</w:t>
      </w:r>
    </w:p>
    <w:p w14:paraId="25560FD8" w14:textId="77777777" w:rsidR="00C67C8B" w:rsidRPr="001B2902" w:rsidRDefault="00C67C8B" w:rsidP="00C67C8B">
      <w:pPr>
        <w:pStyle w:val="Prrafodelista"/>
        <w:ind w:left="360"/>
        <w:jc w:val="both"/>
        <w:rPr>
          <w:sz w:val="20"/>
          <w:szCs w:val="20"/>
        </w:rPr>
      </w:pPr>
    </w:p>
    <w:p w14:paraId="71AA98A6"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DOMINGO MONFORTE, José. “Producto defectuoso. Responsabilidad del distribuidor. Productor aparente o por confusión o abuso de la personalidad jurídica”: </w:t>
      </w:r>
      <w:r w:rsidRPr="001B2902">
        <w:rPr>
          <w:i/>
          <w:iCs/>
          <w:sz w:val="20"/>
          <w:szCs w:val="20"/>
        </w:rPr>
        <w:t>Diario La Ley</w:t>
      </w:r>
      <w:r w:rsidRPr="001B2902">
        <w:rPr>
          <w:sz w:val="20"/>
          <w:szCs w:val="20"/>
        </w:rPr>
        <w:t xml:space="preserve">, Nº 9792, 2021. </w:t>
      </w:r>
    </w:p>
    <w:p w14:paraId="38AF0793" w14:textId="77777777" w:rsidR="00C67C8B" w:rsidRPr="001B2902" w:rsidRDefault="00C67C8B" w:rsidP="00C67C8B">
      <w:pPr>
        <w:pStyle w:val="Prrafodelista"/>
        <w:ind w:left="360"/>
        <w:jc w:val="both"/>
        <w:rPr>
          <w:sz w:val="20"/>
          <w:szCs w:val="20"/>
        </w:rPr>
      </w:pPr>
    </w:p>
    <w:p w14:paraId="2DC26234"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ESCUDERO MORATALLA, José Francisco; FERRER ADROHER, </w:t>
      </w:r>
      <w:proofErr w:type="spellStart"/>
      <w:r w:rsidRPr="001B2902">
        <w:rPr>
          <w:sz w:val="20"/>
          <w:szCs w:val="20"/>
        </w:rPr>
        <w:t>Mercè</w:t>
      </w:r>
      <w:proofErr w:type="spellEnd"/>
      <w:r w:rsidRPr="001B2902">
        <w:rPr>
          <w:sz w:val="20"/>
          <w:szCs w:val="20"/>
        </w:rPr>
        <w:t xml:space="preserve">. “Negociación, solución de conflictos: conciliación, mediación…”: </w:t>
      </w:r>
      <w:r w:rsidRPr="001B2902">
        <w:rPr>
          <w:i/>
          <w:iCs/>
          <w:sz w:val="20"/>
          <w:szCs w:val="20"/>
        </w:rPr>
        <w:t>Diario La Ley</w:t>
      </w:r>
      <w:r w:rsidRPr="001B2902">
        <w:rPr>
          <w:sz w:val="20"/>
          <w:szCs w:val="20"/>
        </w:rPr>
        <w:t xml:space="preserve">, Nº 9794, 2021. </w:t>
      </w:r>
    </w:p>
    <w:p w14:paraId="153E2987" w14:textId="77777777" w:rsidR="00C67C8B" w:rsidRPr="001B2902" w:rsidRDefault="00C67C8B" w:rsidP="00C67C8B">
      <w:pPr>
        <w:pStyle w:val="Prrafodelista"/>
        <w:ind w:left="360"/>
        <w:jc w:val="both"/>
        <w:rPr>
          <w:sz w:val="20"/>
          <w:szCs w:val="20"/>
        </w:rPr>
      </w:pPr>
    </w:p>
    <w:p w14:paraId="0CCBE235"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Espín Alba</w:t>
      </w:r>
      <w:r w:rsidRPr="001B2902">
        <w:rPr>
          <w:sz w:val="20"/>
          <w:szCs w:val="20"/>
        </w:rPr>
        <w:t>, Isabel. “Contrato de suministro de contenidos y servicios digitales en la Directiva 2019/770/UE. Datos, consumidores y "</w:t>
      </w:r>
      <w:proofErr w:type="spellStart"/>
      <w:r w:rsidRPr="001B2902">
        <w:rPr>
          <w:sz w:val="20"/>
          <w:szCs w:val="20"/>
        </w:rPr>
        <w:t>prosumidores</w:t>
      </w:r>
      <w:proofErr w:type="spellEnd"/>
      <w:r w:rsidRPr="001B2902">
        <w:rPr>
          <w:sz w:val="20"/>
          <w:szCs w:val="20"/>
        </w:rPr>
        <w:t xml:space="preserve">" en el Mercado Único Digital”: </w:t>
      </w:r>
      <w:r w:rsidRPr="001B2902">
        <w:rPr>
          <w:i/>
          <w:iCs/>
          <w:sz w:val="20"/>
          <w:szCs w:val="20"/>
        </w:rPr>
        <w:t>Revista de derecho privado</w:t>
      </w:r>
      <w:r w:rsidRPr="001B2902">
        <w:rPr>
          <w:sz w:val="20"/>
          <w:szCs w:val="20"/>
        </w:rPr>
        <w:t xml:space="preserve">, Año nº 104, Mes 6, 2020, págs. 3-38. </w:t>
      </w:r>
    </w:p>
    <w:p w14:paraId="04B1CDA5" w14:textId="77777777" w:rsidR="00C67C8B" w:rsidRPr="001B2902" w:rsidRDefault="00C67C8B" w:rsidP="00C67C8B">
      <w:pPr>
        <w:pStyle w:val="Prrafodelista"/>
        <w:ind w:left="360"/>
        <w:jc w:val="both"/>
        <w:rPr>
          <w:sz w:val="20"/>
          <w:szCs w:val="20"/>
        </w:rPr>
      </w:pPr>
    </w:p>
    <w:p w14:paraId="342AE3D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Fajardo Martos</w:t>
      </w:r>
      <w:r w:rsidRPr="001B2902">
        <w:rPr>
          <w:sz w:val="20"/>
          <w:szCs w:val="20"/>
        </w:rPr>
        <w:t xml:space="preserve">, Paulino. “Los retos de la COVID-19 para el derecho de los negocios”: </w:t>
      </w:r>
      <w:proofErr w:type="spellStart"/>
      <w:r w:rsidRPr="001B2902">
        <w:rPr>
          <w:i/>
          <w:iCs/>
          <w:sz w:val="20"/>
          <w:szCs w:val="20"/>
        </w:rPr>
        <w:t>Icade</w:t>
      </w:r>
      <w:proofErr w:type="spellEnd"/>
      <w:r w:rsidRPr="001B2902">
        <w:rPr>
          <w:i/>
          <w:iCs/>
          <w:sz w:val="20"/>
          <w:szCs w:val="20"/>
        </w:rPr>
        <w:t>: Revista de la Facultad de Derecho</w:t>
      </w:r>
      <w:r w:rsidRPr="001B2902">
        <w:rPr>
          <w:sz w:val="20"/>
          <w:szCs w:val="20"/>
        </w:rPr>
        <w:t xml:space="preserve">, Nº 110, 2020 (Ejemplar dedicado a: Los retos de la COVID-19 para el derecho de los negocios). </w:t>
      </w:r>
    </w:p>
    <w:p w14:paraId="6C74ACF0" w14:textId="77777777" w:rsidR="00C67C8B" w:rsidRPr="001B2902" w:rsidRDefault="00C67C8B" w:rsidP="00C67C8B">
      <w:pPr>
        <w:pStyle w:val="Prrafodelista"/>
        <w:ind w:left="360"/>
        <w:jc w:val="both"/>
        <w:rPr>
          <w:sz w:val="20"/>
          <w:szCs w:val="20"/>
        </w:rPr>
      </w:pPr>
    </w:p>
    <w:p w14:paraId="531B659A"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Fernández-Reyes</w:t>
      </w:r>
      <w:r w:rsidRPr="001B2902">
        <w:rPr>
          <w:sz w:val="20"/>
          <w:szCs w:val="20"/>
        </w:rPr>
        <w:t xml:space="preserve">, </w:t>
      </w:r>
      <w:proofErr w:type="spellStart"/>
      <w:r w:rsidRPr="001B2902">
        <w:rPr>
          <w:sz w:val="20"/>
          <w:szCs w:val="20"/>
        </w:rPr>
        <w:t>Angel</w:t>
      </w:r>
      <w:proofErr w:type="spellEnd"/>
      <w:r w:rsidRPr="001B2902">
        <w:rPr>
          <w:sz w:val="20"/>
          <w:szCs w:val="20"/>
        </w:rPr>
        <w:t xml:space="preserve"> Valero. “Los problemas registrales derivados de la aplicación práctica de la STS de 11 de septiembre de 2019 sobre el vencimiento anticipado”: </w:t>
      </w:r>
      <w:r w:rsidRPr="001B2902">
        <w:rPr>
          <w:i/>
          <w:iCs/>
          <w:sz w:val="20"/>
          <w:szCs w:val="20"/>
        </w:rPr>
        <w:t>Derecho privado y Constitución</w:t>
      </w:r>
      <w:r w:rsidRPr="001B2902">
        <w:rPr>
          <w:sz w:val="20"/>
          <w:szCs w:val="20"/>
        </w:rPr>
        <w:t xml:space="preserve">, Nº 37, 2020. </w:t>
      </w:r>
    </w:p>
    <w:p w14:paraId="5D15ACDF" w14:textId="77777777" w:rsidR="00C67C8B" w:rsidRPr="001B2902" w:rsidRDefault="00C67C8B" w:rsidP="00C67C8B">
      <w:pPr>
        <w:pStyle w:val="Prrafodelista"/>
        <w:ind w:left="360"/>
        <w:jc w:val="both"/>
        <w:rPr>
          <w:sz w:val="20"/>
          <w:szCs w:val="20"/>
        </w:rPr>
      </w:pPr>
    </w:p>
    <w:p w14:paraId="2395BE61"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FERNÁNDEZ-SANCHO TAHOCES, Ana Suyapa. “La nueva oportunidad de la hipoteca inversa”: </w:t>
      </w:r>
      <w:r w:rsidRPr="001B2902">
        <w:rPr>
          <w:i/>
          <w:iCs/>
          <w:sz w:val="20"/>
          <w:szCs w:val="20"/>
        </w:rPr>
        <w:t>Revista Boliviana de Derecho</w:t>
      </w:r>
      <w:r w:rsidRPr="001B2902">
        <w:rPr>
          <w:sz w:val="20"/>
          <w:szCs w:val="20"/>
        </w:rPr>
        <w:t xml:space="preserve">, Nº. 31, 2021, págs. 160-207. </w:t>
      </w:r>
    </w:p>
    <w:p w14:paraId="42B56123" w14:textId="77777777" w:rsidR="00C67C8B" w:rsidRPr="001B2902" w:rsidRDefault="00C67C8B" w:rsidP="00C67C8B">
      <w:pPr>
        <w:pStyle w:val="Prrafodelista"/>
        <w:ind w:left="360"/>
        <w:jc w:val="both"/>
        <w:rPr>
          <w:sz w:val="20"/>
          <w:szCs w:val="20"/>
        </w:rPr>
      </w:pPr>
    </w:p>
    <w:p w14:paraId="435C43A5"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Fetsyak</w:t>
      </w:r>
      <w:r w:rsidRPr="001B2902">
        <w:rPr>
          <w:sz w:val="20"/>
          <w:szCs w:val="20"/>
        </w:rPr>
        <w:t xml:space="preserve">, </w:t>
      </w:r>
      <w:proofErr w:type="spellStart"/>
      <w:r w:rsidRPr="001B2902">
        <w:rPr>
          <w:sz w:val="20"/>
          <w:szCs w:val="20"/>
        </w:rPr>
        <w:t>Ihor</w:t>
      </w:r>
      <w:proofErr w:type="spellEnd"/>
      <w:r w:rsidRPr="001B2902">
        <w:rPr>
          <w:sz w:val="20"/>
          <w:szCs w:val="20"/>
        </w:rPr>
        <w:t xml:space="preserve">. “Contratos inteligentes: análisis jurídico desde el marco legal español”: </w:t>
      </w:r>
      <w:r w:rsidRPr="001B2902">
        <w:rPr>
          <w:i/>
          <w:iCs/>
          <w:sz w:val="20"/>
          <w:szCs w:val="20"/>
        </w:rPr>
        <w:t>Revista electrónica del Departamento de Derecho de la Universidad de La Rioja, REDUR</w:t>
      </w:r>
      <w:r w:rsidRPr="001B2902">
        <w:rPr>
          <w:sz w:val="20"/>
          <w:szCs w:val="20"/>
        </w:rPr>
        <w:t xml:space="preserve">, Nº. 18, 2020, págs. 197-236. </w:t>
      </w:r>
    </w:p>
    <w:p w14:paraId="459BF92B" w14:textId="77777777" w:rsidR="00C67C8B" w:rsidRPr="001B2902" w:rsidRDefault="00C67C8B" w:rsidP="00C67C8B">
      <w:pPr>
        <w:pStyle w:val="Prrafodelista"/>
        <w:ind w:left="360"/>
        <w:jc w:val="both"/>
        <w:rPr>
          <w:sz w:val="20"/>
          <w:szCs w:val="20"/>
        </w:rPr>
      </w:pPr>
    </w:p>
    <w:p w14:paraId="0BB2B380"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Galván</w:t>
      </w:r>
      <w:r w:rsidRPr="001B2902">
        <w:rPr>
          <w:sz w:val="20"/>
          <w:szCs w:val="20"/>
        </w:rPr>
        <w:t xml:space="preserve">, Ezequiel Rodrigo. “El crédito y la financiación para consumo en el derecho argentino: situación de los consumidores y perspectivas ante el actual proceso de codificación” </w:t>
      </w:r>
      <w:r w:rsidRPr="001B2902">
        <w:rPr>
          <w:i/>
          <w:iCs/>
          <w:sz w:val="20"/>
          <w:szCs w:val="20"/>
        </w:rPr>
        <w:t>Revista de la Facultad de Derecho de México</w:t>
      </w:r>
      <w:r w:rsidRPr="001B2902">
        <w:rPr>
          <w:sz w:val="20"/>
          <w:szCs w:val="20"/>
        </w:rPr>
        <w:t xml:space="preserve">, Vol. 71, Nº. 279, 2, 2021 (Ejemplar dedicado a: Revista de la Facultad de Derecho de México), págs. 441-462. </w:t>
      </w:r>
    </w:p>
    <w:p w14:paraId="619CF6E9" w14:textId="77777777" w:rsidR="00C67C8B" w:rsidRPr="001B2902" w:rsidRDefault="00C67C8B" w:rsidP="00C67C8B">
      <w:pPr>
        <w:pStyle w:val="Prrafodelista"/>
        <w:ind w:left="360"/>
        <w:jc w:val="both"/>
        <w:rPr>
          <w:sz w:val="20"/>
          <w:szCs w:val="20"/>
        </w:rPr>
      </w:pPr>
    </w:p>
    <w:p w14:paraId="5DB93870"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García-Chamón Cervera</w:t>
      </w:r>
      <w:r w:rsidRPr="001B2902">
        <w:rPr>
          <w:sz w:val="20"/>
          <w:szCs w:val="20"/>
        </w:rPr>
        <w:t xml:space="preserve">, Enrique. “El </w:t>
      </w:r>
      <w:proofErr w:type="spellStart"/>
      <w:r w:rsidRPr="001B2902">
        <w:rPr>
          <w:sz w:val="20"/>
          <w:szCs w:val="20"/>
        </w:rPr>
        <w:t>dies</w:t>
      </w:r>
      <w:proofErr w:type="spellEnd"/>
      <w:r w:rsidRPr="001B2902">
        <w:rPr>
          <w:sz w:val="20"/>
          <w:szCs w:val="20"/>
        </w:rPr>
        <w:t xml:space="preserve"> a quo del plazo de prescripción de la acción de restitución de los gastos indebidamente abonados por el prestatario-consumidor”: </w:t>
      </w:r>
      <w:r w:rsidRPr="001B2902">
        <w:rPr>
          <w:i/>
          <w:iCs/>
          <w:sz w:val="20"/>
          <w:szCs w:val="20"/>
        </w:rPr>
        <w:t>Práctica de tribunales: revista de derecho procesal civil y mercantil</w:t>
      </w:r>
      <w:r w:rsidRPr="001B2902">
        <w:rPr>
          <w:sz w:val="20"/>
          <w:szCs w:val="20"/>
        </w:rPr>
        <w:t>, Nº. 146, 2020, 5 págs.</w:t>
      </w:r>
    </w:p>
    <w:p w14:paraId="25B6FAD4" w14:textId="77777777" w:rsidR="00C67C8B" w:rsidRPr="001B2902" w:rsidRDefault="00C67C8B" w:rsidP="00C67C8B">
      <w:pPr>
        <w:pStyle w:val="Prrafodelista"/>
        <w:ind w:left="360"/>
        <w:jc w:val="both"/>
        <w:rPr>
          <w:sz w:val="20"/>
          <w:szCs w:val="20"/>
        </w:rPr>
      </w:pPr>
    </w:p>
    <w:p w14:paraId="77C15E32"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GÓMEZ ASENSIO, Carlos. “La Directiva (UE) 2019/1023 sobre marcos de reestructuración preventiva y su futura transposición al ordenamiento jurídico español”: </w:t>
      </w:r>
      <w:r w:rsidRPr="001B2902">
        <w:rPr>
          <w:i/>
          <w:iCs/>
          <w:sz w:val="20"/>
          <w:szCs w:val="20"/>
        </w:rPr>
        <w:t>Actualidad jurídica iberoamericana</w:t>
      </w:r>
      <w:r w:rsidRPr="001B2902">
        <w:rPr>
          <w:sz w:val="20"/>
          <w:szCs w:val="20"/>
        </w:rPr>
        <w:t>, Nº. 12, 2020, págs. 472-511.</w:t>
      </w:r>
    </w:p>
    <w:p w14:paraId="5047936F" w14:textId="77777777" w:rsidR="00C67C8B" w:rsidRPr="001B2902" w:rsidRDefault="00C67C8B" w:rsidP="00C67C8B">
      <w:pPr>
        <w:pStyle w:val="Prrafodelista"/>
        <w:ind w:left="360"/>
        <w:jc w:val="both"/>
        <w:rPr>
          <w:sz w:val="20"/>
          <w:szCs w:val="20"/>
        </w:rPr>
      </w:pPr>
    </w:p>
    <w:p w14:paraId="64EFD91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González Vaqué</w:t>
      </w:r>
      <w:r w:rsidRPr="001B2902">
        <w:rPr>
          <w:sz w:val="20"/>
          <w:szCs w:val="20"/>
        </w:rPr>
        <w:t xml:space="preserve">, Luis. “La normativa de la UE que prohíbe discriminar a los clientes que compran en línea: ¿cómo funciona el comercio electrónico transfronterizo?”: </w:t>
      </w:r>
      <w:r w:rsidRPr="001B2902">
        <w:rPr>
          <w:i/>
          <w:iCs/>
          <w:sz w:val="20"/>
          <w:szCs w:val="20"/>
        </w:rPr>
        <w:t>Revista CESCO de Derecho de Consumo</w:t>
      </w:r>
      <w:r w:rsidRPr="001B2902">
        <w:rPr>
          <w:sz w:val="20"/>
          <w:szCs w:val="20"/>
        </w:rPr>
        <w:t>, Nº 37, 2021, págs. 51-64.</w:t>
      </w:r>
    </w:p>
    <w:p w14:paraId="60696542" w14:textId="77777777" w:rsidR="00C67C8B" w:rsidRPr="001B2902" w:rsidRDefault="00C67C8B" w:rsidP="00C67C8B">
      <w:pPr>
        <w:pStyle w:val="Prrafodelista"/>
        <w:ind w:left="360"/>
        <w:jc w:val="both"/>
        <w:rPr>
          <w:sz w:val="20"/>
          <w:szCs w:val="20"/>
        </w:rPr>
      </w:pPr>
    </w:p>
    <w:p w14:paraId="465E7D80"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González-Meneses García-Valdecasas</w:t>
      </w:r>
      <w:r w:rsidRPr="001B2902">
        <w:rPr>
          <w:sz w:val="20"/>
          <w:szCs w:val="20"/>
        </w:rPr>
        <w:t xml:space="preserve">, Manuel. “El lado oscuro de las redes sociales”: </w:t>
      </w:r>
      <w:r w:rsidRPr="001B2902">
        <w:rPr>
          <w:i/>
          <w:iCs/>
          <w:sz w:val="20"/>
          <w:szCs w:val="20"/>
        </w:rPr>
        <w:t>El notario del siglo XXI: revista del Colegio Notarial de Madrid</w:t>
      </w:r>
      <w:r w:rsidRPr="001B2902">
        <w:rPr>
          <w:sz w:val="20"/>
          <w:szCs w:val="20"/>
        </w:rPr>
        <w:t xml:space="preserve">, Nº. 95, 2021, págs. 78-83. </w:t>
      </w:r>
    </w:p>
    <w:p w14:paraId="32018040" w14:textId="77777777" w:rsidR="00C67C8B" w:rsidRPr="001B2902" w:rsidRDefault="00C67C8B" w:rsidP="00C67C8B">
      <w:pPr>
        <w:pStyle w:val="Prrafodelista"/>
        <w:ind w:left="360"/>
        <w:jc w:val="both"/>
        <w:rPr>
          <w:sz w:val="20"/>
          <w:szCs w:val="20"/>
        </w:rPr>
      </w:pPr>
    </w:p>
    <w:p w14:paraId="7EA1EE8A"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GUNNAR HORRACH ARMO, Josep. “La determinación de la ley aplicable a la responsabilidad de las plataformas de alojamiento vacacional atendiendo al principio del país de origen y a la libre prestación de servicios”: </w:t>
      </w:r>
      <w:r w:rsidRPr="001B2902">
        <w:rPr>
          <w:i/>
          <w:iCs/>
          <w:sz w:val="20"/>
          <w:szCs w:val="20"/>
        </w:rPr>
        <w:t xml:space="preserve">Bitácora Millennium </w:t>
      </w:r>
      <w:proofErr w:type="spellStart"/>
      <w:r w:rsidRPr="001B2902">
        <w:rPr>
          <w:i/>
          <w:iCs/>
          <w:sz w:val="20"/>
          <w:szCs w:val="20"/>
        </w:rPr>
        <w:t>DIPr</w:t>
      </w:r>
      <w:proofErr w:type="spellEnd"/>
      <w:r w:rsidRPr="001B2902">
        <w:rPr>
          <w:i/>
          <w:iCs/>
          <w:sz w:val="20"/>
          <w:szCs w:val="20"/>
        </w:rPr>
        <w:t>: Derecho Internacional Privado</w:t>
      </w:r>
      <w:r w:rsidRPr="001B2902">
        <w:rPr>
          <w:sz w:val="20"/>
          <w:szCs w:val="20"/>
        </w:rPr>
        <w:t xml:space="preserve">, Nº. 13, 2021. </w:t>
      </w:r>
    </w:p>
    <w:p w14:paraId="2549156D" w14:textId="77777777" w:rsidR="00C67C8B" w:rsidRPr="001B2902" w:rsidRDefault="00C67C8B" w:rsidP="00C67C8B">
      <w:pPr>
        <w:pStyle w:val="Prrafodelista"/>
        <w:ind w:left="360"/>
        <w:jc w:val="both"/>
        <w:rPr>
          <w:sz w:val="20"/>
          <w:szCs w:val="20"/>
        </w:rPr>
      </w:pPr>
    </w:p>
    <w:p w14:paraId="7FC7C2A5"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Herbosa Martínez</w:t>
      </w:r>
      <w:r w:rsidRPr="001B2902">
        <w:rPr>
          <w:sz w:val="20"/>
          <w:szCs w:val="20"/>
        </w:rPr>
        <w:t xml:space="preserve">, Inmaculada. “La buena fe como criterio de integración y de corrección del contenido del contrato: protección de las expectativas legítimas en los contratos celebrados mediante condiciones generales”: </w:t>
      </w:r>
      <w:r w:rsidRPr="001B2902">
        <w:rPr>
          <w:i/>
          <w:iCs/>
          <w:sz w:val="20"/>
          <w:szCs w:val="20"/>
        </w:rPr>
        <w:t>Revista Crítica de Derecho Inmobiliario</w:t>
      </w:r>
      <w:r w:rsidRPr="001B2902">
        <w:rPr>
          <w:sz w:val="20"/>
          <w:szCs w:val="20"/>
        </w:rPr>
        <w:t>, Año nº 96, Nº 782, 2020, págs. 3303-3357.</w:t>
      </w:r>
    </w:p>
    <w:p w14:paraId="2D834228" w14:textId="77777777" w:rsidR="00C67C8B" w:rsidRPr="001B2902" w:rsidRDefault="00C67C8B" w:rsidP="00C67C8B">
      <w:pPr>
        <w:pStyle w:val="Prrafodelista"/>
        <w:ind w:left="360"/>
        <w:jc w:val="both"/>
        <w:rPr>
          <w:sz w:val="20"/>
          <w:szCs w:val="20"/>
        </w:rPr>
      </w:pPr>
    </w:p>
    <w:p w14:paraId="1F8DC915"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Herrero Urtueta</w:t>
      </w:r>
      <w:r w:rsidRPr="001B2902">
        <w:rPr>
          <w:sz w:val="20"/>
          <w:szCs w:val="20"/>
        </w:rPr>
        <w:t xml:space="preserve">, Eduardo. “La imprevisibilidad en la </w:t>
      </w:r>
      <w:proofErr w:type="spellStart"/>
      <w:r w:rsidRPr="001B2902">
        <w:rPr>
          <w:sz w:val="20"/>
          <w:szCs w:val="20"/>
        </w:rPr>
        <w:t>rebus</w:t>
      </w:r>
      <w:proofErr w:type="spellEnd"/>
      <w:r w:rsidRPr="001B2902">
        <w:rPr>
          <w:sz w:val="20"/>
          <w:szCs w:val="20"/>
        </w:rPr>
        <w:t xml:space="preserve"> sic </w:t>
      </w:r>
      <w:proofErr w:type="spellStart"/>
      <w:r w:rsidRPr="001B2902">
        <w:rPr>
          <w:sz w:val="20"/>
          <w:szCs w:val="20"/>
        </w:rPr>
        <w:t>stantibus</w:t>
      </w:r>
      <w:proofErr w:type="spellEnd"/>
      <w:r w:rsidRPr="001B2902">
        <w:rPr>
          <w:sz w:val="20"/>
          <w:szCs w:val="20"/>
        </w:rPr>
        <w:t xml:space="preserve"> a propósito de la Sentencia de la Audiencia Provincial de Barcelona 178/2020 de 22 de mayo”: </w:t>
      </w:r>
      <w:r w:rsidRPr="001B2902">
        <w:rPr>
          <w:i/>
          <w:iCs/>
          <w:sz w:val="20"/>
          <w:szCs w:val="20"/>
        </w:rPr>
        <w:t>Diario La Ley</w:t>
      </w:r>
      <w:r w:rsidRPr="001B2902">
        <w:rPr>
          <w:sz w:val="20"/>
          <w:szCs w:val="20"/>
        </w:rPr>
        <w:t>, Nº 9781, 2021.</w:t>
      </w:r>
    </w:p>
    <w:p w14:paraId="1D67E839" w14:textId="77777777" w:rsidR="00C67C8B" w:rsidRPr="001B2902" w:rsidRDefault="00C67C8B" w:rsidP="00C67C8B">
      <w:pPr>
        <w:pStyle w:val="Prrafodelista"/>
        <w:ind w:left="360"/>
        <w:jc w:val="both"/>
        <w:rPr>
          <w:sz w:val="20"/>
          <w:szCs w:val="20"/>
        </w:rPr>
      </w:pPr>
    </w:p>
    <w:p w14:paraId="36449206"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INOSTROZA ADASME, Sonia. “Notas sobre obligaciones de medios y resultado a propósito de la responsabilidad médica en cirugías estéticas en Chile. Una visión doctrinaria y jurisprudencial desde una perspectiva del Derecho Civil y Derecho Penal”: </w:t>
      </w:r>
      <w:r w:rsidRPr="001B2902">
        <w:rPr>
          <w:i/>
          <w:iCs/>
          <w:sz w:val="20"/>
          <w:szCs w:val="20"/>
        </w:rPr>
        <w:t>Revista de la Facultad de Derecho de México</w:t>
      </w:r>
      <w:r w:rsidRPr="001B2902">
        <w:rPr>
          <w:sz w:val="20"/>
          <w:szCs w:val="20"/>
        </w:rPr>
        <w:t xml:space="preserve">, Vol. 71, Nº. 279, 2, 2021 (Ejemplar dedicado a: Revista de la Facultad de Derecho de México), págs. 715-736. </w:t>
      </w:r>
    </w:p>
    <w:p w14:paraId="7FA2B64F" w14:textId="77777777" w:rsidR="00C67C8B" w:rsidRPr="001B2902" w:rsidRDefault="00C67C8B" w:rsidP="00C67C8B">
      <w:pPr>
        <w:pStyle w:val="Prrafodelista"/>
        <w:ind w:left="360"/>
        <w:jc w:val="both"/>
        <w:rPr>
          <w:sz w:val="20"/>
          <w:szCs w:val="20"/>
        </w:rPr>
      </w:pPr>
    </w:p>
    <w:p w14:paraId="2038F581"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Jequier Lehuedé</w:t>
      </w:r>
      <w:r w:rsidRPr="001B2902">
        <w:rPr>
          <w:sz w:val="20"/>
          <w:szCs w:val="20"/>
        </w:rPr>
        <w:t xml:space="preserve">, Eduardo. “Sobre la </w:t>
      </w:r>
      <w:proofErr w:type="spellStart"/>
      <w:r w:rsidRPr="001B2902">
        <w:rPr>
          <w:sz w:val="20"/>
          <w:szCs w:val="20"/>
        </w:rPr>
        <w:t>arbitrabilidad</w:t>
      </w:r>
      <w:proofErr w:type="spellEnd"/>
      <w:r w:rsidRPr="001B2902">
        <w:rPr>
          <w:sz w:val="20"/>
          <w:szCs w:val="20"/>
        </w:rPr>
        <w:t xml:space="preserve"> del conflicto de consumo en Chile: Insumo básico para un replanteamiento estructural”: </w:t>
      </w:r>
      <w:r w:rsidRPr="001B2902">
        <w:rPr>
          <w:i/>
          <w:iCs/>
          <w:sz w:val="20"/>
          <w:szCs w:val="20"/>
        </w:rPr>
        <w:t>Revista chilena de derecho privado</w:t>
      </w:r>
      <w:r w:rsidRPr="001B2902">
        <w:rPr>
          <w:sz w:val="20"/>
          <w:szCs w:val="20"/>
        </w:rPr>
        <w:t>, Nº. 34 (Julio), 2020, págs. 57-92</w:t>
      </w:r>
      <w:r>
        <w:rPr>
          <w:sz w:val="20"/>
          <w:szCs w:val="20"/>
        </w:rPr>
        <w:t>.</w:t>
      </w:r>
    </w:p>
    <w:p w14:paraId="442F12A1" w14:textId="77777777" w:rsidR="00C67C8B" w:rsidRPr="001B2902" w:rsidRDefault="00C67C8B" w:rsidP="00C67C8B">
      <w:pPr>
        <w:pStyle w:val="Prrafodelista"/>
        <w:ind w:left="360"/>
        <w:jc w:val="both"/>
        <w:rPr>
          <w:sz w:val="20"/>
          <w:szCs w:val="20"/>
        </w:rPr>
      </w:pPr>
    </w:p>
    <w:p w14:paraId="5CEA903D"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lastRenderedPageBreak/>
        <w:t>Jiménez París</w:t>
      </w:r>
      <w:r w:rsidRPr="001B2902">
        <w:rPr>
          <w:sz w:val="20"/>
          <w:szCs w:val="20"/>
        </w:rPr>
        <w:t xml:space="preserve">, Teresa Asunción. “La suspensión del lanzamiento del deudor hipotecario: análisis de las reformas operadas por el Real Decreto Ley 6/2020, de 10 de marzo y de la reciente jurisprudencia de los Tribunales”: </w:t>
      </w:r>
      <w:r w:rsidRPr="001B2902">
        <w:rPr>
          <w:i/>
          <w:iCs/>
          <w:sz w:val="20"/>
          <w:szCs w:val="20"/>
        </w:rPr>
        <w:t>Revista Crítica de Derecho Inmobiliario</w:t>
      </w:r>
      <w:r w:rsidRPr="001B2902">
        <w:rPr>
          <w:sz w:val="20"/>
          <w:szCs w:val="20"/>
        </w:rPr>
        <w:t>, Año nº 96, Nº 782, 2020, págs. 3974-3992.</w:t>
      </w:r>
    </w:p>
    <w:p w14:paraId="2DAC67A0" w14:textId="77777777" w:rsidR="00C67C8B" w:rsidRPr="001B2902" w:rsidRDefault="00C67C8B" w:rsidP="00C67C8B">
      <w:pPr>
        <w:pStyle w:val="Prrafodelista"/>
        <w:ind w:left="360"/>
        <w:jc w:val="both"/>
        <w:rPr>
          <w:sz w:val="20"/>
          <w:szCs w:val="20"/>
        </w:rPr>
      </w:pPr>
    </w:p>
    <w:p w14:paraId="4A103B71"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Jiménez París</w:t>
      </w:r>
      <w:r w:rsidRPr="001B2902">
        <w:rPr>
          <w:sz w:val="20"/>
          <w:szCs w:val="20"/>
        </w:rPr>
        <w:t xml:space="preserve">, Teresa Asunción. “Moratoria hipotecaria, </w:t>
      </w:r>
      <w:proofErr w:type="spellStart"/>
      <w:r w:rsidRPr="001B2902">
        <w:rPr>
          <w:sz w:val="20"/>
          <w:szCs w:val="20"/>
        </w:rPr>
        <w:t>epidema</w:t>
      </w:r>
      <w:proofErr w:type="spellEnd"/>
      <w:r w:rsidRPr="001B2902">
        <w:rPr>
          <w:sz w:val="20"/>
          <w:szCs w:val="20"/>
        </w:rPr>
        <w:t xml:space="preserve"> del COVID-19 y estado de alarma”: </w:t>
      </w:r>
      <w:r w:rsidRPr="001B2902">
        <w:rPr>
          <w:i/>
          <w:iCs/>
          <w:sz w:val="20"/>
          <w:szCs w:val="20"/>
        </w:rPr>
        <w:t>Revista Crítica de Derecho Inmobiliario</w:t>
      </w:r>
      <w:r w:rsidRPr="001B2902">
        <w:rPr>
          <w:sz w:val="20"/>
          <w:szCs w:val="20"/>
        </w:rPr>
        <w:t>, Año nº 96, Nº 781, 2020, págs. 3206-3226.</w:t>
      </w:r>
    </w:p>
    <w:p w14:paraId="6BC5417A" w14:textId="77777777" w:rsidR="00C67C8B" w:rsidRPr="001B2902" w:rsidRDefault="00C67C8B" w:rsidP="00C67C8B">
      <w:pPr>
        <w:pStyle w:val="Prrafodelista"/>
        <w:ind w:left="360"/>
        <w:jc w:val="both"/>
        <w:rPr>
          <w:sz w:val="20"/>
          <w:szCs w:val="20"/>
        </w:rPr>
      </w:pPr>
    </w:p>
    <w:p w14:paraId="096DE6F3"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Juárez Torrejón</w:t>
      </w:r>
      <w:r w:rsidRPr="001B2902">
        <w:rPr>
          <w:sz w:val="20"/>
          <w:szCs w:val="20"/>
        </w:rPr>
        <w:t>, Ángel. “La responsabilidad directa del productor ante el consumidor: "</w:t>
      </w:r>
      <w:proofErr w:type="spellStart"/>
      <w:r w:rsidRPr="001B2902">
        <w:rPr>
          <w:sz w:val="20"/>
          <w:szCs w:val="20"/>
        </w:rPr>
        <w:t>dieselgate</w:t>
      </w:r>
      <w:proofErr w:type="spellEnd"/>
      <w:r w:rsidRPr="001B2902">
        <w:rPr>
          <w:sz w:val="20"/>
          <w:szCs w:val="20"/>
        </w:rPr>
        <w:t xml:space="preserve">" (a propósito de la Sentencia del Tribunal Supremo 735/2020, de 11 de marzo)”: </w:t>
      </w:r>
      <w:r w:rsidRPr="001B2902">
        <w:rPr>
          <w:i/>
          <w:iCs/>
          <w:sz w:val="20"/>
          <w:szCs w:val="20"/>
        </w:rPr>
        <w:t>Revista Crítica de Derecho Inmobiliario</w:t>
      </w:r>
      <w:r w:rsidRPr="001B2902">
        <w:rPr>
          <w:sz w:val="20"/>
          <w:szCs w:val="20"/>
        </w:rPr>
        <w:t xml:space="preserve">, Año nº 96, Nº 781, 2020, págs. 3158-3187. </w:t>
      </w:r>
    </w:p>
    <w:p w14:paraId="5841B50B" w14:textId="77777777" w:rsidR="00C67C8B" w:rsidRPr="001B2902" w:rsidRDefault="00C67C8B" w:rsidP="00C67C8B">
      <w:pPr>
        <w:pStyle w:val="Prrafodelista"/>
        <w:ind w:left="360"/>
        <w:jc w:val="both"/>
        <w:rPr>
          <w:sz w:val="20"/>
          <w:szCs w:val="20"/>
        </w:rPr>
      </w:pPr>
    </w:p>
    <w:p w14:paraId="6BCB4CB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Karrera Egialde</w:t>
      </w:r>
      <w:r w:rsidRPr="001B2902">
        <w:rPr>
          <w:sz w:val="20"/>
          <w:szCs w:val="20"/>
        </w:rPr>
        <w:t xml:space="preserve">, Mikel Mari. “Las cláusulas de extensión objetiva de la hipoteca: fundamento y alcance”: </w:t>
      </w:r>
      <w:r w:rsidRPr="001B2902">
        <w:rPr>
          <w:i/>
          <w:iCs/>
          <w:sz w:val="20"/>
          <w:szCs w:val="20"/>
        </w:rPr>
        <w:t>Revista Crítica de Derecho Inmobiliario</w:t>
      </w:r>
      <w:r w:rsidRPr="001B2902">
        <w:rPr>
          <w:sz w:val="20"/>
          <w:szCs w:val="20"/>
        </w:rPr>
        <w:t>, Año nº 97, Nº 783, 2021, págs. 65-133.</w:t>
      </w:r>
    </w:p>
    <w:p w14:paraId="714C2ED9" w14:textId="77777777" w:rsidR="00C67C8B" w:rsidRPr="001B2902" w:rsidRDefault="00C67C8B" w:rsidP="00C67C8B">
      <w:pPr>
        <w:pStyle w:val="Prrafodelista"/>
        <w:ind w:left="360"/>
        <w:jc w:val="both"/>
        <w:rPr>
          <w:sz w:val="20"/>
          <w:szCs w:val="20"/>
        </w:rPr>
      </w:pPr>
    </w:p>
    <w:p w14:paraId="12AE3797"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Lacaba Sánchez</w:t>
      </w:r>
      <w:r w:rsidRPr="001B2902">
        <w:rPr>
          <w:sz w:val="20"/>
          <w:szCs w:val="20"/>
        </w:rPr>
        <w:t xml:space="preserve">, Fernando; </w:t>
      </w:r>
      <w:r w:rsidRPr="001B2902">
        <w:rPr>
          <w:caps/>
          <w:sz w:val="20"/>
          <w:szCs w:val="20"/>
        </w:rPr>
        <w:t>Lacaba Lahoz</w:t>
      </w:r>
      <w:r w:rsidRPr="001B2902">
        <w:rPr>
          <w:sz w:val="20"/>
          <w:szCs w:val="20"/>
        </w:rPr>
        <w:t xml:space="preserve">, Anna. “La ejecución extrajudicial: un instrumento para desjudicializar más teórico que práctico”: </w:t>
      </w:r>
      <w:r w:rsidRPr="001B2902">
        <w:rPr>
          <w:i/>
          <w:iCs/>
          <w:sz w:val="20"/>
          <w:szCs w:val="20"/>
        </w:rPr>
        <w:t xml:space="preserve">Revista de Derecho </w:t>
      </w:r>
      <w:proofErr w:type="spellStart"/>
      <w:r w:rsidRPr="001B2902">
        <w:rPr>
          <w:i/>
          <w:iCs/>
          <w:sz w:val="20"/>
          <w:szCs w:val="20"/>
        </w:rPr>
        <w:t>vLex</w:t>
      </w:r>
      <w:proofErr w:type="spellEnd"/>
      <w:r w:rsidRPr="001B2902">
        <w:rPr>
          <w:sz w:val="20"/>
          <w:szCs w:val="20"/>
        </w:rPr>
        <w:t xml:space="preserve">, Nº. 201, Febrero 2021. </w:t>
      </w:r>
    </w:p>
    <w:p w14:paraId="40975FF7" w14:textId="77777777" w:rsidR="00C67C8B" w:rsidRPr="001B2902" w:rsidRDefault="00C67C8B" w:rsidP="00C67C8B">
      <w:pPr>
        <w:pStyle w:val="Prrafodelista"/>
        <w:ind w:left="360"/>
        <w:jc w:val="both"/>
        <w:rPr>
          <w:sz w:val="20"/>
          <w:szCs w:val="20"/>
        </w:rPr>
      </w:pPr>
    </w:p>
    <w:p w14:paraId="0A4964D8"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López y García de la Serrana</w:t>
      </w:r>
      <w:r w:rsidRPr="001B2902">
        <w:rPr>
          <w:sz w:val="20"/>
          <w:szCs w:val="20"/>
        </w:rPr>
        <w:t>, Javier. “</w:t>
      </w:r>
      <w:proofErr w:type="spellStart"/>
      <w:r w:rsidRPr="001B2902">
        <w:rPr>
          <w:sz w:val="20"/>
          <w:szCs w:val="20"/>
        </w:rPr>
        <w:t>Rebus</w:t>
      </w:r>
      <w:proofErr w:type="spellEnd"/>
      <w:r w:rsidRPr="001B2902">
        <w:rPr>
          <w:sz w:val="20"/>
          <w:szCs w:val="20"/>
        </w:rPr>
        <w:t xml:space="preserve"> sic </w:t>
      </w:r>
      <w:proofErr w:type="spellStart"/>
      <w:r w:rsidRPr="001B2902">
        <w:rPr>
          <w:sz w:val="20"/>
          <w:szCs w:val="20"/>
        </w:rPr>
        <w:t>stantibus</w:t>
      </w:r>
      <w:proofErr w:type="spellEnd"/>
      <w:r w:rsidRPr="001B2902">
        <w:rPr>
          <w:sz w:val="20"/>
          <w:szCs w:val="20"/>
        </w:rPr>
        <w:t xml:space="preserve"> y alquileres de locales de negocio o de industria: (Estudio de las resoluciones judiciales dictadas)”: </w:t>
      </w:r>
      <w:r w:rsidRPr="001B2902">
        <w:rPr>
          <w:i/>
          <w:iCs/>
          <w:sz w:val="20"/>
          <w:szCs w:val="20"/>
        </w:rPr>
        <w:t>Diario La Ley</w:t>
      </w:r>
      <w:r w:rsidRPr="001B2902">
        <w:rPr>
          <w:sz w:val="20"/>
          <w:szCs w:val="20"/>
        </w:rPr>
        <w:t xml:space="preserve">, Nº 9801, 2021. </w:t>
      </w:r>
    </w:p>
    <w:p w14:paraId="3CAE6B57" w14:textId="77777777" w:rsidR="00C67C8B" w:rsidRPr="001B2902" w:rsidRDefault="00C67C8B" w:rsidP="00C67C8B">
      <w:pPr>
        <w:pStyle w:val="Prrafodelista"/>
        <w:ind w:left="360"/>
        <w:jc w:val="both"/>
        <w:rPr>
          <w:sz w:val="20"/>
          <w:szCs w:val="20"/>
        </w:rPr>
      </w:pPr>
    </w:p>
    <w:p w14:paraId="0A58BD47"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Marín López</w:t>
      </w:r>
      <w:r w:rsidRPr="001B2902">
        <w:rPr>
          <w:sz w:val="20"/>
          <w:szCs w:val="20"/>
        </w:rPr>
        <w:t xml:space="preserve">, Manuel Jesús. “Protección del consumidor por la pandemia del COVID-19: el art. 36 del RD-ley 11/2020 / </w:t>
      </w:r>
      <w:proofErr w:type="spellStart"/>
      <w:r w:rsidRPr="001B2902">
        <w:rPr>
          <w:sz w:val="20"/>
          <w:szCs w:val="20"/>
        </w:rPr>
        <w:t>Consumer</w:t>
      </w:r>
      <w:proofErr w:type="spellEnd"/>
      <w:r w:rsidRPr="001B2902">
        <w:rPr>
          <w:sz w:val="20"/>
          <w:szCs w:val="20"/>
        </w:rPr>
        <w:t xml:space="preserve"> </w:t>
      </w:r>
      <w:proofErr w:type="spellStart"/>
      <w:r w:rsidRPr="001B2902">
        <w:rPr>
          <w:sz w:val="20"/>
          <w:szCs w:val="20"/>
        </w:rPr>
        <w:t>protection</w:t>
      </w:r>
      <w:proofErr w:type="spellEnd"/>
      <w:r w:rsidRPr="001B2902">
        <w:rPr>
          <w:sz w:val="20"/>
          <w:szCs w:val="20"/>
        </w:rPr>
        <w:t xml:space="preserve"> </w:t>
      </w:r>
      <w:proofErr w:type="spellStart"/>
      <w:r w:rsidRPr="001B2902">
        <w:rPr>
          <w:sz w:val="20"/>
          <w:szCs w:val="20"/>
        </w:rPr>
        <w:t>within</w:t>
      </w:r>
      <w:proofErr w:type="spellEnd"/>
      <w:r w:rsidRPr="001B2902">
        <w:rPr>
          <w:sz w:val="20"/>
          <w:szCs w:val="20"/>
        </w:rPr>
        <w:t xml:space="preserve"> </w:t>
      </w:r>
      <w:proofErr w:type="spellStart"/>
      <w:r w:rsidRPr="001B2902">
        <w:rPr>
          <w:sz w:val="20"/>
          <w:szCs w:val="20"/>
        </w:rPr>
        <w:t>the</w:t>
      </w:r>
      <w:proofErr w:type="spellEnd"/>
      <w:r w:rsidRPr="001B2902">
        <w:rPr>
          <w:sz w:val="20"/>
          <w:szCs w:val="20"/>
        </w:rPr>
        <w:t xml:space="preserve"> COVID-19 </w:t>
      </w:r>
      <w:proofErr w:type="spellStart"/>
      <w:r w:rsidRPr="001B2902">
        <w:rPr>
          <w:sz w:val="20"/>
          <w:szCs w:val="20"/>
        </w:rPr>
        <w:t>pandemic</w:t>
      </w:r>
      <w:proofErr w:type="spellEnd"/>
      <w:r w:rsidRPr="001B2902">
        <w:rPr>
          <w:sz w:val="20"/>
          <w:szCs w:val="20"/>
        </w:rPr>
        <w:t xml:space="preserve">: art.36 </w:t>
      </w:r>
      <w:proofErr w:type="spellStart"/>
      <w:r w:rsidRPr="001B2902">
        <w:rPr>
          <w:sz w:val="20"/>
          <w:szCs w:val="20"/>
        </w:rPr>
        <w:t>from</w:t>
      </w:r>
      <w:proofErr w:type="spellEnd"/>
      <w:r w:rsidRPr="001B2902">
        <w:rPr>
          <w:sz w:val="20"/>
          <w:szCs w:val="20"/>
        </w:rPr>
        <w:t xml:space="preserve"> RD-</w:t>
      </w:r>
      <w:proofErr w:type="spellStart"/>
      <w:r w:rsidRPr="001B2902">
        <w:rPr>
          <w:sz w:val="20"/>
          <w:szCs w:val="20"/>
        </w:rPr>
        <w:t>Law</w:t>
      </w:r>
      <w:proofErr w:type="spellEnd"/>
      <w:r w:rsidRPr="001B2902">
        <w:rPr>
          <w:sz w:val="20"/>
          <w:szCs w:val="20"/>
        </w:rPr>
        <w:t xml:space="preserve"> 11/2020”: </w:t>
      </w:r>
      <w:r w:rsidRPr="001B2902">
        <w:rPr>
          <w:i/>
          <w:iCs/>
          <w:sz w:val="20"/>
          <w:szCs w:val="20"/>
        </w:rPr>
        <w:t>Revista de Derecho Civil</w:t>
      </w:r>
      <w:r w:rsidRPr="001B2902">
        <w:rPr>
          <w:sz w:val="20"/>
          <w:szCs w:val="20"/>
        </w:rPr>
        <w:t>, Vol. 7, Nº. 5 (octubre-diciembre), 2020, págs. 1-39</w:t>
      </w:r>
      <w:r>
        <w:rPr>
          <w:sz w:val="20"/>
          <w:szCs w:val="20"/>
        </w:rPr>
        <w:t>.</w:t>
      </w:r>
    </w:p>
    <w:p w14:paraId="09620A03" w14:textId="77777777" w:rsidR="00C67C8B" w:rsidRPr="001B2902" w:rsidRDefault="00C67C8B" w:rsidP="00C67C8B">
      <w:pPr>
        <w:pStyle w:val="Prrafodelista"/>
        <w:ind w:left="360"/>
        <w:jc w:val="both"/>
        <w:rPr>
          <w:sz w:val="20"/>
          <w:szCs w:val="20"/>
        </w:rPr>
      </w:pPr>
    </w:p>
    <w:p w14:paraId="1126D7EE"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Martín Fuster,</w:t>
      </w:r>
      <w:r w:rsidRPr="001B2902">
        <w:rPr>
          <w:sz w:val="20"/>
          <w:szCs w:val="20"/>
        </w:rPr>
        <w:t xml:space="preserve"> José Manuel. “La apreciación de oficio de las consecuencias de la Nulidad. Comentario a la Cuestión prejudicial presentada por el TS en el Auto de 27 de noviembre de 2019”: </w:t>
      </w:r>
      <w:r w:rsidRPr="001B2902">
        <w:rPr>
          <w:i/>
          <w:iCs/>
          <w:sz w:val="20"/>
          <w:szCs w:val="20"/>
        </w:rPr>
        <w:t>Revista General de Derecho Procesal</w:t>
      </w:r>
      <w:r w:rsidRPr="001B2902">
        <w:rPr>
          <w:sz w:val="20"/>
          <w:szCs w:val="20"/>
        </w:rPr>
        <w:t>, Nº. 53, 2021.</w:t>
      </w:r>
    </w:p>
    <w:p w14:paraId="1A3679D7" w14:textId="77777777" w:rsidR="00C67C8B" w:rsidRPr="001B2902" w:rsidRDefault="00C67C8B" w:rsidP="00C67C8B">
      <w:pPr>
        <w:pStyle w:val="Prrafodelista"/>
        <w:ind w:left="360"/>
        <w:jc w:val="both"/>
        <w:rPr>
          <w:sz w:val="20"/>
          <w:szCs w:val="20"/>
        </w:rPr>
      </w:pPr>
    </w:p>
    <w:p w14:paraId="36ECDF4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Martínez de Santos</w:t>
      </w:r>
      <w:r w:rsidRPr="001B2902">
        <w:rPr>
          <w:sz w:val="20"/>
          <w:szCs w:val="20"/>
        </w:rPr>
        <w:t xml:space="preserve">, Alberto. “La intervención de los servicios sociales en el lanzamiento”: </w:t>
      </w:r>
      <w:r w:rsidRPr="001B2902">
        <w:rPr>
          <w:i/>
          <w:iCs/>
          <w:sz w:val="20"/>
          <w:szCs w:val="20"/>
        </w:rPr>
        <w:t>Práctica de tribunales: revista de derecho procesal civil y mercantil</w:t>
      </w:r>
      <w:r w:rsidRPr="001B2902">
        <w:rPr>
          <w:sz w:val="20"/>
          <w:szCs w:val="20"/>
        </w:rPr>
        <w:t>, Nº. 147, 2020.</w:t>
      </w:r>
    </w:p>
    <w:p w14:paraId="383FA800" w14:textId="77777777" w:rsidR="00C67C8B" w:rsidRPr="001B2902" w:rsidRDefault="00C67C8B" w:rsidP="00C67C8B">
      <w:pPr>
        <w:pStyle w:val="Prrafodelista"/>
        <w:ind w:left="360"/>
        <w:jc w:val="both"/>
        <w:rPr>
          <w:sz w:val="20"/>
          <w:szCs w:val="20"/>
        </w:rPr>
      </w:pPr>
    </w:p>
    <w:p w14:paraId="7D1CDAB8"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Martínez de Santos</w:t>
      </w:r>
      <w:r w:rsidRPr="001B2902">
        <w:rPr>
          <w:sz w:val="20"/>
          <w:szCs w:val="20"/>
        </w:rPr>
        <w:t xml:space="preserve">, Alberto. “La preferencia del crédito hipotecario en el sobrante de una ejecución”: </w:t>
      </w:r>
      <w:r w:rsidRPr="001B2902">
        <w:rPr>
          <w:i/>
          <w:iCs/>
          <w:sz w:val="20"/>
          <w:szCs w:val="20"/>
        </w:rPr>
        <w:t>Práctica de tribunales: revista de derecho procesal civil y mercantil</w:t>
      </w:r>
      <w:r w:rsidRPr="001B2902">
        <w:rPr>
          <w:sz w:val="20"/>
          <w:szCs w:val="20"/>
        </w:rPr>
        <w:t>, Nº. 146, 2020, 12 págs</w:t>
      </w:r>
      <w:r>
        <w:rPr>
          <w:sz w:val="20"/>
          <w:szCs w:val="20"/>
        </w:rPr>
        <w:t>.</w:t>
      </w:r>
    </w:p>
    <w:p w14:paraId="56FFB310" w14:textId="77777777" w:rsidR="00C67C8B" w:rsidRPr="001B2902" w:rsidRDefault="00C67C8B" w:rsidP="00C67C8B">
      <w:pPr>
        <w:pStyle w:val="Prrafodelista"/>
        <w:ind w:left="360"/>
        <w:jc w:val="both"/>
        <w:rPr>
          <w:sz w:val="20"/>
          <w:szCs w:val="20"/>
        </w:rPr>
      </w:pPr>
    </w:p>
    <w:p w14:paraId="2A854E25"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Martínez Gómez</w:t>
      </w:r>
      <w:r w:rsidRPr="001B2902">
        <w:rPr>
          <w:sz w:val="20"/>
          <w:szCs w:val="20"/>
        </w:rPr>
        <w:t xml:space="preserve">, Sheila. “Se reaviva el debate sobre la prescripción de la acción de restitución de los gastos hipotecarios tras la nota informativa del Ministerio de Consumo de 17.11.2020”: </w:t>
      </w:r>
      <w:r w:rsidRPr="001B2902">
        <w:rPr>
          <w:i/>
          <w:iCs/>
          <w:sz w:val="20"/>
          <w:szCs w:val="20"/>
        </w:rPr>
        <w:t>Revista CESCO de Derecho de Consumo</w:t>
      </w:r>
      <w:r w:rsidRPr="001B2902">
        <w:rPr>
          <w:sz w:val="20"/>
          <w:szCs w:val="20"/>
        </w:rPr>
        <w:t>, Nº 37, 2021, págs. 12-32.</w:t>
      </w:r>
    </w:p>
    <w:p w14:paraId="5713B968" w14:textId="77777777" w:rsidR="00C67C8B" w:rsidRPr="001B2902" w:rsidRDefault="00C67C8B" w:rsidP="00C67C8B">
      <w:pPr>
        <w:pStyle w:val="Prrafodelista"/>
        <w:ind w:left="360"/>
        <w:jc w:val="both"/>
        <w:rPr>
          <w:sz w:val="20"/>
          <w:szCs w:val="20"/>
        </w:rPr>
      </w:pPr>
    </w:p>
    <w:p w14:paraId="2ABCAE10"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Martínez Sanz</w:t>
      </w:r>
      <w:r w:rsidRPr="001B2902">
        <w:rPr>
          <w:sz w:val="20"/>
          <w:szCs w:val="20"/>
        </w:rPr>
        <w:t xml:space="preserve">, Fernando. “Modificaciones en la obligación del deudor de solicitar el concurso y en materia de cumplimiento del convenio a causa del Covid-19”: </w:t>
      </w:r>
      <w:r w:rsidRPr="001B2902">
        <w:rPr>
          <w:i/>
          <w:iCs/>
          <w:sz w:val="20"/>
          <w:szCs w:val="20"/>
        </w:rPr>
        <w:t xml:space="preserve">Revista de derecho concursal y </w:t>
      </w:r>
      <w:proofErr w:type="spellStart"/>
      <w:r w:rsidRPr="001B2902">
        <w:rPr>
          <w:i/>
          <w:iCs/>
          <w:sz w:val="20"/>
          <w:szCs w:val="20"/>
        </w:rPr>
        <w:t>paraconcursal</w:t>
      </w:r>
      <w:proofErr w:type="spellEnd"/>
      <w:r w:rsidRPr="001B2902">
        <w:rPr>
          <w:i/>
          <w:iCs/>
          <w:sz w:val="20"/>
          <w:szCs w:val="20"/>
        </w:rPr>
        <w:t>: Anales de doctrina, praxis, jurisprudencia y legislación</w:t>
      </w:r>
      <w:r w:rsidRPr="001B2902">
        <w:rPr>
          <w:sz w:val="20"/>
          <w:szCs w:val="20"/>
        </w:rPr>
        <w:t>, Nº. 34, 2021, págs. 89-100.</w:t>
      </w:r>
    </w:p>
    <w:p w14:paraId="236E6924" w14:textId="77777777" w:rsidR="00C67C8B" w:rsidRPr="001B2902" w:rsidRDefault="00C67C8B" w:rsidP="00C67C8B">
      <w:pPr>
        <w:pStyle w:val="Prrafodelista"/>
        <w:ind w:left="360"/>
        <w:jc w:val="both"/>
        <w:rPr>
          <w:sz w:val="20"/>
          <w:szCs w:val="20"/>
        </w:rPr>
      </w:pPr>
    </w:p>
    <w:p w14:paraId="5DC44EF0"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Mendoza Alonzo</w:t>
      </w:r>
      <w:r w:rsidRPr="001B2902">
        <w:rPr>
          <w:sz w:val="20"/>
          <w:szCs w:val="20"/>
        </w:rPr>
        <w:t xml:space="preserve">, Pamela; </w:t>
      </w:r>
      <w:r w:rsidRPr="001B2902">
        <w:rPr>
          <w:caps/>
          <w:sz w:val="20"/>
          <w:szCs w:val="20"/>
        </w:rPr>
        <w:t>Morales Ortiz</w:t>
      </w:r>
      <w:r w:rsidRPr="001B2902">
        <w:rPr>
          <w:sz w:val="20"/>
          <w:szCs w:val="20"/>
        </w:rPr>
        <w:t xml:space="preserve">, María Elisa. “Notas sobre el control de cláusulas abusivas entre empresarios. Una síntesis del modelo alemán”: </w:t>
      </w:r>
      <w:r w:rsidRPr="001B2902">
        <w:rPr>
          <w:i/>
          <w:iCs/>
          <w:sz w:val="20"/>
          <w:szCs w:val="20"/>
        </w:rPr>
        <w:t>Revista chilena de derecho privado</w:t>
      </w:r>
      <w:r w:rsidRPr="001B2902">
        <w:rPr>
          <w:sz w:val="20"/>
          <w:szCs w:val="20"/>
        </w:rPr>
        <w:t>, Nº. 34 (Julio), 2020, págs. 207-216.</w:t>
      </w:r>
    </w:p>
    <w:p w14:paraId="4F152441" w14:textId="77777777" w:rsidR="00C67C8B" w:rsidRPr="001B2902" w:rsidRDefault="00C67C8B" w:rsidP="00C67C8B">
      <w:pPr>
        <w:pStyle w:val="Prrafodelista"/>
        <w:ind w:left="360"/>
        <w:jc w:val="both"/>
        <w:rPr>
          <w:sz w:val="20"/>
          <w:szCs w:val="20"/>
        </w:rPr>
      </w:pPr>
    </w:p>
    <w:p w14:paraId="791CADF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Minero Alejandre</w:t>
      </w:r>
      <w:r w:rsidRPr="001B2902">
        <w:rPr>
          <w:sz w:val="20"/>
          <w:szCs w:val="20"/>
        </w:rPr>
        <w:t xml:space="preserve">, </w:t>
      </w:r>
      <w:proofErr w:type="spellStart"/>
      <w:r w:rsidRPr="001B2902">
        <w:rPr>
          <w:sz w:val="20"/>
          <w:szCs w:val="20"/>
        </w:rPr>
        <w:t>Gemma</w:t>
      </w:r>
      <w:proofErr w:type="spellEnd"/>
      <w:r w:rsidRPr="001B2902">
        <w:rPr>
          <w:sz w:val="20"/>
          <w:szCs w:val="20"/>
        </w:rPr>
        <w:t xml:space="preserve">. “¿Responsabilidad de Amazon por las ventas concertadas por terceros en su </w:t>
      </w:r>
      <w:proofErr w:type="spellStart"/>
      <w:r w:rsidRPr="001B2902">
        <w:rPr>
          <w:sz w:val="20"/>
          <w:szCs w:val="20"/>
        </w:rPr>
        <w:t>marketplace</w:t>
      </w:r>
      <w:proofErr w:type="spellEnd"/>
      <w:r w:rsidRPr="001B2902">
        <w:rPr>
          <w:sz w:val="20"/>
          <w:szCs w:val="20"/>
        </w:rPr>
        <w:t xml:space="preserve">? Estudio de la cuestión a fecha de 2021 y perspectivas de futuro”: </w:t>
      </w:r>
      <w:r w:rsidRPr="001B2902">
        <w:rPr>
          <w:i/>
          <w:iCs/>
          <w:sz w:val="20"/>
          <w:szCs w:val="20"/>
        </w:rPr>
        <w:t>Revista CESCO de Derecho de Consumo</w:t>
      </w:r>
      <w:r w:rsidRPr="001B2902">
        <w:rPr>
          <w:sz w:val="20"/>
          <w:szCs w:val="20"/>
        </w:rPr>
        <w:t>, Nº 37, 2021, págs. 33-50.</w:t>
      </w:r>
    </w:p>
    <w:p w14:paraId="5C4C0E6A" w14:textId="77777777" w:rsidR="00C67C8B" w:rsidRPr="001B2902" w:rsidRDefault="00C67C8B" w:rsidP="00C67C8B">
      <w:pPr>
        <w:pStyle w:val="Prrafodelista"/>
        <w:ind w:left="360"/>
        <w:jc w:val="both"/>
        <w:rPr>
          <w:sz w:val="20"/>
          <w:szCs w:val="20"/>
        </w:rPr>
      </w:pPr>
    </w:p>
    <w:p w14:paraId="6CD1DF3B"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lastRenderedPageBreak/>
        <w:t>Miranda Serrano</w:t>
      </w:r>
      <w:r w:rsidRPr="001B2902">
        <w:rPr>
          <w:sz w:val="20"/>
          <w:szCs w:val="20"/>
        </w:rPr>
        <w:t xml:space="preserve">, Luis María. “El derecho de desistimiento en los contratos de consumo sobre contenidos digitales”: </w:t>
      </w:r>
      <w:r w:rsidRPr="001B2902">
        <w:rPr>
          <w:i/>
          <w:iCs/>
          <w:sz w:val="20"/>
          <w:szCs w:val="20"/>
        </w:rPr>
        <w:t>La Ley mercantil</w:t>
      </w:r>
      <w:r w:rsidRPr="001B2902">
        <w:rPr>
          <w:sz w:val="20"/>
          <w:szCs w:val="20"/>
        </w:rPr>
        <w:t xml:space="preserve">, Nº. 76 (enero), 2021. </w:t>
      </w:r>
    </w:p>
    <w:p w14:paraId="4A6DDBC2" w14:textId="77777777" w:rsidR="00C67C8B" w:rsidRPr="001B2902" w:rsidRDefault="00C67C8B" w:rsidP="00C67C8B">
      <w:pPr>
        <w:pStyle w:val="Prrafodelista"/>
        <w:ind w:left="360"/>
        <w:jc w:val="both"/>
        <w:rPr>
          <w:sz w:val="20"/>
          <w:szCs w:val="20"/>
        </w:rPr>
      </w:pPr>
    </w:p>
    <w:p w14:paraId="73948F18"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Montilla Arjona</w:t>
      </w:r>
      <w:r w:rsidRPr="001B2902">
        <w:rPr>
          <w:sz w:val="20"/>
          <w:szCs w:val="20"/>
        </w:rPr>
        <w:t xml:space="preserve">, Luis. “Armonización de nuestra Ley concursal 22/2003 con la Directiva UE 2019/1023, de 20 de junio de 2019, en materia de segunda oportunidad”: </w:t>
      </w:r>
      <w:r w:rsidRPr="001B2902">
        <w:rPr>
          <w:i/>
          <w:iCs/>
          <w:sz w:val="20"/>
          <w:szCs w:val="20"/>
        </w:rPr>
        <w:t>Revista General de Derecho Procesal</w:t>
      </w:r>
      <w:r w:rsidRPr="001B2902">
        <w:rPr>
          <w:sz w:val="20"/>
          <w:szCs w:val="20"/>
        </w:rPr>
        <w:t>, Nº. 53, 2021.</w:t>
      </w:r>
    </w:p>
    <w:p w14:paraId="254281F5" w14:textId="77777777" w:rsidR="00C67C8B" w:rsidRPr="001B2902" w:rsidRDefault="00C67C8B" w:rsidP="00C67C8B">
      <w:pPr>
        <w:pStyle w:val="Prrafodelista"/>
        <w:ind w:left="360"/>
        <w:jc w:val="both"/>
        <w:rPr>
          <w:sz w:val="20"/>
          <w:szCs w:val="20"/>
        </w:rPr>
      </w:pPr>
    </w:p>
    <w:p w14:paraId="03805FC3"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Nieto Carol</w:t>
      </w:r>
      <w:r w:rsidRPr="001B2902">
        <w:rPr>
          <w:sz w:val="20"/>
          <w:szCs w:val="20"/>
        </w:rPr>
        <w:t xml:space="preserve">, Ubaldo. “Claves actuales de la denominada hipoteca inversa”: </w:t>
      </w:r>
      <w:r w:rsidRPr="001B2902">
        <w:rPr>
          <w:i/>
          <w:iCs/>
          <w:sz w:val="20"/>
          <w:szCs w:val="20"/>
        </w:rPr>
        <w:t>Actualidad jurídica iberoamericana</w:t>
      </w:r>
      <w:r w:rsidRPr="001B2902">
        <w:rPr>
          <w:sz w:val="20"/>
          <w:szCs w:val="20"/>
        </w:rPr>
        <w:t xml:space="preserve">, Nº. 12, 2020, págs. 364-407. </w:t>
      </w:r>
    </w:p>
    <w:p w14:paraId="6EE66174" w14:textId="77777777" w:rsidR="00C67C8B" w:rsidRPr="001B2902" w:rsidRDefault="00C67C8B" w:rsidP="00C67C8B">
      <w:pPr>
        <w:pStyle w:val="Prrafodelista"/>
        <w:ind w:left="360"/>
        <w:jc w:val="both"/>
        <w:rPr>
          <w:sz w:val="20"/>
          <w:szCs w:val="20"/>
        </w:rPr>
      </w:pPr>
    </w:p>
    <w:p w14:paraId="2F56D485" w14:textId="434D9F23" w:rsidR="00C67C8B" w:rsidRPr="00C67C8B"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PICÓ I JUNOY, Joan. “MASC y costas procesales en el futuro proceso civil: ¿La cuadratura del círculo?”: </w:t>
      </w:r>
      <w:r w:rsidRPr="001B2902">
        <w:rPr>
          <w:i/>
          <w:iCs/>
          <w:sz w:val="20"/>
          <w:szCs w:val="20"/>
        </w:rPr>
        <w:t>Diario La Ley</w:t>
      </w:r>
      <w:r w:rsidRPr="001B2902">
        <w:rPr>
          <w:sz w:val="20"/>
          <w:szCs w:val="20"/>
        </w:rPr>
        <w:t xml:space="preserve">, Nº 9801, 2021. </w:t>
      </w:r>
    </w:p>
    <w:p w14:paraId="4E2CFF9C" w14:textId="77777777" w:rsidR="00C67C8B" w:rsidRPr="001B2902" w:rsidRDefault="00C67C8B" w:rsidP="00C67C8B">
      <w:pPr>
        <w:pStyle w:val="Prrafodelista"/>
        <w:spacing w:after="160" w:line="259" w:lineRule="auto"/>
        <w:ind w:left="360"/>
        <w:jc w:val="both"/>
        <w:rPr>
          <w:sz w:val="20"/>
          <w:szCs w:val="20"/>
        </w:rPr>
      </w:pPr>
    </w:p>
    <w:p w14:paraId="7A7D3AC5" w14:textId="77777777" w:rsidR="00C67C8B"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QUESADA SÁNCHEZ, Antonio José. “La cesión de viviendas turísticas por habitaciones: situación legal en España y propuestas razonables”: </w:t>
      </w:r>
      <w:r w:rsidRPr="001B2902">
        <w:rPr>
          <w:i/>
          <w:iCs/>
          <w:sz w:val="20"/>
          <w:szCs w:val="20"/>
        </w:rPr>
        <w:t>Revista Crítica de Derecho Inmobiliario</w:t>
      </w:r>
      <w:r w:rsidRPr="001B2902">
        <w:rPr>
          <w:sz w:val="20"/>
          <w:szCs w:val="20"/>
        </w:rPr>
        <w:t>, Año nº 97, Nº 783, 2021, págs. 279-313.</w:t>
      </w:r>
    </w:p>
    <w:p w14:paraId="31449A8B" w14:textId="77777777" w:rsidR="00C67C8B" w:rsidRPr="001B2902" w:rsidRDefault="00C67C8B" w:rsidP="00C67C8B">
      <w:pPr>
        <w:pStyle w:val="Prrafodelista"/>
        <w:ind w:left="360"/>
        <w:jc w:val="both"/>
        <w:rPr>
          <w:sz w:val="20"/>
          <w:szCs w:val="20"/>
        </w:rPr>
      </w:pPr>
    </w:p>
    <w:p w14:paraId="2FE98D74"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Rubí Navarrete</w:t>
      </w:r>
      <w:r w:rsidRPr="001B2902">
        <w:rPr>
          <w:sz w:val="20"/>
          <w:szCs w:val="20"/>
        </w:rPr>
        <w:t xml:space="preserve">, Jesús “El consentimiento informado para la utilización de cookies. Guía de la AEPD para su adaptación al Reglamento General de Protección de Datos”: </w:t>
      </w:r>
      <w:r w:rsidRPr="001B2902">
        <w:rPr>
          <w:i/>
          <w:iCs/>
          <w:sz w:val="20"/>
          <w:szCs w:val="20"/>
        </w:rPr>
        <w:t>Comunicaciones en propiedad industrial y derecho de la competencia</w:t>
      </w:r>
      <w:r w:rsidRPr="001B2902">
        <w:rPr>
          <w:sz w:val="20"/>
          <w:szCs w:val="20"/>
        </w:rPr>
        <w:t xml:space="preserve">, Nº. 91 (Septiembre-Diciembre), 2020, págs. 25-34. </w:t>
      </w:r>
    </w:p>
    <w:p w14:paraId="2DE47581" w14:textId="77777777" w:rsidR="00C67C8B" w:rsidRPr="001B2902" w:rsidRDefault="00C67C8B" w:rsidP="00C67C8B">
      <w:pPr>
        <w:pStyle w:val="Prrafodelista"/>
        <w:ind w:left="360"/>
        <w:jc w:val="both"/>
        <w:rPr>
          <w:sz w:val="20"/>
          <w:szCs w:val="20"/>
        </w:rPr>
      </w:pPr>
    </w:p>
    <w:p w14:paraId="307CB1F4"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Ruiz Arranz</w:t>
      </w:r>
      <w:r w:rsidRPr="001B2902">
        <w:rPr>
          <w:sz w:val="20"/>
          <w:szCs w:val="20"/>
        </w:rPr>
        <w:t xml:space="preserve">, Antonio Ismael. “Una nueva concepción para la usura: Presupuestos y restitución”: </w:t>
      </w:r>
      <w:r w:rsidRPr="001B2902">
        <w:rPr>
          <w:i/>
          <w:iCs/>
          <w:sz w:val="20"/>
          <w:szCs w:val="20"/>
        </w:rPr>
        <w:t>Revista de Derecho Civil</w:t>
      </w:r>
      <w:r w:rsidRPr="001B2902">
        <w:rPr>
          <w:sz w:val="20"/>
          <w:szCs w:val="20"/>
        </w:rPr>
        <w:t xml:space="preserve">, Vol. 8, Nº. 1 (enero-marzo), 2021, págs. 181-242. </w:t>
      </w:r>
    </w:p>
    <w:p w14:paraId="3AC39A2F" w14:textId="77777777" w:rsidR="00C67C8B" w:rsidRPr="001B2902" w:rsidRDefault="00C67C8B" w:rsidP="00C67C8B">
      <w:pPr>
        <w:pStyle w:val="Prrafodelista"/>
        <w:ind w:left="360"/>
        <w:jc w:val="both"/>
        <w:rPr>
          <w:sz w:val="20"/>
          <w:szCs w:val="20"/>
        </w:rPr>
      </w:pPr>
    </w:p>
    <w:p w14:paraId="7CFECDEB"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SÁENZ DE JUBERA HIGUERO, Beatriz. “Acuerdos novatorios sobre cláusulas suelo y renuncia de acciones a la luz de la última doctrina del TJUE y del Tribunal Supremo”: </w:t>
      </w:r>
      <w:r w:rsidRPr="001B2902">
        <w:rPr>
          <w:i/>
          <w:iCs/>
          <w:sz w:val="20"/>
          <w:szCs w:val="20"/>
        </w:rPr>
        <w:t>Revista Crítica de Derecho Inmobiliario</w:t>
      </w:r>
      <w:r w:rsidRPr="001B2902">
        <w:rPr>
          <w:sz w:val="20"/>
          <w:szCs w:val="20"/>
        </w:rPr>
        <w:t xml:space="preserve">, Año nº 97, Nº 783, 2021, págs. 610-638. </w:t>
      </w:r>
    </w:p>
    <w:p w14:paraId="562EB033" w14:textId="77777777" w:rsidR="00C67C8B" w:rsidRPr="001B2902" w:rsidRDefault="00C67C8B" w:rsidP="00C67C8B">
      <w:pPr>
        <w:pStyle w:val="Prrafodelista"/>
        <w:ind w:left="360"/>
        <w:jc w:val="both"/>
        <w:rPr>
          <w:sz w:val="20"/>
          <w:szCs w:val="20"/>
        </w:rPr>
      </w:pPr>
    </w:p>
    <w:p w14:paraId="582A69DF"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Sáenz de Jubera Higuero</w:t>
      </w:r>
      <w:r w:rsidRPr="001B2902">
        <w:rPr>
          <w:sz w:val="20"/>
          <w:szCs w:val="20"/>
        </w:rPr>
        <w:t xml:space="preserve">, Beatriz. “Nulidad por abusiva de la cláusula de gastos en préstamos hipotecarios: integración del contrato conforme al derecho nacional supletorio, prescripción de la acción de restitución y costas procesales (a propósito de la STJUE de 16 de julio de 2020 y la doctrina del Tribunal Supremo)”: </w:t>
      </w:r>
      <w:r w:rsidRPr="001B2902">
        <w:rPr>
          <w:i/>
          <w:iCs/>
          <w:sz w:val="20"/>
          <w:szCs w:val="20"/>
        </w:rPr>
        <w:t>Revista Crítica de Derecho Inmobiliario</w:t>
      </w:r>
      <w:r w:rsidRPr="001B2902">
        <w:rPr>
          <w:sz w:val="20"/>
          <w:szCs w:val="20"/>
        </w:rPr>
        <w:t>, Año nº 96, Nº 782, 2020, págs. 3911-3944.</w:t>
      </w:r>
    </w:p>
    <w:p w14:paraId="6E2C6594" w14:textId="77777777" w:rsidR="00C67C8B" w:rsidRPr="001B2902" w:rsidRDefault="00C67C8B" w:rsidP="00C67C8B">
      <w:pPr>
        <w:pStyle w:val="Prrafodelista"/>
        <w:ind w:left="360"/>
        <w:jc w:val="both"/>
        <w:rPr>
          <w:sz w:val="20"/>
          <w:szCs w:val="20"/>
        </w:rPr>
      </w:pPr>
    </w:p>
    <w:p w14:paraId="3841C93D"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Sánchez García</w:t>
      </w:r>
      <w:r w:rsidRPr="001B2902">
        <w:rPr>
          <w:sz w:val="20"/>
          <w:szCs w:val="20"/>
        </w:rPr>
        <w:t xml:space="preserve">, Jesús M. “Auto TJUE de 3 de marzo de 2021: nuevo revés a la doctrina del TS sobre el control de transparencia en su sentencia de 11 de abril 2018 respecto de los acuerdos novatorios”: </w:t>
      </w:r>
      <w:r w:rsidRPr="001B2902">
        <w:rPr>
          <w:i/>
          <w:iCs/>
          <w:sz w:val="20"/>
          <w:szCs w:val="20"/>
        </w:rPr>
        <w:t xml:space="preserve">Revista de Derecho </w:t>
      </w:r>
      <w:proofErr w:type="spellStart"/>
      <w:r w:rsidRPr="001B2902">
        <w:rPr>
          <w:i/>
          <w:iCs/>
          <w:sz w:val="20"/>
          <w:szCs w:val="20"/>
        </w:rPr>
        <w:t>vLex</w:t>
      </w:r>
      <w:proofErr w:type="spellEnd"/>
      <w:r w:rsidRPr="001B2902">
        <w:rPr>
          <w:sz w:val="20"/>
          <w:szCs w:val="20"/>
        </w:rPr>
        <w:t>, Nº. 202, Marzo 2021.</w:t>
      </w:r>
    </w:p>
    <w:p w14:paraId="4ED20758" w14:textId="77777777" w:rsidR="00C67C8B" w:rsidRPr="001B2902" w:rsidRDefault="00C67C8B" w:rsidP="00C67C8B">
      <w:pPr>
        <w:pStyle w:val="Prrafodelista"/>
        <w:ind w:left="360"/>
        <w:jc w:val="both"/>
        <w:rPr>
          <w:sz w:val="20"/>
          <w:szCs w:val="20"/>
        </w:rPr>
      </w:pPr>
    </w:p>
    <w:p w14:paraId="6A70A12B"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Sánchez Pachón</w:t>
      </w:r>
      <w:r w:rsidRPr="001B2902">
        <w:rPr>
          <w:sz w:val="20"/>
          <w:szCs w:val="20"/>
        </w:rPr>
        <w:t xml:space="preserve">, Luis Ángel. “El problema de la exclusión de los créditos de derecho público del beneficio de la exoneración del pasivo insatisfecho en el Texto Refundido de la Concursal (Comentario al Auto del Juzgado de lo Mercantil nº 7 de Barcelona de 8 de septiembre de 2020)”: </w:t>
      </w:r>
      <w:r w:rsidRPr="001B2902">
        <w:rPr>
          <w:i/>
          <w:iCs/>
          <w:sz w:val="20"/>
          <w:szCs w:val="20"/>
        </w:rPr>
        <w:t xml:space="preserve">Revista de derecho concursal y </w:t>
      </w:r>
      <w:proofErr w:type="spellStart"/>
      <w:r w:rsidRPr="001B2902">
        <w:rPr>
          <w:i/>
          <w:iCs/>
          <w:sz w:val="20"/>
          <w:szCs w:val="20"/>
        </w:rPr>
        <w:t>paraconcursal</w:t>
      </w:r>
      <w:proofErr w:type="spellEnd"/>
      <w:r w:rsidRPr="001B2902">
        <w:rPr>
          <w:i/>
          <w:iCs/>
          <w:sz w:val="20"/>
          <w:szCs w:val="20"/>
        </w:rPr>
        <w:t>: Anales de doctrina, praxis, jurisprudencia y legislación</w:t>
      </w:r>
      <w:r w:rsidRPr="001B2902">
        <w:rPr>
          <w:sz w:val="20"/>
          <w:szCs w:val="20"/>
        </w:rPr>
        <w:t>, Nº. 34, 2021, págs. 209-226.</w:t>
      </w:r>
    </w:p>
    <w:p w14:paraId="7DE3E587" w14:textId="77777777" w:rsidR="00C67C8B" w:rsidRPr="001B2902" w:rsidRDefault="00C67C8B" w:rsidP="00C67C8B">
      <w:pPr>
        <w:pStyle w:val="Prrafodelista"/>
        <w:ind w:left="360"/>
        <w:jc w:val="both"/>
        <w:rPr>
          <w:sz w:val="20"/>
          <w:szCs w:val="20"/>
        </w:rPr>
      </w:pPr>
    </w:p>
    <w:p w14:paraId="2AE9765D"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Santodomingo González,</w:t>
      </w:r>
      <w:r w:rsidRPr="001B2902">
        <w:rPr>
          <w:sz w:val="20"/>
          <w:szCs w:val="20"/>
        </w:rPr>
        <w:t xml:space="preserve"> </w:t>
      </w:r>
      <w:proofErr w:type="spellStart"/>
      <w:r w:rsidRPr="001B2902">
        <w:rPr>
          <w:sz w:val="20"/>
          <w:szCs w:val="20"/>
        </w:rPr>
        <w:t>Alvaro</w:t>
      </w:r>
      <w:proofErr w:type="spellEnd"/>
      <w:r w:rsidRPr="001B2902">
        <w:rPr>
          <w:sz w:val="20"/>
          <w:szCs w:val="20"/>
        </w:rPr>
        <w:t xml:space="preserve"> Luis. “La segunda oportunidad y los créditos públicos en la Directiva 2019/1023”: </w:t>
      </w:r>
      <w:r w:rsidRPr="001B2902">
        <w:rPr>
          <w:i/>
          <w:iCs/>
          <w:sz w:val="20"/>
          <w:szCs w:val="20"/>
        </w:rPr>
        <w:t>Actualidad administrativa</w:t>
      </w:r>
      <w:r w:rsidRPr="001B2902">
        <w:rPr>
          <w:sz w:val="20"/>
          <w:szCs w:val="20"/>
        </w:rPr>
        <w:t xml:space="preserve">, Nº 2, 2021. </w:t>
      </w:r>
    </w:p>
    <w:p w14:paraId="596E8D40" w14:textId="77777777" w:rsidR="00C67C8B" w:rsidRPr="001B2902" w:rsidRDefault="00C67C8B" w:rsidP="00C67C8B">
      <w:pPr>
        <w:pStyle w:val="Prrafodelista"/>
        <w:ind w:left="360"/>
        <w:jc w:val="both"/>
        <w:rPr>
          <w:sz w:val="20"/>
          <w:szCs w:val="20"/>
        </w:rPr>
      </w:pPr>
    </w:p>
    <w:p w14:paraId="012DA453"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Sanz Bayón</w:t>
      </w:r>
      <w:r w:rsidRPr="001B2902">
        <w:rPr>
          <w:sz w:val="20"/>
          <w:szCs w:val="20"/>
        </w:rPr>
        <w:t xml:space="preserve">, Pablo. “Análisis sobre la naturaleza jurídica de las </w:t>
      </w:r>
      <w:proofErr w:type="spellStart"/>
      <w:r w:rsidRPr="001B2902">
        <w:rPr>
          <w:sz w:val="20"/>
          <w:szCs w:val="20"/>
        </w:rPr>
        <w:t>criptomonedas</w:t>
      </w:r>
      <w:proofErr w:type="spellEnd"/>
      <w:r w:rsidRPr="001B2902">
        <w:rPr>
          <w:sz w:val="20"/>
          <w:szCs w:val="20"/>
        </w:rPr>
        <w:t xml:space="preserve"> y la regulación europea de los proveedores de servicios de cambio y de custodia de monederos electrónicos”: </w:t>
      </w:r>
      <w:r w:rsidRPr="001B2902">
        <w:rPr>
          <w:i/>
          <w:iCs/>
          <w:sz w:val="20"/>
          <w:szCs w:val="20"/>
        </w:rPr>
        <w:t>Revista de derecho bancario y bursátil</w:t>
      </w:r>
      <w:r w:rsidRPr="001B2902">
        <w:rPr>
          <w:sz w:val="20"/>
          <w:szCs w:val="20"/>
        </w:rPr>
        <w:t>, Año nº 39, Nº 160, 2020, págs. 69-110.</w:t>
      </w:r>
    </w:p>
    <w:p w14:paraId="4F05AFFC" w14:textId="77777777" w:rsidR="00C67C8B" w:rsidRPr="001B2902" w:rsidRDefault="00C67C8B" w:rsidP="00C67C8B">
      <w:pPr>
        <w:pStyle w:val="Prrafodelista"/>
        <w:ind w:left="360"/>
        <w:jc w:val="both"/>
        <w:rPr>
          <w:sz w:val="20"/>
          <w:szCs w:val="20"/>
        </w:rPr>
      </w:pPr>
    </w:p>
    <w:p w14:paraId="283D3A5B"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lastRenderedPageBreak/>
        <w:t>Segarra Giménez</w:t>
      </w:r>
      <w:r w:rsidRPr="001B2902">
        <w:rPr>
          <w:sz w:val="20"/>
          <w:szCs w:val="20"/>
        </w:rPr>
        <w:t xml:space="preserve">, Guillermo. “Reflexiones sobre la regulación de los patrocinios en el Real Decreto 958/2020 de comunicaciones comerciales de las actividades de juego”: </w:t>
      </w:r>
      <w:r w:rsidRPr="001B2902">
        <w:rPr>
          <w:i/>
          <w:iCs/>
          <w:sz w:val="20"/>
          <w:szCs w:val="20"/>
        </w:rPr>
        <w:t>Diario La Ley</w:t>
      </w:r>
      <w:r w:rsidRPr="001B2902">
        <w:rPr>
          <w:sz w:val="20"/>
          <w:szCs w:val="20"/>
        </w:rPr>
        <w:t xml:space="preserve">, Nº 9758, 2020. </w:t>
      </w:r>
    </w:p>
    <w:p w14:paraId="4FF471E6" w14:textId="77777777" w:rsidR="00C67C8B" w:rsidRPr="001B2902" w:rsidRDefault="00C67C8B" w:rsidP="00C67C8B">
      <w:pPr>
        <w:pStyle w:val="Prrafodelista"/>
        <w:ind w:left="360"/>
        <w:jc w:val="both"/>
        <w:rPr>
          <w:sz w:val="20"/>
          <w:szCs w:val="20"/>
        </w:rPr>
      </w:pPr>
    </w:p>
    <w:p w14:paraId="6FC27146"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Sendra Albiñana</w:t>
      </w:r>
      <w:r w:rsidRPr="001B2902">
        <w:rPr>
          <w:sz w:val="20"/>
          <w:szCs w:val="20"/>
        </w:rPr>
        <w:t xml:space="preserve">, Álvaro. “Segunda oportunidad, crédito público y Texto Refundido de la Ley Concursal, ¿ultra vires?”: </w:t>
      </w:r>
      <w:r w:rsidRPr="001B2902">
        <w:rPr>
          <w:i/>
          <w:iCs/>
          <w:sz w:val="20"/>
          <w:szCs w:val="20"/>
        </w:rPr>
        <w:t xml:space="preserve">Revista de derecho concursal y </w:t>
      </w:r>
      <w:proofErr w:type="spellStart"/>
      <w:r w:rsidRPr="001B2902">
        <w:rPr>
          <w:i/>
          <w:iCs/>
          <w:sz w:val="20"/>
          <w:szCs w:val="20"/>
        </w:rPr>
        <w:t>paraconcursal</w:t>
      </w:r>
      <w:proofErr w:type="spellEnd"/>
      <w:r w:rsidRPr="001B2902">
        <w:rPr>
          <w:i/>
          <w:iCs/>
          <w:sz w:val="20"/>
          <w:szCs w:val="20"/>
        </w:rPr>
        <w:t>: Anales de doctrina, praxis, jurisprudencia y legislación</w:t>
      </w:r>
      <w:r w:rsidRPr="001B2902">
        <w:rPr>
          <w:sz w:val="20"/>
          <w:szCs w:val="20"/>
        </w:rPr>
        <w:t>, Nº. 34, 2021, págs. 173-184</w:t>
      </w:r>
      <w:r>
        <w:rPr>
          <w:sz w:val="20"/>
          <w:szCs w:val="20"/>
        </w:rPr>
        <w:t>.</w:t>
      </w:r>
    </w:p>
    <w:p w14:paraId="118079C7" w14:textId="77777777" w:rsidR="00C67C8B" w:rsidRPr="001B2902" w:rsidRDefault="00C67C8B" w:rsidP="00C67C8B">
      <w:pPr>
        <w:pStyle w:val="Prrafodelista"/>
        <w:ind w:left="360"/>
        <w:jc w:val="both"/>
        <w:rPr>
          <w:sz w:val="20"/>
          <w:szCs w:val="20"/>
        </w:rPr>
      </w:pPr>
    </w:p>
    <w:p w14:paraId="08CC77C6"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Serrano de Nicolás</w:t>
      </w:r>
      <w:r w:rsidRPr="001B2902">
        <w:rPr>
          <w:sz w:val="20"/>
          <w:szCs w:val="20"/>
        </w:rPr>
        <w:t xml:space="preserve">, Ángel “Artículo 28 Ley Hipotecaria, sus vicisitudes históricas y sentido actual”: </w:t>
      </w:r>
      <w:r w:rsidRPr="001B2902">
        <w:rPr>
          <w:i/>
          <w:iCs/>
          <w:sz w:val="20"/>
          <w:szCs w:val="20"/>
        </w:rPr>
        <w:t>Revista de Derecho Civil</w:t>
      </w:r>
      <w:r w:rsidRPr="001B2902">
        <w:rPr>
          <w:sz w:val="20"/>
          <w:szCs w:val="20"/>
        </w:rPr>
        <w:t xml:space="preserve">, Vol. 8, Nº. 1 (enero-marzo), 2021, págs. 51-92. </w:t>
      </w:r>
    </w:p>
    <w:p w14:paraId="271BAE6A" w14:textId="77777777" w:rsidR="00C67C8B" w:rsidRPr="001B2902" w:rsidRDefault="00C67C8B" w:rsidP="00C67C8B">
      <w:pPr>
        <w:pStyle w:val="Prrafodelista"/>
        <w:ind w:left="360"/>
        <w:jc w:val="both"/>
        <w:rPr>
          <w:sz w:val="20"/>
          <w:szCs w:val="20"/>
        </w:rPr>
      </w:pPr>
    </w:p>
    <w:p w14:paraId="718E5554" w14:textId="77777777" w:rsidR="00E37FCB" w:rsidRDefault="00C67C8B" w:rsidP="00E37FCB">
      <w:pPr>
        <w:pStyle w:val="Prrafodelista"/>
        <w:numPr>
          <w:ilvl w:val="0"/>
          <w:numId w:val="7"/>
        </w:numPr>
        <w:spacing w:after="160" w:line="259" w:lineRule="auto"/>
        <w:ind w:left="360"/>
        <w:jc w:val="both"/>
        <w:rPr>
          <w:sz w:val="20"/>
          <w:szCs w:val="20"/>
        </w:rPr>
      </w:pPr>
      <w:r w:rsidRPr="001B2902">
        <w:rPr>
          <w:caps/>
          <w:sz w:val="20"/>
          <w:szCs w:val="20"/>
        </w:rPr>
        <w:t>Serrano Rodríguez</w:t>
      </w:r>
      <w:r w:rsidRPr="001B2902">
        <w:rPr>
          <w:sz w:val="20"/>
          <w:szCs w:val="20"/>
        </w:rPr>
        <w:t xml:space="preserve">, Germán.  “¿Qué puede aportar el </w:t>
      </w:r>
      <w:proofErr w:type="spellStart"/>
      <w:r w:rsidRPr="001B2902">
        <w:rPr>
          <w:sz w:val="20"/>
          <w:szCs w:val="20"/>
        </w:rPr>
        <w:t>soft</w:t>
      </w:r>
      <w:proofErr w:type="spellEnd"/>
      <w:r w:rsidRPr="001B2902">
        <w:rPr>
          <w:sz w:val="20"/>
          <w:szCs w:val="20"/>
        </w:rPr>
        <w:t xml:space="preserve"> </w:t>
      </w:r>
      <w:proofErr w:type="spellStart"/>
      <w:r w:rsidRPr="001B2902">
        <w:rPr>
          <w:sz w:val="20"/>
          <w:szCs w:val="20"/>
        </w:rPr>
        <w:t>law</w:t>
      </w:r>
      <w:proofErr w:type="spellEnd"/>
      <w:r w:rsidRPr="001B2902">
        <w:rPr>
          <w:sz w:val="20"/>
          <w:szCs w:val="20"/>
        </w:rPr>
        <w:t xml:space="preserve"> a la protección de datos de carácter personal en el ámbito publicitario?”: </w:t>
      </w:r>
      <w:r w:rsidRPr="001B2902">
        <w:rPr>
          <w:i/>
          <w:iCs/>
          <w:sz w:val="20"/>
          <w:szCs w:val="20"/>
        </w:rPr>
        <w:t>Revista de Derecho Civil</w:t>
      </w:r>
      <w:r w:rsidRPr="001B2902">
        <w:rPr>
          <w:sz w:val="20"/>
          <w:szCs w:val="20"/>
        </w:rPr>
        <w:t xml:space="preserve">, Vol. 8, Nº. 1 (enero-marzo), 2021, págs. 295-298. </w:t>
      </w:r>
    </w:p>
    <w:p w14:paraId="68A9BA9F" w14:textId="77777777" w:rsidR="00E37FCB" w:rsidRDefault="00E37FCB" w:rsidP="00E37FCB">
      <w:pPr>
        <w:pStyle w:val="Prrafodelista"/>
        <w:spacing w:after="160" w:line="259" w:lineRule="auto"/>
        <w:ind w:left="360"/>
        <w:jc w:val="both"/>
        <w:rPr>
          <w:sz w:val="20"/>
          <w:szCs w:val="20"/>
        </w:rPr>
      </w:pPr>
    </w:p>
    <w:p w14:paraId="2A880157" w14:textId="64D91EA6" w:rsidR="00C67C8B" w:rsidRDefault="00E37FCB" w:rsidP="00C67C8B">
      <w:pPr>
        <w:pStyle w:val="Prrafodelista"/>
        <w:numPr>
          <w:ilvl w:val="0"/>
          <w:numId w:val="7"/>
        </w:numPr>
        <w:spacing w:after="160" w:line="259" w:lineRule="auto"/>
        <w:ind w:left="360"/>
        <w:jc w:val="both"/>
        <w:rPr>
          <w:sz w:val="20"/>
          <w:szCs w:val="20"/>
        </w:rPr>
      </w:pPr>
      <w:r w:rsidRPr="00E37FCB">
        <w:rPr>
          <w:caps/>
          <w:sz w:val="20"/>
          <w:szCs w:val="20"/>
        </w:rPr>
        <w:t>Vázquez de Castro</w:t>
      </w:r>
      <w:r w:rsidRPr="00E37FCB">
        <w:rPr>
          <w:sz w:val="20"/>
          <w:szCs w:val="20"/>
        </w:rPr>
        <w:t xml:space="preserve">, E. y </w:t>
      </w:r>
      <w:r w:rsidRPr="00E37FCB">
        <w:rPr>
          <w:caps/>
          <w:sz w:val="20"/>
          <w:szCs w:val="20"/>
        </w:rPr>
        <w:t>Estancona Pérez</w:t>
      </w:r>
      <w:r w:rsidRPr="00E37FCB">
        <w:rPr>
          <w:sz w:val="20"/>
          <w:szCs w:val="20"/>
        </w:rPr>
        <w:t xml:space="preserve">, A. A., </w:t>
      </w:r>
      <w:r w:rsidRPr="00E37FCB">
        <w:rPr>
          <w:sz w:val="20"/>
          <w:szCs w:val="20"/>
        </w:rPr>
        <w:t>Mecanismos de defensa del</w:t>
      </w:r>
      <w:r w:rsidRPr="00E37FCB">
        <w:rPr>
          <w:sz w:val="20"/>
          <w:szCs w:val="20"/>
        </w:rPr>
        <w:t xml:space="preserve"> deudor hipotecario de vivienda</w:t>
      </w:r>
      <w:r w:rsidRPr="00E37FCB">
        <w:rPr>
          <w:sz w:val="20"/>
          <w:szCs w:val="20"/>
        </w:rPr>
        <w:t>,</w:t>
      </w:r>
      <w:r w:rsidRPr="00E37FCB">
        <w:rPr>
          <w:sz w:val="20"/>
          <w:szCs w:val="20"/>
        </w:rPr>
        <w:t xml:space="preserve"> </w:t>
      </w:r>
      <w:r w:rsidRPr="00E37FCB">
        <w:rPr>
          <w:sz w:val="20"/>
          <w:szCs w:val="20"/>
        </w:rPr>
        <w:t>Thomson Reuters Aranzadi,</w:t>
      </w:r>
      <w:r w:rsidRPr="00E37FCB">
        <w:rPr>
          <w:sz w:val="20"/>
          <w:szCs w:val="20"/>
        </w:rPr>
        <w:t xml:space="preserve"> </w:t>
      </w:r>
      <w:proofErr w:type="spellStart"/>
      <w:r w:rsidRPr="00E37FCB">
        <w:rPr>
          <w:sz w:val="20"/>
          <w:szCs w:val="20"/>
        </w:rPr>
        <w:t>Cizur</w:t>
      </w:r>
      <w:proofErr w:type="spellEnd"/>
      <w:r w:rsidRPr="00E37FCB">
        <w:rPr>
          <w:sz w:val="20"/>
          <w:szCs w:val="20"/>
        </w:rPr>
        <w:t xml:space="preserve"> Menor, 2021, 474 </w:t>
      </w:r>
      <w:proofErr w:type="spellStart"/>
      <w:r w:rsidRPr="00E37FCB">
        <w:rPr>
          <w:sz w:val="20"/>
          <w:szCs w:val="20"/>
        </w:rPr>
        <w:t>pgs</w:t>
      </w:r>
      <w:proofErr w:type="spellEnd"/>
      <w:r w:rsidRPr="00E37FCB">
        <w:rPr>
          <w:sz w:val="20"/>
          <w:szCs w:val="20"/>
        </w:rPr>
        <w:t xml:space="preserve"> (</w:t>
      </w:r>
      <w:r w:rsidRPr="00E37FCB">
        <w:rPr>
          <w:sz w:val="20"/>
          <w:szCs w:val="20"/>
        </w:rPr>
        <w:t xml:space="preserve">prólogo </w:t>
      </w:r>
      <w:r>
        <w:rPr>
          <w:sz w:val="20"/>
          <w:szCs w:val="20"/>
        </w:rPr>
        <w:t xml:space="preserve">realizado por Carlos </w:t>
      </w:r>
      <w:proofErr w:type="spellStart"/>
      <w:r>
        <w:rPr>
          <w:sz w:val="20"/>
          <w:szCs w:val="20"/>
        </w:rPr>
        <w:t>Ballugera</w:t>
      </w:r>
      <w:proofErr w:type="spellEnd"/>
      <w:r>
        <w:rPr>
          <w:sz w:val="20"/>
          <w:szCs w:val="20"/>
        </w:rPr>
        <w:t xml:space="preserve"> Gómez). </w:t>
      </w:r>
    </w:p>
    <w:p w14:paraId="62B3254E" w14:textId="77777777" w:rsidR="00E37FCB" w:rsidRPr="00E37FCB" w:rsidRDefault="00E37FCB" w:rsidP="00E37FCB">
      <w:pPr>
        <w:pStyle w:val="Prrafodelista"/>
        <w:spacing w:after="160" w:line="259" w:lineRule="auto"/>
        <w:ind w:left="360"/>
        <w:jc w:val="both"/>
        <w:rPr>
          <w:sz w:val="20"/>
          <w:szCs w:val="20"/>
        </w:rPr>
      </w:pPr>
    </w:p>
    <w:p w14:paraId="3EA825C5"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Vela Torres,</w:t>
      </w:r>
      <w:r w:rsidRPr="001B2902">
        <w:rPr>
          <w:sz w:val="20"/>
          <w:szCs w:val="20"/>
        </w:rPr>
        <w:t xml:space="preserve"> Pedro José. “Nulidad de la cláusula que atribuía al consumidor el pago de todos los gastos del préstamo hipotecario y condena a la entidad bancaria a su reintegro”: </w:t>
      </w:r>
      <w:r w:rsidRPr="001B2902">
        <w:rPr>
          <w:i/>
          <w:iCs/>
          <w:sz w:val="20"/>
          <w:szCs w:val="20"/>
        </w:rPr>
        <w:t>Diario La Ley</w:t>
      </w:r>
      <w:r w:rsidRPr="001B2902">
        <w:rPr>
          <w:sz w:val="20"/>
          <w:szCs w:val="20"/>
        </w:rPr>
        <w:t>, Nº 9809, 2021.</w:t>
      </w:r>
    </w:p>
    <w:p w14:paraId="53BDD520" w14:textId="77777777" w:rsidR="00C67C8B" w:rsidRPr="001B2902" w:rsidRDefault="00C67C8B" w:rsidP="00C67C8B">
      <w:pPr>
        <w:pStyle w:val="Prrafodelista"/>
        <w:ind w:left="360"/>
        <w:jc w:val="both"/>
        <w:rPr>
          <w:sz w:val="20"/>
          <w:szCs w:val="20"/>
        </w:rPr>
      </w:pPr>
    </w:p>
    <w:p w14:paraId="34A60F4E"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Vela Torres</w:t>
      </w:r>
      <w:r w:rsidRPr="001B2902">
        <w:rPr>
          <w:sz w:val="20"/>
          <w:szCs w:val="20"/>
        </w:rPr>
        <w:t xml:space="preserve">, Pedro José. “Préstamo hipotecario con consumidores: condena a entidad bancaria al pago de las costas de la primera instancia, pese a haberse allanado a la demanda, por desatender previamente una reclamación extrajudicial”: </w:t>
      </w:r>
      <w:r w:rsidRPr="001B2902">
        <w:rPr>
          <w:i/>
          <w:iCs/>
          <w:sz w:val="20"/>
          <w:szCs w:val="20"/>
        </w:rPr>
        <w:t>Diario La Ley</w:t>
      </w:r>
      <w:r w:rsidRPr="001B2902">
        <w:rPr>
          <w:sz w:val="20"/>
          <w:szCs w:val="20"/>
        </w:rPr>
        <w:t xml:space="preserve">, Nº 9815, 2021. </w:t>
      </w:r>
    </w:p>
    <w:p w14:paraId="61A605A4" w14:textId="77777777" w:rsidR="00C67C8B" w:rsidRPr="001B2902" w:rsidRDefault="00C67C8B" w:rsidP="00C67C8B">
      <w:pPr>
        <w:pStyle w:val="Prrafodelista"/>
        <w:ind w:left="360"/>
        <w:jc w:val="both"/>
        <w:rPr>
          <w:sz w:val="20"/>
          <w:szCs w:val="20"/>
        </w:rPr>
      </w:pPr>
    </w:p>
    <w:p w14:paraId="39334A68"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caps/>
          <w:sz w:val="20"/>
          <w:szCs w:val="20"/>
        </w:rPr>
        <w:t>Yáñez de Andrés</w:t>
      </w:r>
      <w:r w:rsidRPr="001B2902">
        <w:rPr>
          <w:sz w:val="20"/>
          <w:szCs w:val="20"/>
        </w:rPr>
        <w:t xml:space="preserve">, Aquilino. “Restitución de prestaciones en los contratos bancarios abusivos. Plazo de ejercicio”: </w:t>
      </w:r>
      <w:r w:rsidRPr="001B2902">
        <w:rPr>
          <w:i/>
          <w:iCs/>
          <w:sz w:val="20"/>
          <w:szCs w:val="20"/>
        </w:rPr>
        <w:t>Diario La Ley</w:t>
      </w:r>
      <w:r w:rsidRPr="001B2902">
        <w:rPr>
          <w:sz w:val="20"/>
          <w:szCs w:val="20"/>
        </w:rPr>
        <w:t xml:space="preserve">, Nº 9813, 2021. </w:t>
      </w:r>
    </w:p>
    <w:p w14:paraId="7FBA4BD9" w14:textId="77777777" w:rsidR="00C67C8B" w:rsidRPr="001B2902" w:rsidRDefault="00C67C8B" w:rsidP="00C67C8B">
      <w:pPr>
        <w:pStyle w:val="Prrafodelista"/>
        <w:ind w:left="360"/>
        <w:jc w:val="both"/>
        <w:rPr>
          <w:sz w:val="20"/>
          <w:szCs w:val="20"/>
        </w:rPr>
      </w:pPr>
    </w:p>
    <w:p w14:paraId="28FCBC65" w14:textId="77777777" w:rsidR="00C67C8B" w:rsidRPr="001B2902" w:rsidRDefault="00C67C8B" w:rsidP="00C67C8B">
      <w:pPr>
        <w:pStyle w:val="Prrafodelista"/>
        <w:numPr>
          <w:ilvl w:val="0"/>
          <w:numId w:val="7"/>
        </w:numPr>
        <w:spacing w:after="160" w:line="259" w:lineRule="auto"/>
        <w:ind w:left="360"/>
        <w:jc w:val="both"/>
        <w:rPr>
          <w:sz w:val="20"/>
          <w:szCs w:val="20"/>
        </w:rPr>
      </w:pPr>
      <w:r w:rsidRPr="001B2902">
        <w:rPr>
          <w:sz w:val="20"/>
          <w:szCs w:val="20"/>
        </w:rPr>
        <w:t xml:space="preserve">YÁÑEZ VIVERO, Fátima. “La exclusión de la vivienda habitual hipotecada en el plan de liquidación. Una creación judicial al margen de la ley y la necesidad de reactivar un derecho </w:t>
      </w:r>
      <w:proofErr w:type="spellStart"/>
      <w:r w:rsidRPr="001B2902">
        <w:rPr>
          <w:sz w:val="20"/>
          <w:szCs w:val="20"/>
        </w:rPr>
        <w:t>paraconcursal</w:t>
      </w:r>
      <w:proofErr w:type="spellEnd"/>
      <w:r w:rsidRPr="001B2902">
        <w:rPr>
          <w:sz w:val="20"/>
          <w:szCs w:val="20"/>
        </w:rPr>
        <w:t xml:space="preserve">”: </w:t>
      </w:r>
      <w:r w:rsidRPr="001B2902">
        <w:rPr>
          <w:i/>
          <w:iCs/>
          <w:sz w:val="20"/>
          <w:szCs w:val="20"/>
        </w:rPr>
        <w:t>Revista de Derecho Civil</w:t>
      </w:r>
      <w:r w:rsidRPr="001B2902">
        <w:rPr>
          <w:sz w:val="20"/>
          <w:szCs w:val="20"/>
        </w:rPr>
        <w:t xml:space="preserve">, Vol. 8, Nº. 1 (enero-marzo), 2021, págs. 1-49. </w:t>
      </w:r>
    </w:p>
    <w:p w14:paraId="3A6BA771" w14:textId="77777777" w:rsidR="00CE63DC" w:rsidRDefault="00CE63DC" w:rsidP="00673A7C">
      <w:pPr>
        <w:rPr>
          <w:rFonts w:cstheme="minorHAnsi"/>
          <w:sz w:val="20"/>
          <w:szCs w:val="20"/>
        </w:rPr>
      </w:pPr>
    </w:p>
    <w:p w14:paraId="4F035DEF" w14:textId="77777777" w:rsidR="00CE63DC" w:rsidRDefault="00CE63DC" w:rsidP="00CE63DC">
      <w:pPr>
        <w:rPr>
          <w:rFonts w:cstheme="minorHAnsi"/>
          <w:sz w:val="20"/>
          <w:szCs w:val="20"/>
        </w:rPr>
      </w:pPr>
    </w:p>
    <w:p w14:paraId="4F378964" w14:textId="77777777" w:rsidR="00CE63DC" w:rsidRDefault="00CE63DC" w:rsidP="00CE63DC">
      <w:pPr>
        <w:rPr>
          <w:rFonts w:cstheme="minorHAnsi"/>
          <w:sz w:val="20"/>
          <w:szCs w:val="20"/>
        </w:rPr>
      </w:pPr>
    </w:p>
    <w:p w14:paraId="209EACED" w14:textId="77777777" w:rsidR="00CE63DC" w:rsidRDefault="00CE63DC" w:rsidP="00CE63DC">
      <w:pPr>
        <w:rPr>
          <w:rFonts w:cstheme="minorHAnsi"/>
          <w:sz w:val="20"/>
          <w:szCs w:val="20"/>
        </w:rPr>
      </w:pPr>
    </w:p>
    <w:p w14:paraId="025CD3A6" w14:textId="77777777" w:rsidR="00CE63DC" w:rsidRDefault="00CE63DC" w:rsidP="00CE63DC">
      <w:pPr>
        <w:rPr>
          <w:rFonts w:cstheme="minorHAnsi"/>
          <w:sz w:val="20"/>
          <w:szCs w:val="20"/>
        </w:rPr>
      </w:pPr>
    </w:p>
    <w:p w14:paraId="7468D554" w14:textId="13DEE453" w:rsidR="00B55B74" w:rsidRDefault="00B55B74" w:rsidP="00CE63DC">
      <w:pPr>
        <w:rPr>
          <w:rFonts w:cstheme="minorHAnsi"/>
          <w:sz w:val="20"/>
          <w:szCs w:val="20"/>
        </w:rPr>
      </w:pPr>
    </w:p>
    <w:p w14:paraId="68E9F920" w14:textId="73072A92" w:rsidR="00C67C8B" w:rsidRDefault="00C67C8B" w:rsidP="00CE63DC">
      <w:pPr>
        <w:rPr>
          <w:rFonts w:cstheme="minorHAnsi"/>
          <w:sz w:val="20"/>
          <w:szCs w:val="20"/>
        </w:rPr>
      </w:pPr>
    </w:p>
    <w:p w14:paraId="74F91D18" w14:textId="13DE1DE1" w:rsidR="00C67C8B" w:rsidRDefault="00C67C8B" w:rsidP="00CE63DC">
      <w:pPr>
        <w:rPr>
          <w:rFonts w:cstheme="minorHAnsi"/>
          <w:sz w:val="20"/>
          <w:szCs w:val="20"/>
        </w:rPr>
      </w:pPr>
    </w:p>
    <w:p w14:paraId="3BE8FA80" w14:textId="77777777" w:rsidR="00CE63DC" w:rsidRDefault="00CE63DC" w:rsidP="00E37FCB">
      <w:pPr>
        <w:spacing w:beforeLines="100" w:before="240" w:afterLines="100" w:after="240"/>
        <w:rPr>
          <w:sz w:val="16"/>
          <w:szCs w:val="16"/>
        </w:rPr>
      </w:pPr>
    </w:p>
    <w:p w14:paraId="73DED83D" w14:textId="77777777" w:rsidR="003F49BB" w:rsidRPr="003F49BB" w:rsidRDefault="003F49BB" w:rsidP="003F49BB">
      <w:pPr>
        <w:spacing w:beforeLines="100" w:before="240" w:afterLines="100" w:after="240"/>
        <w:jc w:val="center"/>
        <w:rPr>
          <w:sz w:val="16"/>
          <w:szCs w:val="16"/>
        </w:rPr>
      </w:pPr>
      <w:r w:rsidRPr="003F49BB">
        <w:rPr>
          <w:sz w:val="16"/>
          <w:szCs w:val="16"/>
        </w:rPr>
        <w:t>Si algún autor, profesional o investigador conoce la publicación de algún trabajo sobre Derecho y consumo, puede facilitarnos la referencia para publicarlo dentro del presente in</w:t>
      </w:r>
      <w:r>
        <w:rPr>
          <w:sz w:val="16"/>
          <w:szCs w:val="16"/>
        </w:rPr>
        <w:t xml:space="preserve">forme, </w:t>
      </w:r>
      <w:r w:rsidRPr="003F49BB">
        <w:rPr>
          <w:sz w:val="16"/>
          <w:szCs w:val="16"/>
        </w:rPr>
        <w:t>en el periodo correspondiente.</w:t>
      </w:r>
    </w:p>
    <w:sectPr w:rsidR="003F49BB" w:rsidRPr="003F49BB" w:rsidSect="000562B1">
      <w:footerReference w:type="default" r:id="rId11"/>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EF8E5" w14:textId="77777777" w:rsidR="000B1FD9" w:rsidRDefault="000B1FD9" w:rsidP="000562B1">
      <w:pPr>
        <w:spacing w:after="0" w:line="240" w:lineRule="auto"/>
      </w:pPr>
      <w:r>
        <w:separator/>
      </w:r>
    </w:p>
  </w:endnote>
  <w:endnote w:type="continuationSeparator" w:id="0">
    <w:p w14:paraId="4ABA078C" w14:textId="77777777" w:rsidR="000B1FD9" w:rsidRDefault="000B1FD9"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63187"/>
      <w:docPartObj>
        <w:docPartGallery w:val="Page Numbers (Bottom of Page)"/>
        <w:docPartUnique/>
      </w:docPartObj>
    </w:sdtPr>
    <w:sdtEndPr>
      <w:rPr>
        <w:rFonts w:cstheme="minorHAnsi"/>
      </w:rPr>
    </w:sdtEndPr>
    <w:sdtContent>
      <w:p w14:paraId="63290595" w14:textId="78B73C81"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F3352D">
          <w:rPr>
            <w:rFonts w:cstheme="minorHAnsi"/>
            <w:noProof/>
          </w:rPr>
          <w:t>1</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AE12D" w14:textId="77777777" w:rsidR="000B1FD9" w:rsidRDefault="000B1FD9" w:rsidP="000562B1">
      <w:pPr>
        <w:spacing w:after="0" w:line="240" w:lineRule="auto"/>
      </w:pPr>
      <w:r>
        <w:separator/>
      </w:r>
    </w:p>
  </w:footnote>
  <w:footnote w:type="continuationSeparator" w:id="0">
    <w:p w14:paraId="141B54FF" w14:textId="77777777" w:rsidR="000B1FD9" w:rsidRDefault="000B1FD9" w:rsidP="000562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8D6"/>
    <w:rsid w:val="00020F4E"/>
    <w:rsid w:val="000562B1"/>
    <w:rsid w:val="000B1FD9"/>
    <w:rsid w:val="0012310A"/>
    <w:rsid w:val="001342BF"/>
    <w:rsid w:val="0017035A"/>
    <w:rsid w:val="00181687"/>
    <w:rsid w:val="001B39D6"/>
    <w:rsid w:val="001E467C"/>
    <w:rsid w:val="00226C2F"/>
    <w:rsid w:val="002321F9"/>
    <w:rsid w:val="0024425F"/>
    <w:rsid w:val="002920B4"/>
    <w:rsid w:val="002C3D5D"/>
    <w:rsid w:val="00326C94"/>
    <w:rsid w:val="003662F8"/>
    <w:rsid w:val="003C7E66"/>
    <w:rsid w:val="003E66AA"/>
    <w:rsid w:val="003F49BB"/>
    <w:rsid w:val="003F4BCA"/>
    <w:rsid w:val="00410FE1"/>
    <w:rsid w:val="004158D3"/>
    <w:rsid w:val="00474518"/>
    <w:rsid w:val="004D794A"/>
    <w:rsid w:val="0051297C"/>
    <w:rsid w:val="005524C4"/>
    <w:rsid w:val="005527B0"/>
    <w:rsid w:val="005B7019"/>
    <w:rsid w:val="005E340F"/>
    <w:rsid w:val="005F0DEC"/>
    <w:rsid w:val="005F1DFB"/>
    <w:rsid w:val="005F3752"/>
    <w:rsid w:val="00633110"/>
    <w:rsid w:val="00656A1A"/>
    <w:rsid w:val="00673A7C"/>
    <w:rsid w:val="006B172C"/>
    <w:rsid w:val="007C2FE3"/>
    <w:rsid w:val="00816AAB"/>
    <w:rsid w:val="008251E3"/>
    <w:rsid w:val="00827C04"/>
    <w:rsid w:val="00846866"/>
    <w:rsid w:val="008D2AC3"/>
    <w:rsid w:val="008D6849"/>
    <w:rsid w:val="00916F83"/>
    <w:rsid w:val="00923CBC"/>
    <w:rsid w:val="0093649B"/>
    <w:rsid w:val="009432D4"/>
    <w:rsid w:val="00952BF5"/>
    <w:rsid w:val="009E7932"/>
    <w:rsid w:val="00A00862"/>
    <w:rsid w:val="00A178D6"/>
    <w:rsid w:val="00A21DDE"/>
    <w:rsid w:val="00A535EC"/>
    <w:rsid w:val="00A95CE0"/>
    <w:rsid w:val="00B00158"/>
    <w:rsid w:val="00B03532"/>
    <w:rsid w:val="00B065EF"/>
    <w:rsid w:val="00B30894"/>
    <w:rsid w:val="00B40032"/>
    <w:rsid w:val="00B42623"/>
    <w:rsid w:val="00B44604"/>
    <w:rsid w:val="00B55B74"/>
    <w:rsid w:val="00B917BF"/>
    <w:rsid w:val="00BE3615"/>
    <w:rsid w:val="00C41A52"/>
    <w:rsid w:val="00C45C39"/>
    <w:rsid w:val="00C61347"/>
    <w:rsid w:val="00C660D0"/>
    <w:rsid w:val="00C67BF4"/>
    <w:rsid w:val="00C67C8B"/>
    <w:rsid w:val="00C943B2"/>
    <w:rsid w:val="00C97832"/>
    <w:rsid w:val="00CB0586"/>
    <w:rsid w:val="00CB74D6"/>
    <w:rsid w:val="00CE63DC"/>
    <w:rsid w:val="00D047C2"/>
    <w:rsid w:val="00D166C3"/>
    <w:rsid w:val="00D364FB"/>
    <w:rsid w:val="00D37249"/>
    <w:rsid w:val="00D827B7"/>
    <w:rsid w:val="00D94A8E"/>
    <w:rsid w:val="00DA30E6"/>
    <w:rsid w:val="00DC326F"/>
    <w:rsid w:val="00DC3841"/>
    <w:rsid w:val="00E37172"/>
    <w:rsid w:val="00E37FCB"/>
    <w:rsid w:val="00E618E3"/>
    <w:rsid w:val="00E7533D"/>
    <w:rsid w:val="00E843AB"/>
    <w:rsid w:val="00E86324"/>
    <w:rsid w:val="00EB1274"/>
    <w:rsid w:val="00EE05FD"/>
    <w:rsid w:val="00F3352D"/>
    <w:rsid w:val="00FA6DED"/>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F97B5-62A5-4DCF-97EA-7963E43D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2620</Words>
  <Characters>14416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JESUS BASTANTE GONZALEZ</cp:lastModifiedBy>
  <cp:revision>15</cp:revision>
  <cp:lastPrinted>2021-04-26T09:11:00Z</cp:lastPrinted>
  <dcterms:created xsi:type="dcterms:W3CDTF">2021-04-10T10:29:00Z</dcterms:created>
  <dcterms:modified xsi:type="dcterms:W3CDTF">2021-04-26T09:30:00Z</dcterms:modified>
</cp:coreProperties>
</file>