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D5E329" w14:textId="77777777" w:rsidR="00656A1A" w:rsidRDefault="00DA30E6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6432" behindDoc="1" locked="0" layoutInCell="1" allowOverlap="1" wp14:anchorId="471A90E6" wp14:editId="6135A164">
            <wp:simplePos x="0" y="0"/>
            <wp:positionH relativeFrom="column">
              <wp:posOffset>-1080135</wp:posOffset>
            </wp:positionH>
            <wp:positionV relativeFrom="paragraph">
              <wp:posOffset>-899795</wp:posOffset>
            </wp:positionV>
            <wp:extent cx="7560860" cy="10708052"/>
            <wp:effectExtent l="0" t="0" r="2540" b="0"/>
            <wp:wrapNone/>
            <wp:docPr id="2" name="Imagen 2" descr="C:\Users\Jesus\Downloads\Red and Grayscale Corporate Company Annual Repor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us\Downloads\Red and Grayscale Corporate Company Annual Report (7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88" cy="107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86F4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E524A1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5F136E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D376D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882B77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9C48A1A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3F2BA5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1E2C271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D715D" wp14:editId="2472D62D">
                <wp:simplePos x="0" y="0"/>
                <wp:positionH relativeFrom="column">
                  <wp:posOffset>-697998</wp:posOffset>
                </wp:positionH>
                <wp:positionV relativeFrom="paragraph">
                  <wp:posOffset>76427</wp:posOffset>
                </wp:positionV>
                <wp:extent cx="6236970" cy="5117911"/>
                <wp:effectExtent l="0" t="0" r="0" b="698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6970" cy="5117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36CF4" w14:textId="16825237" w:rsidR="001F7F10" w:rsidRDefault="001F7F10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Abril-Junio</w:t>
                            </w: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2EB7BD8F" w14:textId="77777777" w:rsidR="001F7F10" w:rsidRPr="00D37249" w:rsidRDefault="001F7F10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59EFE686" w14:textId="77777777" w:rsidR="001F7F10" w:rsidRPr="00D37249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37249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>INFORME</w:t>
                            </w:r>
                          </w:p>
                          <w:p w14:paraId="636B78C5" w14:textId="77777777" w:rsidR="001F7F10" w:rsidRPr="005F1DFB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DERECHO Y CONSUMO (BIBLIOGRAFÍ</w:t>
                            </w:r>
                            <w:r w:rsidRPr="005F1DFB">
                              <w:rPr>
                                <w:rFonts w:ascii="Segoe UI" w:hAnsi="Segoe UI" w:cs="Segoe UI"/>
                                <w:b/>
                                <w:sz w:val="36"/>
                                <w:szCs w:val="36"/>
                              </w:rPr>
                              <w:t>A)</w:t>
                            </w:r>
                          </w:p>
                          <w:p w14:paraId="2D051275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6A1D3C4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7945E80E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9E469D5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1ABCD6E4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598C9961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1E5130E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C18BA61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6BB30137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D4293FD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0E34383D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b/>
                              </w:rPr>
                            </w:pPr>
                          </w:p>
                          <w:p w14:paraId="045E4226" w14:textId="77777777" w:rsidR="001F7F10" w:rsidRPr="00EE05FD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Víctor Bastante </w:t>
                            </w:r>
                            <w:proofErr w:type="spellStart"/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Granell</w:t>
                            </w:r>
                            <w:proofErr w:type="spellEnd"/>
                            <w:r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F1C51F2" w14:textId="77777777" w:rsidR="001F7F10" w:rsidRPr="00EE05FD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 xml:space="preserve">Profesor Ayudante Doctor. </w:t>
                            </w:r>
                          </w:p>
                          <w:p w14:paraId="6C8075D8" w14:textId="77777777" w:rsidR="001F7F10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</w:pPr>
                            <w:r w:rsidRPr="00EE05FD">
                              <w:rPr>
                                <w:rFonts w:ascii="Segoe UI" w:hAnsi="Segoe UI" w:cs="Segoe UI"/>
                                <w:sz w:val="20"/>
                                <w:szCs w:val="20"/>
                              </w:rPr>
                              <w:t>Universidad de Almería.</w:t>
                            </w:r>
                          </w:p>
                          <w:p w14:paraId="1735E3DF" w14:textId="77777777" w:rsidR="001F7F10" w:rsidRPr="003F49BB" w:rsidRDefault="001F7F10" w:rsidP="005F1DFB">
                            <w:pPr>
                              <w:spacing w:after="0" w:line="240" w:lineRule="auto"/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</w:pPr>
                            <w:r w:rsidRPr="003F49BB">
                              <w:rPr>
                                <w:rFonts w:ascii="Segoe UI" w:hAnsi="Segoe UI" w:cs="Segoe UI"/>
                                <w:i/>
                                <w:sz w:val="20"/>
                                <w:szCs w:val="20"/>
                              </w:rPr>
                              <w:t>vbg415@ual.es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54.95pt;margin-top:6pt;width:491.1pt;height:4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" filled="f" stroked="f" strokeweight=".5pt">
                <v:textbox>
                  <w:txbxContent>
                    <w:p w14:paraId="4D436CF4" w14:textId="16825237" w:rsidR="001F7F10" w:rsidRDefault="001F7F10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Abril-Junio</w:t>
                      </w: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202</w:t>
                      </w: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</w:p>
                    <w:p w14:paraId="2EB7BD8F" w14:textId="77777777" w:rsidR="001F7F10" w:rsidRPr="00D37249" w:rsidRDefault="001F7F10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59EFE686" w14:textId="77777777" w:rsidR="001F7F10" w:rsidRPr="00D37249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</w:pPr>
                      <w:r w:rsidRPr="00D37249">
                        <w:rPr>
                          <w:rFonts w:ascii="Segoe UI" w:hAnsi="Segoe UI" w:cs="Segoe UI"/>
                          <w:b/>
                          <w:color w:val="FFFFFF" w:themeColor="background1"/>
                          <w:sz w:val="96"/>
                          <w:szCs w:val="96"/>
                        </w:rPr>
                        <w:t>INFORME</w:t>
                      </w:r>
                    </w:p>
                    <w:p w14:paraId="636B78C5" w14:textId="77777777" w:rsidR="001F7F10" w:rsidRPr="005F1DFB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DERECHO Y CONSUMO (BIBLIOGRAFÍ</w:t>
                      </w:r>
                      <w:r w:rsidRPr="005F1DFB">
                        <w:rPr>
                          <w:rFonts w:ascii="Segoe UI" w:hAnsi="Segoe UI" w:cs="Segoe UI"/>
                          <w:b/>
                          <w:sz w:val="36"/>
                          <w:szCs w:val="36"/>
                        </w:rPr>
                        <w:t>A)</w:t>
                      </w:r>
                    </w:p>
                    <w:p w14:paraId="2D051275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6A1D3C4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7945E80E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9E469D5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1ABCD6E4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598C9961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1E5130E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C18BA61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6BB30137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4D4293FD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  <w:color w:val="FFFFFF" w:themeColor="background1"/>
                        </w:rPr>
                      </w:pPr>
                    </w:p>
                    <w:p w14:paraId="0E34383D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b/>
                        </w:rPr>
                      </w:pPr>
                    </w:p>
                    <w:p w14:paraId="045E4226" w14:textId="77777777" w:rsidR="001F7F10" w:rsidRPr="00EE05FD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Víctor Bastante </w:t>
                      </w:r>
                      <w:proofErr w:type="spellStart"/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Granell</w:t>
                      </w:r>
                      <w:proofErr w:type="spellEnd"/>
                      <w:r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F1C51F2" w14:textId="77777777" w:rsidR="001F7F10" w:rsidRPr="00EE05FD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 xml:space="preserve">Profesor Ayudante Doctor. </w:t>
                      </w:r>
                    </w:p>
                    <w:p w14:paraId="6C8075D8" w14:textId="77777777" w:rsidR="001F7F10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sz w:val="20"/>
                          <w:szCs w:val="20"/>
                        </w:rPr>
                      </w:pPr>
                      <w:r w:rsidRPr="00EE05FD">
                        <w:rPr>
                          <w:rFonts w:ascii="Segoe UI" w:hAnsi="Segoe UI" w:cs="Segoe UI"/>
                          <w:sz w:val="20"/>
                          <w:szCs w:val="20"/>
                        </w:rPr>
                        <w:t>Universidad de Almería.</w:t>
                      </w:r>
                    </w:p>
                    <w:p w14:paraId="1735E3DF" w14:textId="77777777" w:rsidR="001F7F10" w:rsidRPr="003F49BB" w:rsidRDefault="001F7F10" w:rsidP="005F1DFB">
                      <w:pPr>
                        <w:spacing w:after="0" w:line="240" w:lineRule="auto"/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</w:pPr>
                      <w:r w:rsidRPr="003F49BB">
                        <w:rPr>
                          <w:rFonts w:ascii="Segoe UI" w:hAnsi="Segoe UI" w:cs="Segoe UI"/>
                          <w:i/>
                          <w:sz w:val="20"/>
                          <w:szCs w:val="20"/>
                        </w:rPr>
                        <w:t>vbg415@ual.es</w:t>
                      </w:r>
                    </w:p>
                  </w:txbxContent>
                </v:textbox>
              </v:shape>
            </w:pict>
          </mc:Fallback>
        </mc:AlternateContent>
      </w:r>
    </w:p>
    <w:p w14:paraId="634A3D0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214C09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12D226B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B8E3A3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A5D080F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1E0AEF6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48E4477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00E5561C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9253195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22EC10ED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5552136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8BF8FA4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77F66103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41F4B982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647D8F29" w14:textId="77777777" w:rsidR="00D37249" w:rsidRDefault="00D37249" w:rsidP="00656A1A">
      <w:pPr>
        <w:spacing w:beforeLines="100" w:before="240" w:afterLines="100" w:after="240"/>
        <w:jc w:val="center"/>
        <w:rPr>
          <w:noProof/>
          <w:lang w:eastAsia="es-ES"/>
        </w:rPr>
      </w:pPr>
    </w:p>
    <w:p w14:paraId="3FE9F70E" w14:textId="77777777" w:rsidR="00D37249" w:rsidRDefault="005F0DEC" w:rsidP="00656A1A">
      <w:pPr>
        <w:spacing w:beforeLines="100" w:before="240" w:afterLines="100" w:after="240"/>
        <w:jc w:val="center"/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F4A92" wp14:editId="682CB527">
                <wp:simplePos x="0" y="0"/>
                <wp:positionH relativeFrom="column">
                  <wp:posOffset>5288354</wp:posOffset>
                </wp:positionH>
                <wp:positionV relativeFrom="paragraph">
                  <wp:posOffset>504175</wp:posOffset>
                </wp:positionV>
                <wp:extent cx="1190360" cy="786396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360" cy="786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130AB" w14:textId="77777777" w:rsidR="001F7F10" w:rsidRPr="005F0DEC" w:rsidRDefault="001F7F10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proofErr w:type="spellStart"/>
                            <w:r w:rsidRPr="005F0DEC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Cuadro de texto" o:spid="_x0000_s1027" type="#_x0000_t202" style="position:absolute;left:0;text-align:left;margin-left:416.4pt;margin-top:39.7pt;width:93.75pt;height:6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" filled="f" stroked="f" strokeweight=".5pt">
                <v:textbox>
                  <w:txbxContent>
                    <w:p w14:paraId="320130AB" w14:textId="77777777" w:rsidR="001F7F10" w:rsidRPr="005F0DEC" w:rsidRDefault="001F7F10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spellStart"/>
                      <w:r w:rsidRPr="005F0DEC">
                        <w:rPr>
                          <w:rFonts w:ascii="Monotype Corsiva" w:hAnsi="Monotype Corsiva"/>
                          <w:b/>
                          <w:color w:val="FFFFFF" w:themeColor="background1"/>
                          <w:sz w:val="72"/>
                          <w:szCs w:val="7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DB7A1CA" w14:textId="77777777" w:rsidR="00C660D0" w:rsidRDefault="000562B1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 w:rsidRP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w:lastRenderedPageBreak/>
        <w:drawing>
          <wp:anchor distT="0" distB="0" distL="114300" distR="114300" simplePos="0" relativeHeight="251662336" behindDoc="1" locked="0" layoutInCell="1" allowOverlap="1" wp14:anchorId="162E8B83" wp14:editId="12AADB1D">
            <wp:simplePos x="0" y="0"/>
            <wp:positionH relativeFrom="column">
              <wp:posOffset>-1048237</wp:posOffset>
            </wp:positionH>
            <wp:positionV relativeFrom="paragraph">
              <wp:posOffset>-889162</wp:posOffset>
            </wp:positionV>
            <wp:extent cx="7549116" cy="9803218"/>
            <wp:effectExtent l="0" t="0" r="0" b="7620"/>
            <wp:wrapNone/>
            <wp:docPr id="7" name="Imagen 7" descr="C:\Users\Jesus\Downloads\Red and Grayscale Corporate Company Annual Repo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esus\Downloads\Red and Grayscale Corporate Company Annual Report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116" cy="980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C2F">
        <w:rPr>
          <w:rFonts w:cstheme="minorHAnsi"/>
          <w:b/>
          <w:noProof/>
          <w:color w:val="FFFFFF" w:themeColor="background1"/>
          <w:sz w:val="32"/>
          <w:szCs w:val="32"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A495B1" wp14:editId="280F7CF2">
                <wp:simplePos x="0" y="0"/>
                <wp:positionH relativeFrom="column">
                  <wp:posOffset>1120775</wp:posOffset>
                </wp:positionH>
                <wp:positionV relativeFrom="paragraph">
                  <wp:posOffset>-218307</wp:posOffset>
                </wp:positionV>
                <wp:extent cx="3466213" cy="1073889"/>
                <wp:effectExtent l="0" t="0" r="0" b="0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213" cy="1073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98AFD" w14:textId="77777777" w:rsidR="001F7F10" w:rsidRPr="00226C2F" w:rsidRDefault="001F7F10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I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NFORME</w:t>
                            </w:r>
                          </w:p>
                          <w:p w14:paraId="7A65D15E" w14:textId="77777777" w:rsidR="001F7F10" w:rsidRPr="00226C2F" w:rsidRDefault="001F7F10" w:rsidP="00226C2F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DERECHO Y CONSUMO 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(BIBLIOGRAFÍA)</w:t>
                            </w:r>
                          </w:p>
                          <w:p w14:paraId="2F1DEB9A" w14:textId="77777777" w:rsidR="001F7F10" w:rsidRPr="005F0DEC" w:rsidRDefault="001F7F10" w:rsidP="00226C2F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29E42E84" w14:textId="386FEFD3" w:rsidR="001F7F10" w:rsidRPr="00226C2F" w:rsidRDefault="001F7F10" w:rsidP="00226C2F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Abril-Junio</w:t>
                            </w:r>
                            <w:r w:rsidRPr="00226C2F"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202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  <w:p w14:paraId="31D940F1" w14:textId="77777777" w:rsidR="001F7F10" w:rsidRDefault="001F7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28" type="#_x0000_t202" style="position:absolute;left:0;text-align:left;margin-left:88.25pt;margin-top:-17.2pt;width:272.95pt;height:8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" filled="f" stroked="f" strokeweight=".5pt">
                <v:textbox>
                  <w:txbxContent>
                    <w:p w14:paraId="22498AFD" w14:textId="77777777" w:rsidR="001F7F10" w:rsidRPr="00226C2F" w:rsidRDefault="001F7F10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I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32"/>
                        </w:rPr>
                        <w:t>NFORME</w:t>
                      </w:r>
                    </w:p>
                    <w:p w14:paraId="7A65D15E" w14:textId="77777777" w:rsidR="001F7F10" w:rsidRPr="00226C2F" w:rsidRDefault="001F7F10" w:rsidP="00226C2F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DERECHO Y CONSUMO </w:t>
                      </w:r>
                      <w:r w:rsidRPr="00226C2F">
                        <w:rPr>
                          <w:rFonts w:cstheme="minorHAnsi"/>
                          <w:b/>
                          <w:color w:val="000000" w:themeColor="text1"/>
                          <w:sz w:val="28"/>
                          <w:szCs w:val="28"/>
                        </w:rPr>
                        <w:t>(BIBLIOGRAFÍA)</w:t>
                      </w:r>
                    </w:p>
                    <w:p w14:paraId="2F1DEB9A" w14:textId="77777777" w:rsidR="001F7F10" w:rsidRPr="005F0DEC" w:rsidRDefault="001F7F10" w:rsidP="00226C2F">
                      <w:pPr>
                        <w:spacing w:after="0" w:line="240" w:lineRule="auto"/>
                        <w:rPr>
                          <w:rFonts w:cstheme="minorHAnsi"/>
                          <w:b/>
                          <w:color w:val="FFFFFF" w:themeColor="background1"/>
                        </w:rPr>
                      </w:pPr>
                    </w:p>
                    <w:p w14:paraId="29E42E84" w14:textId="386FEFD3" w:rsidR="001F7F10" w:rsidRPr="00226C2F" w:rsidRDefault="001F7F10" w:rsidP="00226C2F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Abril-Junio</w:t>
                      </w:r>
                      <w:r w:rsidRPr="00226C2F"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202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20"/>
                          <w:szCs w:val="20"/>
                        </w:rPr>
                        <w:t>1</w:t>
                      </w:r>
                    </w:p>
                    <w:p w14:paraId="31D940F1" w14:textId="77777777" w:rsidR="001F7F10" w:rsidRDefault="001F7F10"/>
                  </w:txbxContent>
                </v:textbox>
              </v:shape>
            </w:pict>
          </mc:Fallback>
        </mc:AlternateContent>
      </w:r>
    </w:p>
    <w:p w14:paraId="58C683B8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52B812AB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391AFD" wp14:editId="2ACD5C44">
                <wp:simplePos x="0" y="0"/>
                <wp:positionH relativeFrom="column">
                  <wp:posOffset>4331335</wp:posOffset>
                </wp:positionH>
                <wp:positionV relativeFrom="paragraph">
                  <wp:posOffset>71297</wp:posOffset>
                </wp:positionV>
                <wp:extent cx="659130" cy="477520"/>
                <wp:effectExtent l="0" t="0" r="0" b="0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DC319D" w14:textId="77777777" w:rsidR="001F7F10" w:rsidRPr="00226C2F" w:rsidRDefault="001F7F10" w:rsidP="00226C2F">
                            <w:pPr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226C2F">
                              <w:rPr>
                                <w:rFonts w:ascii="Monotype Corsiva" w:hAnsi="Monotype Corsiv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NyR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2 Cuadro de texto" o:spid="_x0000_s1029" type="#_x0000_t202" style="position:absolute;left:0;text-align:left;margin-left:341.05pt;margin-top:5.6pt;width:51.9pt;height:3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" filled="f" stroked="f" strokeweight=".5pt">
                <v:textbox>
                  <w:txbxContent>
                    <w:p w14:paraId="04DC319D" w14:textId="77777777" w:rsidR="001F7F10" w:rsidRPr="00226C2F" w:rsidRDefault="001F7F10" w:rsidP="00226C2F">
                      <w:pPr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226C2F">
                        <w:rPr>
                          <w:rFonts w:ascii="Monotype Corsiva" w:hAnsi="Monotype Corsiva"/>
                          <w:b/>
                          <w:color w:val="FFFFFF" w:themeColor="background1"/>
                          <w:sz w:val="32"/>
                          <w:szCs w:val="32"/>
                        </w:rPr>
                        <w:t>NyR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7AB10861" w14:textId="77777777" w:rsid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32"/>
          <w:szCs w:val="32"/>
        </w:rPr>
      </w:pPr>
    </w:p>
    <w:p w14:paraId="749B5E68" w14:textId="77777777" w:rsidR="00226C2F" w:rsidRPr="00226C2F" w:rsidRDefault="00226C2F" w:rsidP="00226C2F">
      <w:pPr>
        <w:spacing w:after="0" w:line="240" w:lineRule="auto"/>
        <w:jc w:val="center"/>
        <w:rPr>
          <w:rFonts w:cstheme="minorHAnsi"/>
          <w:b/>
          <w:color w:val="FFFFFF" w:themeColor="background1"/>
          <w:sz w:val="20"/>
          <w:szCs w:val="20"/>
        </w:rPr>
      </w:pPr>
    </w:p>
    <w:p w14:paraId="28AC6612" w14:textId="77777777" w:rsidR="001F7F10" w:rsidRDefault="001F7F10" w:rsidP="001F7F10">
      <w:pPr>
        <w:jc w:val="both"/>
        <w:rPr>
          <w:rFonts w:ascii="Segoe UI" w:hAnsi="Segoe UI" w:cs="Segoe UI"/>
          <w:b/>
          <w:color w:val="000000" w:themeColor="text1"/>
          <w:sz w:val="20"/>
          <w:szCs w:val="20"/>
        </w:rPr>
      </w:pPr>
    </w:p>
    <w:p w14:paraId="44A41055" w14:textId="77777777" w:rsidR="001F7F10" w:rsidRPr="001F7F10" w:rsidRDefault="001F7F10" w:rsidP="00740F3B">
      <w:pPr>
        <w:pStyle w:val="Prrafodelista"/>
        <w:numPr>
          <w:ilvl w:val="0"/>
          <w:numId w:val="9"/>
        </w:numPr>
        <w:ind w:left="360"/>
        <w:jc w:val="both"/>
        <w:rPr>
          <w:sz w:val="20"/>
          <w:szCs w:val="20"/>
        </w:rPr>
      </w:pPr>
      <w:r w:rsidRPr="001F7F10">
        <w:rPr>
          <w:caps/>
          <w:sz w:val="20"/>
          <w:szCs w:val="20"/>
        </w:rPr>
        <w:t>Abad Lloria</w:t>
      </w:r>
      <w:r w:rsidRPr="001F7F10">
        <w:rPr>
          <w:sz w:val="20"/>
          <w:szCs w:val="20"/>
        </w:rPr>
        <w:t xml:space="preserve">, Iván; </w:t>
      </w:r>
      <w:r w:rsidRPr="001F7F10">
        <w:rPr>
          <w:caps/>
          <w:sz w:val="20"/>
          <w:szCs w:val="20"/>
        </w:rPr>
        <w:t>Castillo Echevarría</w:t>
      </w:r>
      <w:r w:rsidRPr="001F7F10">
        <w:rPr>
          <w:sz w:val="20"/>
          <w:szCs w:val="20"/>
        </w:rPr>
        <w:t xml:space="preserve">, Rafael. “Las medidas de moratoria y reducción de renta aprobadas a resultas del COVID-19”: </w:t>
      </w:r>
      <w:r w:rsidRPr="001F7F10">
        <w:rPr>
          <w:i/>
          <w:sz w:val="20"/>
          <w:szCs w:val="20"/>
        </w:rPr>
        <w:t>Actualidad jurídica Uría Menéndez</w:t>
      </w:r>
      <w:r w:rsidRPr="001F7F10">
        <w:rPr>
          <w:sz w:val="20"/>
          <w:szCs w:val="20"/>
        </w:rPr>
        <w:t>, Nº. 55, 2021, págs. 126-150.</w:t>
      </w:r>
    </w:p>
    <w:p w14:paraId="6513575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20B2D0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Achón Bruñén</w:t>
      </w:r>
      <w:r w:rsidRPr="00BE09E4">
        <w:rPr>
          <w:sz w:val="20"/>
          <w:szCs w:val="20"/>
        </w:rPr>
        <w:t xml:space="preserve">, María José. “Problemas que plantean los intereses en las escrituras de hipoteca (usura, </w:t>
      </w:r>
      <w:proofErr w:type="spellStart"/>
      <w:r w:rsidRPr="00BE09E4">
        <w:rPr>
          <w:sz w:val="20"/>
          <w:szCs w:val="20"/>
        </w:rPr>
        <w:t>abusividad</w:t>
      </w:r>
      <w:proofErr w:type="spellEnd"/>
      <w:r w:rsidRPr="00BE09E4">
        <w:rPr>
          <w:sz w:val="20"/>
          <w:szCs w:val="20"/>
        </w:rPr>
        <w:t xml:space="preserve">, redondeo al alza, cálculo a 360 días, aplicación del índice IRPH)”: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9868, 2021.</w:t>
      </w:r>
    </w:p>
    <w:p w14:paraId="71CB3FC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D59C3A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Achón Bruñén</w:t>
      </w:r>
      <w:r w:rsidRPr="00BE09E4">
        <w:rPr>
          <w:sz w:val="20"/>
          <w:szCs w:val="20"/>
        </w:rPr>
        <w:t xml:space="preserve">, María José. “Ventajas y posibles problemas del Anteproyecto de Ley de Medidas de Eficiencia Procesal relativas a los Procesos de Nulidad por Cláusulas Abusivas”: </w:t>
      </w:r>
      <w:r w:rsidRPr="00BE09E4">
        <w:rPr>
          <w:i/>
          <w:sz w:val="20"/>
          <w:szCs w:val="20"/>
        </w:rPr>
        <w:t>Proceso civil: cuaderno jurídico</w:t>
      </w:r>
      <w:r w:rsidRPr="00BE09E4">
        <w:rPr>
          <w:sz w:val="20"/>
          <w:szCs w:val="20"/>
        </w:rPr>
        <w:t>, Nº. 143, 2021, págs. 15-24.</w:t>
      </w:r>
    </w:p>
    <w:p w14:paraId="17B2BC5A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EF07966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Acosta Olivo</w:t>
      </w:r>
      <w:r w:rsidRPr="00BE09E4">
        <w:rPr>
          <w:sz w:val="20"/>
          <w:szCs w:val="20"/>
        </w:rPr>
        <w:t xml:space="preserve">, Carlos; </w:t>
      </w:r>
      <w:r w:rsidRPr="00BE09E4">
        <w:rPr>
          <w:caps/>
          <w:sz w:val="20"/>
          <w:szCs w:val="20"/>
        </w:rPr>
        <w:t>Gordillo Chavez</w:t>
      </w:r>
      <w:r w:rsidRPr="00BE09E4">
        <w:rPr>
          <w:sz w:val="20"/>
          <w:szCs w:val="20"/>
        </w:rPr>
        <w:t xml:space="preserve">, Leslie. “La COVID-19 y su repercusión en el mercado asegurador peruano”: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609-626.</w:t>
      </w:r>
    </w:p>
    <w:p w14:paraId="2A6E1A7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CF9397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Agüero Ortiz</w:t>
      </w:r>
      <w:r w:rsidRPr="00BE09E4">
        <w:rPr>
          <w:sz w:val="20"/>
          <w:szCs w:val="20"/>
        </w:rPr>
        <w:t xml:space="preserve">, Alicia. “La distribución de seguros por operadores de banca-seguros”: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319-341.</w:t>
      </w:r>
    </w:p>
    <w:p w14:paraId="601E70F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AE041F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Aguilar Olivares</w:t>
      </w:r>
      <w:r w:rsidRPr="00BE09E4">
        <w:rPr>
          <w:sz w:val="20"/>
          <w:szCs w:val="20"/>
        </w:rPr>
        <w:t xml:space="preserve">, Yolanda. “El nuevo Anteproyecto de Ley de medidas de eficiencia procesal del servicio público de justicia y su repercusión en la protección frente a los conflictos sanitarios”: </w:t>
      </w:r>
      <w:r w:rsidRPr="00BE09E4">
        <w:rPr>
          <w:i/>
          <w:sz w:val="20"/>
          <w:szCs w:val="20"/>
        </w:rPr>
        <w:t>La Ley. Mediación y arbitraje</w:t>
      </w:r>
      <w:r w:rsidRPr="00BE09E4">
        <w:rPr>
          <w:sz w:val="20"/>
          <w:szCs w:val="20"/>
        </w:rPr>
        <w:t>, Nº. 5, 2021 (Ejemplar dedicado a: La (des)protección de inversiones en el Acuerdo de Comercio y Cooperación entre la Unión Europea y el Reino Unido (TCA)).</w:t>
      </w:r>
    </w:p>
    <w:p w14:paraId="584F8E3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F0F22D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Alvarado Herrera</w:t>
      </w:r>
      <w:r w:rsidRPr="00BE09E4">
        <w:rPr>
          <w:sz w:val="20"/>
          <w:szCs w:val="20"/>
        </w:rPr>
        <w:t xml:space="preserve">, Lucía. “Nuevas formas de protección del consumidor en la contratación electrónica de servicios turísticos: los servicios de viaje vinculados”: </w:t>
      </w:r>
      <w:r w:rsidRPr="00BE09E4">
        <w:rPr>
          <w:i/>
          <w:sz w:val="20"/>
          <w:szCs w:val="20"/>
        </w:rPr>
        <w:t>Revista de Estudios Jurídicos y Criminológicos</w:t>
      </w:r>
      <w:r w:rsidRPr="00BE09E4">
        <w:rPr>
          <w:sz w:val="20"/>
          <w:szCs w:val="20"/>
        </w:rPr>
        <w:t>, Nº. 3, 2021, págs. 103-139.</w:t>
      </w:r>
    </w:p>
    <w:p w14:paraId="02B7F2D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5ECC5A6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Álvarez Lata</w:t>
      </w:r>
      <w:r w:rsidRPr="00BE09E4">
        <w:rPr>
          <w:sz w:val="20"/>
          <w:szCs w:val="20"/>
        </w:rPr>
        <w:t xml:space="preserve">, Natalia. “Préstamo hipotecario vinculado a un fondo de inversión: conexidad contractual y propagación de la nulidad. Comentario a la STS de 22 de septiembre de 2020 (RJ2020, 3763)”: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373-392.</w:t>
      </w:r>
    </w:p>
    <w:p w14:paraId="4767687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51EA08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sz w:val="20"/>
          <w:szCs w:val="20"/>
        </w:rPr>
        <w:t xml:space="preserve">ÁLVAREZ OLALLA, María Pilar. “Propuesta de Reglamento en materia de responsabilidad civil por el uso de inteligencia artificial, del Parlamento Europeo, de 20 de octubre de 2020”: </w:t>
      </w:r>
      <w:r w:rsidRPr="00BE09E4">
        <w:rPr>
          <w:i/>
          <w:sz w:val="20"/>
          <w:szCs w:val="20"/>
        </w:rPr>
        <w:t>Revista CESCO de Derecho de Consumo</w:t>
      </w:r>
      <w:r w:rsidRPr="00BE09E4">
        <w:rPr>
          <w:sz w:val="20"/>
          <w:szCs w:val="20"/>
        </w:rPr>
        <w:t xml:space="preserve">, Nº 38 (abril-junio) 2021, págs. 1-10. </w:t>
      </w:r>
    </w:p>
    <w:p w14:paraId="6302117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165170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Añón Calvete</w:t>
      </w:r>
      <w:r w:rsidRPr="00BE09E4">
        <w:rPr>
          <w:sz w:val="20"/>
          <w:szCs w:val="20"/>
        </w:rPr>
        <w:t xml:space="preserve">, Juan. “Plazo de prescripción de la reclamación de restitución de las cantidades pagadas por aplicación de cláusulas abusivas. Comentario a la STJUE 22-4-2021, C-485/19 – </w:t>
      </w:r>
      <w:proofErr w:type="spellStart"/>
      <w:r w:rsidRPr="00BE09E4">
        <w:rPr>
          <w:sz w:val="20"/>
          <w:szCs w:val="20"/>
        </w:rPr>
        <w:t>Profi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Credit</w:t>
      </w:r>
      <w:proofErr w:type="spellEnd"/>
      <w:r w:rsidRPr="00BE09E4">
        <w:rPr>
          <w:sz w:val="20"/>
          <w:szCs w:val="20"/>
        </w:rPr>
        <w:t xml:space="preserve">”:   </w:t>
      </w:r>
      <w:r w:rsidRPr="00BE09E4">
        <w:rPr>
          <w:i/>
          <w:sz w:val="20"/>
          <w:szCs w:val="20"/>
        </w:rPr>
        <w:t xml:space="preserve">Revista de Derecho </w:t>
      </w:r>
      <w:proofErr w:type="spellStart"/>
      <w:r w:rsidRPr="00BE09E4">
        <w:rPr>
          <w:i/>
          <w:sz w:val="20"/>
          <w:szCs w:val="20"/>
        </w:rPr>
        <w:t>vLex</w:t>
      </w:r>
      <w:proofErr w:type="spellEnd"/>
      <w:r w:rsidRPr="00BE09E4">
        <w:rPr>
          <w:sz w:val="20"/>
          <w:szCs w:val="20"/>
        </w:rPr>
        <w:t xml:space="preserve">, Nª. 203, Abril 2021. </w:t>
      </w:r>
    </w:p>
    <w:p w14:paraId="7E31AA6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26428F5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Argelich Comelles</w:t>
      </w:r>
      <w:r w:rsidRPr="00BE09E4">
        <w:rPr>
          <w:sz w:val="20"/>
          <w:szCs w:val="20"/>
        </w:rPr>
        <w:t xml:space="preserve">, Cristina. “Del cisne negro </w:t>
      </w:r>
      <w:proofErr w:type="spellStart"/>
      <w:r w:rsidRPr="00BE09E4">
        <w:rPr>
          <w:sz w:val="20"/>
          <w:szCs w:val="20"/>
        </w:rPr>
        <w:t>Covid</w:t>
      </w:r>
      <w:proofErr w:type="spellEnd"/>
      <w:r w:rsidRPr="00BE09E4">
        <w:rPr>
          <w:sz w:val="20"/>
          <w:szCs w:val="20"/>
        </w:rPr>
        <w:t xml:space="preserve">–19 a la mediación arrendaticia de vivienda habitual”: </w:t>
      </w:r>
      <w:r w:rsidRPr="00BE09E4">
        <w:rPr>
          <w:i/>
          <w:sz w:val="20"/>
          <w:szCs w:val="20"/>
        </w:rPr>
        <w:t>La Ley. Mediación y arbitraje</w:t>
      </w:r>
      <w:r w:rsidRPr="00BE09E4">
        <w:rPr>
          <w:sz w:val="20"/>
          <w:szCs w:val="20"/>
        </w:rPr>
        <w:t>, Nº. 5, 2021 (Ejemplar dedicado a: La (des)protección de inversiones en el Acuerdo de Comercio y Cooperación entre la Unión Europea y el Reino Unido (TCA)).</w:t>
      </w:r>
    </w:p>
    <w:p w14:paraId="6784278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3ED4ECB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sz w:val="20"/>
          <w:szCs w:val="20"/>
        </w:rPr>
        <w:t xml:space="preserve">Arnau Raventós, </w:t>
      </w:r>
      <w:proofErr w:type="spellStart"/>
      <w:r w:rsidRPr="00BE09E4">
        <w:rPr>
          <w:sz w:val="20"/>
          <w:szCs w:val="20"/>
        </w:rPr>
        <w:t>Lídia</w:t>
      </w:r>
      <w:proofErr w:type="spellEnd"/>
      <w:r w:rsidRPr="00BE09E4">
        <w:rPr>
          <w:sz w:val="20"/>
          <w:szCs w:val="20"/>
        </w:rPr>
        <w:t xml:space="preserve">. “La </w:t>
      </w:r>
      <w:proofErr w:type="spellStart"/>
      <w:r w:rsidRPr="00BE09E4">
        <w:rPr>
          <w:sz w:val="20"/>
          <w:szCs w:val="20"/>
        </w:rPr>
        <w:t>conformitat</w:t>
      </w:r>
      <w:proofErr w:type="spellEnd"/>
      <w:r w:rsidRPr="00BE09E4">
        <w:rPr>
          <w:sz w:val="20"/>
          <w:szCs w:val="20"/>
        </w:rPr>
        <w:t xml:space="preserve"> del </w:t>
      </w:r>
      <w:proofErr w:type="spellStart"/>
      <w:r w:rsidRPr="00BE09E4">
        <w:rPr>
          <w:sz w:val="20"/>
          <w:szCs w:val="20"/>
        </w:rPr>
        <w:t>dret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català</w:t>
      </w:r>
      <w:proofErr w:type="spellEnd"/>
      <w:r w:rsidRPr="00BE09E4">
        <w:rPr>
          <w:sz w:val="20"/>
          <w:szCs w:val="20"/>
        </w:rPr>
        <w:t xml:space="preserve"> al </w:t>
      </w:r>
      <w:proofErr w:type="spellStart"/>
      <w:r w:rsidRPr="00BE09E4">
        <w:rPr>
          <w:sz w:val="20"/>
          <w:szCs w:val="20"/>
        </w:rPr>
        <w:t>dret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europeu</w:t>
      </w:r>
      <w:proofErr w:type="spellEnd"/>
      <w:r w:rsidRPr="00BE09E4">
        <w:rPr>
          <w:sz w:val="20"/>
          <w:szCs w:val="20"/>
        </w:rPr>
        <w:t xml:space="preserve"> en </w:t>
      </w:r>
      <w:proofErr w:type="spellStart"/>
      <w:r w:rsidRPr="00BE09E4">
        <w:rPr>
          <w:sz w:val="20"/>
          <w:szCs w:val="20"/>
        </w:rPr>
        <w:t>matèria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contractació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amb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consumidors</w:t>
      </w:r>
      <w:proofErr w:type="spellEnd"/>
      <w:r w:rsidRPr="00BE09E4">
        <w:rPr>
          <w:sz w:val="20"/>
          <w:szCs w:val="20"/>
        </w:rPr>
        <w:t xml:space="preserve">: </w:t>
      </w:r>
      <w:proofErr w:type="spellStart"/>
      <w:r w:rsidRPr="00BE09E4">
        <w:rPr>
          <w:sz w:val="20"/>
          <w:szCs w:val="20"/>
        </w:rPr>
        <w:t>els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efectes</w:t>
      </w:r>
      <w:proofErr w:type="spellEnd"/>
      <w:r w:rsidRPr="00BE09E4">
        <w:rPr>
          <w:sz w:val="20"/>
          <w:szCs w:val="20"/>
        </w:rPr>
        <w:t xml:space="preserve"> en </w:t>
      </w:r>
      <w:proofErr w:type="spellStart"/>
      <w:r w:rsidRPr="00BE09E4">
        <w:rPr>
          <w:sz w:val="20"/>
          <w:szCs w:val="20"/>
        </w:rPr>
        <w:t>cas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dret</w:t>
      </w:r>
      <w:proofErr w:type="spellEnd"/>
      <w:r w:rsidRPr="00BE09E4">
        <w:rPr>
          <w:sz w:val="20"/>
          <w:szCs w:val="20"/>
        </w:rPr>
        <w:t xml:space="preserve"> no conforme”: </w:t>
      </w:r>
      <w:r w:rsidRPr="00BE09E4">
        <w:rPr>
          <w:i/>
          <w:sz w:val="20"/>
          <w:szCs w:val="20"/>
        </w:rPr>
        <w:t xml:space="preserve">Revista Catalana de </w:t>
      </w:r>
      <w:proofErr w:type="spellStart"/>
      <w:r w:rsidRPr="00BE09E4">
        <w:rPr>
          <w:i/>
          <w:sz w:val="20"/>
          <w:szCs w:val="20"/>
        </w:rPr>
        <w:t>Dret</w:t>
      </w:r>
      <w:proofErr w:type="spellEnd"/>
      <w:r w:rsidRPr="00BE09E4">
        <w:rPr>
          <w:i/>
          <w:sz w:val="20"/>
          <w:szCs w:val="20"/>
        </w:rPr>
        <w:t xml:space="preserve"> </w:t>
      </w:r>
      <w:proofErr w:type="spellStart"/>
      <w:r w:rsidRPr="00BE09E4">
        <w:rPr>
          <w:i/>
          <w:sz w:val="20"/>
          <w:szCs w:val="20"/>
        </w:rPr>
        <w:t>Privat</w:t>
      </w:r>
      <w:proofErr w:type="spellEnd"/>
      <w:r w:rsidRPr="00BE09E4">
        <w:rPr>
          <w:sz w:val="20"/>
          <w:szCs w:val="20"/>
        </w:rPr>
        <w:t>, Vol. 22, 2020, págs. 107-146.</w:t>
      </w:r>
    </w:p>
    <w:p w14:paraId="51F49909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F9FDF9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Avilés García</w:t>
      </w:r>
      <w:r w:rsidRPr="00BE09E4">
        <w:rPr>
          <w:sz w:val="20"/>
          <w:szCs w:val="20"/>
        </w:rPr>
        <w:t>, Javier. “Cláusula "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sic </w:t>
      </w:r>
      <w:proofErr w:type="spellStart"/>
      <w:r w:rsidRPr="00BE09E4">
        <w:rPr>
          <w:sz w:val="20"/>
          <w:szCs w:val="20"/>
        </w:rPr>
        <w:t>stantibus</w:t>
      </w:r>
      <w:proofErr w:type="spellEnd"/>
      <w:r w:rsidRPr="00BE09E4">
        <w:rPr>
          <w:sz w:val="20"/>
          <w:szCs w:val="20"/>
        </w:rPr>
        <w:t xml:space="preserve">" precovid-19: cierre y apertura de una nueva encrucijada jurisprudencial. Comentario a la STS de 6 de marzo de 2020 (RJ 2020,879)”: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83-112</w:t>
      </w:r>
      <w:r>
        <w:rPr>
          <w:sz w:val="20"/>
          <w:szCs w:val="20"/>
        </w:rPr>
        <w:t>.</w:t>
      </w:r>
    </w:p>
    <w:p w14:paraId="2350635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E00CEA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Azofra Vegas</w:t>
      </w:r>
      <w:r w:rsidRPr="00BE09E4">
        <w:rPr>
          <w:sz w:val="20"/>
          <w:szCs w:val="20"/>
        </w:rPr>
        <w:t xml:space="preserve">, Fernando. “La ejecución frente al fiador real en concurso”: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9878, 2021</w:t>
      </w:r>
      <w:r>
        <w:rPr>
          <w:sz w:val="20"/>
          <w:szCs w:val="20"/>
        </w:rPr>
        <w:t>.</w:t>
      </w:r>
    </w:p>
    <w:p w14:paraId="6004139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771440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Barrio del Olmo</w:t>
      </w:r>
      <w:r w:rsidRPr="00BE09E4">
        <w:rPr>
          <w:sz w:val="20"/>
          <w:szCs w:val="20"/>
        </w:rPr>
        <w:t xml:space="preserve">, Concepción Pilar. “Nuevas competencias notariales en actos de jurisdicción voluntaria y un nuevo procedimiento para cancelar hipotecas”: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96, 2021, págs. 34-39.</w:t>
      </w:r>
    </w:p>
    <w:p w14:paraId="6F4C94A4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7EF435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Berenguer</w:t>
      </w:r>
      <w:r w:rsidRPr="00BE09E4">
        <w:rPr>
          <w:sz w:val="20"/>
          <w:szCs w:val="20"/>
        </w:rPr>
        <w:t xml:space="preserve">, Pablo. “Propuesta de Directiva sobre acciones colectivas”: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966, 2020.</w:t>
      </w:r>
    </w:p>
    <w:p w14:paraId="60F6A8C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1B5F47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Bernabéu Pérez</w:t>
      </w:r>
      <w:r w:rsidRPr="00BE09E4">
        <w:rPr>
          <w:sz w:val="20"/>
          <w:szCs w:val="20"/>
        </w:rPr>
        <w:t xml:space="preserve">, Isaac Carlos. “El incidente de suspensión del lanzamiento en el Real Decreto Ley 11/2020”: </w:t>
      </w:r>
      <w:r w:rsidRPr="00BE09E4">
        <w:rPr>
          <w:i/>
          <w:sz w:val="20"/>
          <w:szCs w:val="20"/>
        </w:rPr>
        <w:t>Práctica de tribunales: revista de derecho procesal civil y mercantil</w:t>
      </w:r>
      <w:r w:rsidRPr="00BE09E4">
        <w:rPr>
          <w:sz w:val="20"/>
          <w:szCs w:val="20"/>
        </w:rPr>
        <w:t>, Nº. 149, 2021.</w:t>
      </w:r>
    </w:p>
    <w:p w14:paraId="6C717EE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91F65B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Bernabéu Pérez</w:t>
      </w:r>
      <w:r w:rsidRPr="00BE09E4">
        <w:rPr>
          <w:sz w:val="20"/>
          <w:szCs w:val="20"/>
        </w:rPr>
        <w:t xml:space="preserve">, Isaac Carlos. “La declaración de vulnerabilidad contemplada en el artículo 441.5 de la LEC y la suspensión del lanzamiento”: </w:t>
      </w:r>
      <w:r w:rsidRPr="00BE09E4">
        <w:rPr>
          <w:i/>
          <w:sz w:val="20"/>
          <w:szCs w:val="20"/>
        </w:rPr>
        <w:t>Práctica de tribunales: revista de derecho procesal civil y mercantil</w:t>
      </w:r>
      <w:r w:rsidRPr="00BE09E4">
        <w:rPr>
          <w:sz w:val="20"/>
          <w:szCs w:val="20"/>
        </w:rPr>
        <w:t>, Nº. 148, 2021.</w:t>
      </w:r>
    </w:p>
    <w:p w14:paraId="248E4E6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262003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Berrocal Lanzarot</w:t>
      </w:r>
      <w:r w:rsidRPr="00BE09E4">
        <w:rPr>
          <w:sz w:val="20"/>
          <w:szCs w:val="20"/>
        </w:rPr>
        <w:t>, Ana Isabel. “La protección del consumidor en los créditos o tarjetas "</w:t>
      </w:r>
      <w:proofErr w:type="spellStart"/>
      <w:r w:rsidRPr="00BE09E4">
        <w:rPr>
          <w:sz w:val="20"/>
          <w:szCs w:val="20"/>
        </w:rPr>
        <w:t>revolving</w:t>
      </w:r>
      <w:proofErr w:type="spellEnd"/>
      <w:r w:rsidRPr="00BE09E4">
        <w:rPr>
          <w:sz w:val="20"/>
          <w:szCs w:val="20"/>
        </w:rPr>
        <w:t xml:space="preserve">": La importancia de la información y el control de transparencia en su contratación”: </w:t>
      </w:r>
      <w:r w:rsidRPr="00BE09E4">
        <w:rPr>
          <w:i/>
          <w:sz w:val="20"/>
          <w:szCs w:val="20"/>
        </w:rPr>
        <w:t>Revista general de legislación y jurisprudencia</w:t>
      </w:r>
      <w:r w:rsidRPr="00BE09E4">
        <w:rPr>
          <w:sz w:val="20"/>
          <w:szCs w:val="20"/>
        </w:rPr>
        <w:t>, Nº 1, 2021, págs. 103-154.</w:t>
      </w:r>
    </w:p>
    <w:p w14:paraId="04ADEB3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F252BD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Berrocal Rangel</w:t>
      </w:r>
      <w:r w:rsidRPr="00BE09E4">
        <w:rPr>
          <w:sz w:val="20"/>
          <w:szCs w:val="20"/>
        </w:rPr>
        <w:t xml:space="preserve">, Juan Carlos. “¿Comparte los criterios del TS de su última sentencia sobre IRPH?”: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968, 2020.</w:t>
      </w:r>
    </w:p>
    <w:p w14:paraId="700EE06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5C3F18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Bolívar Oñoro</w:t>
      </w:r>
      <w:r w:rsidRPr="00BE09E4">
        <w:rPr>
          <w:sz w:val="20"/>
          <w:szCs w:val="20"/>
        </w:rPr>
        <w:t xml:space="preserve">, María del Val. “Deber de información en el marco del contrato de seguro”: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9829, 2021.</w:t>
      </w:r>
    </w:p>
    <w:p w14:paraId="49158DF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AF38F2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Bolívar Oñoro</w:t>
      </w:r>
      <w:r w:rsidRPr="00BE09E4">
        <w:rPr>
          <w:sz w:val="20"/>
          <w:szCs w:val="20"/>
        </w:rPr>
        <w:t xml:space="preserve">, María del Val; </w:t>
      </w:r>
      <w:r w:rsidRPr="00BE09E4">
        <w:rPr>
          <w:caps/>
          <w:sz w:val="20"/>
          <w:szCs w:val="20"/>
        </w:rPr>
        <w:t>Ramiro Avilés</w:t>
      </w:r>
      <w:r w:rsidRPr="00BE09E4">
        <w:rPr>
          <w:sz w:val="20"/>
          <w:szCs w:val="20"/>
        </w:rPr>
        <w:t xml:space="preserve">, Miguel Ángel. “Barreras en la contratación de seguros por razón de SARS-COV-2 o COVID-19”: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561-574.</w:t>
      </w:r>
    </w:p>
    <w:p w14:paraId="4CC87A6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20C9F1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Bonachera Villegas</w:t>
      </w:r>
      <w:r w:rsidRPr="00BE09E4">
        <w:rPr>
          <w:sz w:val="20"/>
          <w:szCs w:val="20"/>
        </w:rPr>
        <w:t xml:space="preserve">, Raquel. “La condena en costas a favor del consumidor”: </w:t>
      </w:r>
      <w:r w:rsidRPr="00BE09E4">
        <w:rPr>
          <w:i/>
          <w:sz w:val="20"/>
          <w:szCs w:val="20"/>
        </w:rPr>
        <w:t>Práctica de tribunales: revista de derecho procesal civil y mercantil</w:t>
      </w:r>
      <w:r w:rsidRPr="00BE09E4">
        <w:rPr>
          <w:sz w:val="20"/>
          <w:szCs w:val="20"/>
        </w:rPr>
        <w:t>, Nº. 148, 2021.</w:t>
      </w:r>
    </w:p>
    <w:p w14:paraId="793F9E0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89F461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Buil Vera</w:t>
      </w:r>
      <w:r w:rsidRPr="00BE09E4">
        <w:rPr>
          <w:sz w:val="20"/>
          <w:szCs w:val="20"/>
        </w:rPr>
        <w:t xml:space="preserve">, Ignacio. “Cláusula 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sic </w:t>
      </w:r>
      <w:proofErr w:type="spellStart"/>
      <w:r w:rsidRPr="00BE09E4">
        <w:rPr>
          <w:sz w:val="20"/>
          <w:szCs w:val="20"/>
        </w:rPr>
        <w:t>stantibus</w:t>
      </w:r>
      <w:proofErr w:type="spellEnd"/>
      <w:r w:rsidRPr="00BE09E4">
        <w:rPr>
          <w:sz w:val="20"/>
          <w:szCs w:val="20"/>
        </w:rPr>
        <w:t xml:space="preserve"> y cláusulas MAC: remedios frente a la alteración extraordinaria de las circunstancias básicas del contrato”: </w:t>
      </w:r>
      <w:proofErr w:type="spellStart"/>
      <w:r w:rsidRPr="00BE09E4">
        <w:rPr>
          <w:sz w:val="20"/>
          <w:szCs w:val="20"/>
        </w:rPr>
        <w:t>CEFLegal</w:t>
      </w:r>
      <w:proofErr w:type="spellEnd"/>
      <w:r w:rsidRPr="00BE09E4">
        <w:rPr>
          <w:sz w:val="20"/>
          <w:szCs w:val="20"/>
        </w:rPr>
        <w:t>: revista práctica de derecho. Comentarios y casos prácticos, Nº. 243, 2021.</w:t>
      </w:r>
    </w:p>
    <w:p w14:paraId="3151CE3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A61856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Caballero Trenado</w:t>
      </w:r>
      <w:r w:rsidRPr="00BE09E4">
        <w:rPr>
          <w:sz w:val="20"/>
          <w:szCs w:val="20"/>
        </w:rPr>
        <w:t xml:space="preserve">, Laura. “El cobro reiterado de comisiones bancarias, ¿una apropiación indebida?”: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97, 2021, págs. 88-93.</w:t>
      </w:r>
    </w:p>
    <w:p w14:paraId="7A477D5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3A0199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Caballero Trenado</w:t>
      </w:r>
      <w:r w:rsidRPr="00BE09E4">
        <w:rPr>
          <w:sz w:val="20"/>
          <w:szCs w:val="20"/>
        </w:rPr>
        <w:t xml:space="preserve">, Laura. “La condición líquida del derecho al olvido digital”: </w:t>
      </w:r>
      <w:r w:rsidRPr="00BE09E4">
        <w:rPr>
          <w:i/>
          <w:sz w:val="20"/>
          <w:szCs w:val="20"/>
        </w:rPr>
        <w:t>Actualidad administrativa</w:t>
      </w:r>
      <w:r w:rsidRPr="00BE09E4">
        <w:rPr>
          <w:sz w:val="20"/>
          <w:szCs w:val="20"/>
        </w:rPr>
        <w:t>, Nº 5, 2021.</w:t>
      </w:r>
    </w:p>
    <w:p w14:paraId="5001BAE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D6BE09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Calvo Caravaca</w:t>
      </w:r>
      <w:r w:rsidRPr="00BE09E4">
        <w:rPr>
          <w:sz w:val="20"/>
          <w:szCs w:val="20"/>
        </w:rPr>
        <w:t xml:space="preserve">, Alfonso-Luis. “Fundamentos teóricos de la autonomía de la voluntad en los contratos internacionales”: </w:t>
      </w:r>
      <w:r w:rsidRPr="00BE09E4">
        <w:rPr>
          <w:i/>
          <w:sz w:val="20"/>
          <w:szCs w:val="20"/>
        </w:rPr>
        <w:t>Revista Jurídica del Notariado</w:t>
      </w:r>
      <w:r w:rsidRPr="00BE09E4">
        <w:rPr>
          <w:sz w:val="20"/>
          <w:szCs w:val="20"/>
        </w:rPr>
        <w:t>, Nº 111, 2020, págs. 163-180.</w:t>
      </w:r>
    </w:p>
    <w:p w14:paraId="5E95102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7995A4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Calvo Vérgez</w:t>
      </w:r>
      <w:r w:rsidRPr="00BE09E4">
        <w:rPr>
          <w:sz w:val="20"/>
          <w:szCs w:val="20"/>
        </w:rPr>
        <w:t>, Juan. “Principales rasgos configuradores de la llamada deuda Senior Non-</w:t>
      </w:r>
      <w:proofErr w:type="spellStart"/>
      <w:r w:rsidRPr="00BE09E4">
        <w:rPr>
          <w:sz w:val="20"/>
          <w:szCs w:val="20"/>
        </w:rPr>
        <w:t>Preferred</w:t>
      </w:r>
      <w:proofErr w:type="spellEnd"/>
      <w:r w:rsidRPr="00BE09E4">
        <w:rPr>
          <w:sz w:val="20"/>
          <w:szCs w:val="20"/>
        </w:rPr>
        <w:t xml:space="preserve"> emitida por las entidades financieras”: </w:t>
      </w:r>
      <w:r w:rsidRPr="00BE09E4">
        <w:rPr>
          <w:i/>
          <w:sz w:val="20"/>
          <w:szCs w:val="20"/>
        </w:rPr>
        <w:t>Revista de derecho bancario y bursátil</w:t>
      </w:r>
      <w:r w:rsidRPr="00BE09E4">
        <w:rPr>
          <w:sz w:val="20"/>
          <w:szCs w:val="20"/>
        </w:rPr>
        <w:t>, Año nº 40, Nº 161, 2021, págs. 205-224.</w:t>
      </w:r>
    </w:p>
    <w:p w14:paraId="7129DCF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E0DE06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Canle Fernández</w:t>
      </w:r>
      <w:r w:rsidRPr="00BE09E4">
        <w:rPr>
          <w:sz w:val="20"/>
          <w:szCs w:val="20"/>
        </w:rPr>
        <w:t xml:space="preserve">, José Ignacio. “Prescripción de las acciones de reclamación de cantidad vinculadas a la declaración de nulidad por </w:t>
      </w:r>
      <w:proofErr w:type="spellStart"/>
      <w:r w:rsidRPr="00BE09E4">
        <w:rPr>
          <w:sz w:val="20"/>
          <w:szCs w:val="20"/>
        </w:rPr>
        <w:t>abusividad</w:t>
      </w:r>
      <w:proofErr w:type="spellEnd"/>
      <w:r w:rsidRPr="00BE09E4">
        <w:rPr>
          <w:sz w:val="20"/>
          <w:szCs w:val="20"/>
        </w:rPr>
        <w:t xml:space="preserve"> de condiciones generales”: </w:t>
      </w:r>
      <w:r w:rsidRPr="00BE09E4">
        <w:rPr>
          <w:i/>
          <w:sz w:val="20"/>
          <w:szCs w:val="20"/>
        </w:rPr>
        <w:t>Práctica de tribunales: revista de derecho procesal civil y mercantil</w:t>
      </w:r>
      <w:r w:rsidRPr="00BE09E4">
        <w:rPr>
          <w:sz w:val="20"/>
          <w:szCs w:val="20"/>
        </w:rPr>
        <w:t>, Nº. 148, 2021.</w:t>
      </w:r>
    </w:p>
    <w:p w14:paraId="25664A4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03B3EB5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Carrasco Perera</w:t>
      </w:r>
      <w:r w:rsidRPr="00BE09E4">
        <w:rPr>
          <w:sz w:val="20"/>
          <w:szCs w:val="20"/>
        </w:rPr>
        <w:t xml:space="preserve">, Ángel. “Extinción de hipoteca por consolidación- Adjudicación de la finca en favor de ejecutante de segunda hipoteca. Perjuicio de subrogación del fiador. Abuso de derecho: Comentario a la STS de 12 de noviembre de 2020 (RJ 2020, 334860)”: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413-428.</w:t>
      </w:r>
    </w:p>
    <w:p w14:paraId="5BE18E34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71942AB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Carrasco Perera</w:t>
      </w:r>
      <w:r w:rsidRPr="00BE09E4">
        <w:rPr>
          <w:sz w:val="20"/>
          <w:szCs w:val="20"/>
        </w:rPr>
        <w:t xml:space="preserve">, Ángel. “Transparencia y control de </w:t>
      </w:r>
      <w:proofErr w:type="spellStart"/>
      <w:r w:rsidRPr="00BE09E4">
        <w:rPr>
          <w:sz w:val="20"/>
          <w:szCs w:val="20"/>
        </w:rPr>
        <w:t>abusividad</w:t>
      </w:r>
      <w:proofErr w:type="spellEnd"/>
      <w:r w:rsidRPr="00BE09E4">
        <w:rPr>
          <w:sz w:val="20"/>
          <w:szCs w:val="20"/>
        </w:rPr>
        <w:t xml:space="preserve"> en la Ley de Contratos de Crédito Inmobiliario”: </w:t>
      </w:r>
      <w:r w:rsidRPr="00BE09E4">
        <w:rPr>
          <w:i/>
          <w:sz w:val="20"/>
          <w:szCs w:val="20"/>
        </w:rPr>
        <w:t>Anales de la Academia Matritense del Notariado</w:t>
      </w:r>
      <w:r w:rsidRPr="00BE09E4">
        <w:rPr>
          <w:sz w:val="20"/>
          <w:szCs w:val="20"/>
        </w:rPr>
        <w:t xml:space="preserve">, Tomo 60, 2020 (Ejemplar dedicado a: In memoriam Antonio </w:t>
      </w:r>
      <w:proofErr w:type="spellStart"/>
      <w:r w:rsidRPr="00BE09E4">
        <w:rPr>
          <w:sz w:val="20"/>
          <w:szCs w:val="20"/>
        </w:rPr>
        <w:t>Ipiens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Llorca</w:t>
      </w:r>
      <w:proofErr w:type="spellEnd"/>
      <w:r w:rsidRPr="00BE09E4">
        <w:rPr>
          <w:sz w:val="20"/>
          <w:szCs w:val="20"/>
        </w:rPr>
        <w:t>), págs. 289-317.</w:t>
      </w:r>
    </w:p>
    <w:p w14:paraId="1F1F9BE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AAC911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Castillo Martínez</w:t>
      </w:r>
      <w:r w:rsidRPr="00BE09E4">
        <w:rPr>
          <w:sz w:val="20"/>
          <w:szCs w:val="20"/>
        </w:rPr>
        <w:t xml:space="preserve">, Carolina del Carmen. “Algunas reflexiones acerca de la STJUE de 9 de julio de 2020 sobre los pactos novatorios en materia de cláusulas suelo”: </w:t>
      </w:r>
      <w:r w:rsidRPr="00BE09E4">
        <w:rPr>
          <w:i/>
          <w:sz w:val="20"/>
          <w:szCs w:val="20"/>
        </w:rPr>
        <w:t>Revista jurídica de la Comunidad Valenciana</w:t>
      </w:r>
      <w:r w:rsidRPr="00BE09E4">
        <w:rPr>
          <w:sz w:val="20"/>
          <w:szCs w:val="20"/>
        </w:rPr>
        <w:t>, Nº. 78, 2021, págs. 21-46.</w:t>
      </w:r>
    </w:p>
    <w:p w14:paraId="6947AEB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E07AB7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Castillo Martínez</w:t>
      </w:r>
      <w:r w:rsidRPr="00BE09E4">
        <w:rPr>
          <w:sz w:val="20"/>
          <w:szCs w:val="20"/>
        </w:rPr>
        <w:t xml:space="preserve">, Carolina del Carmen. “Nulidad de la </w:t>
      </w:r>
      <w:proofErr w:type="spellStart"/>
      <w:r w:rsidRPr="00BE09E4">
        <w:rPr>
          <w:sz w:val="20"/>
          <w:szCs w:val="20"/>
        </w:rPr>
        <w:t>claúsula</w:t>
      </w:r>
      <w:proofErr w:type="spellEnd"/>
      <w:r w:rsidRPr="00BE09E4">
        <w:rPr>
          <w:sz w:val="20"/>
          <w:szCs w:val="20"/>
        </w:rPr>
        <w:t xml:space="preserve"> que atribuye todos os gastos al prestatario en un contrato de préstamo hipotecario celebrado con consumidores: Comentario a la STS de 14 de septiembre de 2020 (RJ 2020, 3228)”: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307-332.</w:t>
      </w:r>
    </w:p>
    <w:p w14:paraId="074A5C3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AC044E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Cordón Moreno</w:t>
      </w:r>
      <w:r w:rsidRPr="00BE09E4">
        <w:rPr>
          <w:sz w:val="20"/>
          <w:szCs w:val="20"/>
        </w:rPr>
        <w:t xml:space="preserve">, Faustino. “Criterios para la condena en costas en los procesos promovidos por consumidores: Comentario a la STS pleno de 17 de septiembre de 2020 (RJ 2020, 3252)”: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333-350.</w:t>
      </w:r>
    </w:p>
    <w:p w14:paraId="4D1F4D9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4F0A29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Cortes Velez</w:t>
      </w:r>
      <w:r w:rsidRPr="00BE09E4">
        <w:rPr>
          <w:sz w:val="20"/>
          <w:szCs w:val="20"/>
        </w:rPr>
        <w:t xml:space="preserve">, Juan José. “Derecho a la privacidad en la era de la </w:t>
      </w:r>
      <w:proofErr w:type="spellStart"/>
      <w:r w:rsidRPr="00BE09E4">
        <w:rPr>
          <w:sz w:val="20"/>
          <w:szCs w:val="20"/>
        </w:rPr>
        <w:t>digitalizacion</w:t>
      </w:r>
      <w:proofErr w:type="spellEnd"/>
      <w:r w:rsidRPr="00BE09E4">
        <w:rPr>
          <w:sz w:val="20"/>
          <w:szCs w:val="20"/>
        </w:rPr>
        <w:t xml:space="preserve"> y del </w:t>
      </w:r>
      <w:proofErr w:type="spellStart"/>
      <w:r w:rsidRPr="00BE09E4">
        <w:rPr>
          <w:sz w:val="20"/>
          <w:szCs w:val="20"/>
        </w:rPr>
        <w:t>blockchain</w:t>
      </w:r>
      <w:proofErr w:type="spellEnd"/>
      <w:r w:rsidRPr="00BE09E4">
        <w:rPr>
          <w:sz w:val="20"/>
          <w:szCs w:val="20"/>
        </w:rPr>
        <w:t xml:space="preserve">”: </w:t>
      </w:r>
      <w:r w:rsidRPr="00BE09E4">
        <w:rPr>
          <w:i/>
          <w:sz w:val="20"/>
          <w:szCs w:val="20"/>
        </w:rPr>
        <w:t>Práctica de tribunales: revista de derecho procesal civil y mercantil</w:t>
      </w:r>
      <w:r w:rsidRPr="00BE09E4">
        <w:rPr>
          <w:sz w:val="20"/>
          <w:szCs w:val="20"/>
        </w:rPr>
        <w:t>, Nº. 149, 2021.</w:t>
      </w:r>
    </w:p>
    <w:p w14:paraId="5E9AB46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006BD2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Costa Gonçalves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Diogo</w:t>
      </w:r>
      <w:proofErr w:type="spellEnd"/>
      <w:r w:rsidRPr="00BE09E4">
        <w:rPr>
          <w:sz w:val="20"/>
          <w:szCs w:val="20"/>
        </w:rPr>
        <w:t xml:space="preserve">; </w:t>
      </w:r>
      <w:r w:rsidRPr="00BE09E4">
        <w:rPr>
          <w:caps/>
          <w:sz w:val="20"/>
          <w:szCs w:val="20"/>
        </w:rPr>
        <w:t>Tapada dos Santos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Diogo</w:t>
      </w:r>
      <w:proofErr w:type="spellEnd"/>
      <w:r w:rsidRPr="00BE09E4">
        <w:rPr>
          <w:sz w:val="20"/>
          <w:szCs w:val="20"/>
        </w:rPr>
        <w:t xml:space="preserve">. “Juros </w:t>
      </w:r>
      <w:proofErr w:type="spellStart"/>
      <w:r w:rsidRPr="00BE09E4">
        <w:rPr>
          <w:sz w:val="20"/>
          <w:szCs w:val="20"/>
        </w:rPr>
        <w:t>moratórios</w:t>
      </w:r>
      <w:proofErr w:type="spellEnd"/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indemnização</w:t>
      </w:r>
      <w:proofErr w:type="spellEnd"/>
      <w:r w:rsidRPr="00BE09E4">
        <w:rPr>
          <w:sz w:val="20"/>
          <w:szCs w:val="20"/>
        </w:rPr>
        <w:t xml:space="preserve"> e anatocismo potestativo”: </w:t>
      </w:r>
      <w:r w:rsidRPr="00BE09E4">
        <w:rPr>
          <w:i/>
          <w:sz w:val="20"/>
          <w:szCs w:val="20"/>
        </w:rPr>
        <w:t xml:space="preserve">Revista da </w:t>
      </w:r>
      <w:proofErr w:type="spellStart"/>
      <w:r w:rsidRPr="00BE09E4">
        <w:rPr>
          <w:i/>
          <w:sz w:val="20"/>
          <w:szCs w:val="20"/>
        </w:rPr>
        <w:t>Faculdade</w:t>
      </w:r>
      <w:proofErr w:type="spellEnd"/>
      <w:r w:rsidRPr="00BE09E4">
        <w:rPr>
          <w:i/>
          <w:sz w:val="20"/>
          <w:szCs w:val="20"/>
        </w:rPr>
        <w:t xml:space="preserve"> de </w:t>
      </w:r>
      <w:proofErr w:type="spellStart"/>
      <w:r w:rsidRPr="00BE09E4">
        <w:rPr>
          <w:i/>
          <w:sz w:val="20"/>
          <w:szCs w:val="20"/>
        </w:rPr>
        <w:t>Direito</w:t>
      </w:r>
      <w:proofErr w:type="spellEnd"/>
      <w:r w:rsidRPr="00BE09E4">
        <w:rPr>
          <w:i/>
          <w:sz w:val="20"/>
          <w:szCs w:val="20"/>
        </w:rPr>
        <w:t xml:space="preserve"> da </w:t>
      </w:r>
      <w:proofErr w:type="spellStart"/>
      <w:r w:rsidRPr="00BE09E4">
        <w:rPr>
          <w:i/>
          <w:sz w:val="20"/>
          <w:szCs w:val="20"/>
        </w:rPr>
        <w:t>Universidade</w:t>
      </w:r>
      <w:proofErr w:type="spellEnd"/>
      <w:r w:rsidRPr="00BE09E4">
        <w:rPr>
          <w:i/>
          <w:sz w:val="20"/>
          <w:szCs w:val="20"/>
        </w:rPr>
        <w:t xml:space="preserve"> de Lisboa</w:t>
      </w:r>
      <w:r w:rsidRPr="00BE09E4">
        <w:rPr>
          <w:sz w:val="20"/>
          <w:szCs w:val="20"/>
        </w:rPr>
        <w:t>, Vol. 61, Nº. 2, 2020, págs. 205-230.</w:t>
      </w:r>
    </w:p>
    <w:p w14:paraId="4D94AD0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BBE062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Cuena Casas</w:t>
      </w:r>
      <w:r w:rsidRPr="00BE09E4">
        <w:rPr>
          <w:sz w:val="20"/>
          <w:szCs w:val="20"/>
        </w:rPr>
        <w:t xml:space="preserve">, Matilde. “El hipotecante no deudor y la exoneración del pasivo insatisfecho (Comentario de la Resolución de la Dirección General de los Registros y del Notariado de 10 de diciembre de 2019)”: </w:t>
      </w:r>
      <w:r w:rsidRPr="00BE09E4">
        <w:rPr>
          <w:i/>
          <w:sz w:val="20"/>
          <w:szCs w:val="20"/>
        </w:rPr>
        <w:t>Anuario de derecho concursal</w:t>
      </w:r>
      <w:r w:rsidRPr="00BE09E4">
        <w:rPr>
          <w:sz w:val="20"/>
          <w:szCs w:val="20"/>
        </w:rPr>
        <w:t>, Nº. 52, 2021, págs. 451-464.</w:t>
      </w:r>
    </w:p>
    <w:p w14:paraId="23FF23F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E13A91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de la Cámara Entrena</w:t>
      </w:r>
      <w:r w:rsidRPr="00BE09E4">
        <w:rPr>
          <w:sz w:val="20"/>
          <w:szCs w:val="20"/>
        </w:rPr>
        <w:t xml:space="preserve">, Blanca. “Las compraventas con precio negativo”: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96, 2021, págs. 168-173.</w:t>
      </w:r>
    </w:p>
    <w:p w14:paraId="234B134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22F538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de Salas Murillo</w:t>
      </w:r>
      <w:r w:rsidRPr="00BE09E4">
        <w:rPr>
          <w:sz w:val="20"/>
          <w:szCs w:val="20"/>
        </w:rPr>
        <w:t xml:space="preserve">, Sofía. “La reforma de la legislación civil para el apoyo a las personas con discapacidad en materia de obligaciones y contratos”: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9841, 2021.</w:t>
      </w:r>
    </w:p>
    <w:p w14:paraId="3CA50A0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27DDB0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Dias Oliveira</w:t>
      </w:r>
      <w:r w:rsidRPr="00BE09E4">
        <w:rPr>
          <w:sz w:val="20"/>
          <w:szCs w:val="20"/>
        </w:rPr>
        <w:t xml:space="preserve">, Elsa. “A </w:t>
      </w:r>
      <w:proofErr w:type="spellStart"/>
      <w:r w:rsidRPr="00BE09E4">
        <w:rPr>
          <w:sz w:val="20"/>
          <w:szCs w:val="20"/>
        </w:rPr>
        <w:t>proteção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passageiros</w:t>
      </w:r>
      <w:proofErr w:type="spellEnd"/>
      <w:r w:rsidRPr="00BE09E4">
        <w:rPr>
          <w:sz w:val="20"/>
          <w:szCs w:val="20"/>
        </w:rPr>
        <w:t xml:space="preserve"> aéreos no </w:t>
      </w:r>
      <w:proofErr w:type="spellStart"/>
      <w:r w:rsidRPr="00BE09E4">
        <w:rPr>
          <w:sz w:val="20"/>
          <w:szCs w:val="20"/>
        </w:rPr>
        <w:t>âmbito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viagens</w:t>
      </w:r>
      <w:proofErr w:type="spellEnd"/>
      <w:r w:rsidRPr="00BE09E4">
        <w:rPr>
          <w:sz w:val="20"/>
          <w:szCs w:val="20"/>
        </w:rPr>
        <w:t xml:space="preserve"> organizadas”: </w:t>
      </w:r>
      <w:r w:rsidRPr="00BE09E4">
        <w:rPr>
          <w:i/>
          <w:sz w:val="20"/>
          <w:szCs w:val="20"/>
        </w:rPr>
        <w:t xml:space="preserve">Revista da </w:t>
      </w:r>
      <w:proofErr w:type="spellStart"/>
      <w:r w:rsidRPr="00BE09E4">
        <w:rPr>
          <w:i/>
          <w:sz w:val="20"/>
          <w:szCs w:val="20"/>
        </w:rPr>
        <w:t>Faculdade</w:t>
      </w:r>
      <w:proofErr w:type="spellEnd"/>
      <w:r w:rsidRPr="00BE09E4">
        <w:rPr>
          <w:i/>
          <w:sz w:val="20"/>
          <w:szCs w:val="20"/>
        </w:rPr>
        <w:t xml:space="preserve"> de </w:t>
      </w:r>
      <w:proofErr w:type="spellStart"/>
      <w:r w:rsidRPr="00BE09E4">
        <w:rPr>
          <w:i/>
          <w:sz w:val="20"/>
          <w:szCs w:val="20"/>
        </w:rPr>
        <w:t>Direito</w:t>
      </w:r>
      <w:proofErr w:type="spellEnd"/>
      <w:r w:rsidRPr="00BE09E4">
        <w:rPr>
          <w:i/>
          <w:sz w:val="20"/>
          <w:szCs w:val="20"/>
        </w:rPr>
        <w:t xml:space="preserve"> da </w:t>
      </w:r>
      <w:proofErr w:type="spellStart"/>
      <w:r w:rsidRPr="00BE09E4">
        <w:rPr>
          <w:i/>
          <w:sz w:val="20"/>
          <w:szCs w:val="20"/>
        </w:rPr>
        <w:t>Universidade</w:t>
      </w:r>
      <w:proofErr w:type="spellEnd"/>
      <w:r w:rsidRPr="00BE09E4">
        <w:rPr>
          <w:i/>
          <w:sz w:val="20"/>
          <w:szCs w:val="20"/>
        </w:rPr>
        <w:t xml:space="preserve"> de Lisboa</w:t>
      </w:r>
      <w:r w:rsidRPr="00BE09E4">
        <w:rPr>
          <w:sz w:val="20"/>
          <w:szCs w:val="20"/>
        </w:rPr>
        <w:t>, Vol. 61, Nº. 2, 2020, págs. 231-255.</w:t>
      </w:r>
    </w:p>
    <w:p w14:paraId="5147548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882D4D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Dominguez</w:t>
      </w:r>
      <w:r w:rsidRPr="00BE09E4">
        <w:rPr>
          <w:sz w:val="20"/>
          <w:szCs w:val="20"/>
        </w:rPr>
        <w:t xml:space="preserve">, Carmen. “Ventajas y desventajas de adherirse a una demanda colectiva”: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972, 2021.</w:t>
      </w:r>
    </w:p>
    <w:p w14:paraId="0E2B805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5E658D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Drigo</w:t>
      </w:r>
      <w:r w:rsidRPr="00BE09E4">
        <w:rPr>
          <w:sz w:val="20"/>
          <w:szCs w:val="20"/>
        </w:rPr>
        <w:t xml:space="preserve">, Caterina. “La protección de los derechos fundamentales en el espacio europeo y los diversos estándares posibles de protección: el caso del reconocimiento de la dimensión social del derecho a la vivienda por parte del TEDH”: </w:t>
      </w:r>
      <w:r w:rsidRPr="00BE09E4">
        <w:rPr>
          <w:i/>
          <w:sz w:val="20"/>
          <w:szCs w:val="20"/>
        </w:rPr>
        <w:t>Anales de derecho</w:t>
      </w:r>
      <w:r w:rsidRPr="00BE09E4">
        <w:rPr>
          <w:sz w:val="20"/>
          <w:szCs w:val="20"/>
        </w:rPr>
        <w:t xml:space="preserve">, Nº. Extra 1, 2020 (Ejemplar dedicado a: Número especial </w:t>
      </w:r>
      <w:proofErr w:type="spellStart"/>
      <w:r w:rsidRPr="00BE09E4">
        <w:rPr>
          <w:sz w:val="20"/>
          <w:szCs w:val="20"/>
        </w:rPr>
        <w:t>AdD</w:t>
      </w:r>
      <w:proofErr w:type="spellEnd"/>
      <w:r w:rsidRPr="00BE09E4">
        <w:rPr>
          <w:sz w:val="20"/>
          <w:szCs w:val="20"/>
        </w:rPr>
        <w:t>: el TEDH en su sesenta aniversario).</w:t>
      </w:r>
    </w:p>
    <w:p w14:paraId="60EB6A3A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257146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Duque Santamaría</w:t>
      </w:r>
      <w:r w:rsidRPr="00BE09E4">
        <w:rPr>
          <w:sz w:val="20"/>
          <w:szCs w:val="20"/>
        </w:rPr>
        <w:t xml:space="preserve">, Ruth; </w:t>
      </w:r>
      <w:r w:rsidRPr="00BE09E4">
        <w:rPr>
          <w:caps/>
          <w:sz w:val="20"/>
          <w:szCs w:val="20"/>
        </w:rPr>
        <w:t>Zafra García</w:t>
      </w:r>
      <w:r w:rsidRPr="00BE09E4">
        <w:rPr>
          <w:sz w:val="20"/>
          <w:szCs w:val="20"/>
        </w:rPr>
        <w:t xml:space="preserve">, Celia. “La distribución de seguros a través de agentes de seguros (vinculados y exclusivos)”: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365-391.</w:t>
      </w:r>
    </w:p>
    <w:p w14:paraId="21B68B6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30E11E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Esquivias Jaramillo</w:t>
      </w:r>
      <w:r w:rsidRPr="00BE09E4">
        <w:rPr>
          <w:sz w:val="20"/>
          <w:szCs w:val="20"/>
        </w:rPr>
        <w:t xml:space="preserve">, José Ignacio. “Transparencia e información en la contratación de productos financieros”: </w:t>
      </w:r>
      <w:proofErr w:type="spellStart"/>
      <w:r w:rsidRPr="00BE09E4">
        <w:rPr>
          <w:i/>
          <w:sz w:val="20"/>
          <w:szCs w:val="20"/>
        </w:rPr>
        <w:t>CEFLegal</w:t>
      </w:r>
      <w:proofErr w:type="spellEnd"/>
      <w:r w:rsidRPr="00BE09E4">
        <w:rPr>
          <w:i/>
          <w:sz w:val="20"/>
          <w:szCs w:val="20"/>
        </w:rPr>
        <w:t>: revista práctica de derecho. Comentarios y casos prácticos</w:t>
      </w:r>
      <w:r w:rsidRPr="00BE09E4">
        <w:rPr>
          <w:sz w:val="20"/>
          <w:szCs w:val="20"/>
        </w:rPr>
        <w:t>, Nº. 244, 2021.</w:t>
      </w:r>
    </w:p>
    <w:p w14:paraId="7DD0D86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00BB8D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Esteve Alguacil</w:t>
      </w:r>
      <w:r w:rsidRPr="00BE09E4">
        <w:rPr>
          <w:sz w:val="20"/>
          <w:szCs w:val="20"/>
        </w:rPr>
        <w:t xml:space="preserve">, Laura; </w:t>
      </w:r>
      <w:r w:rsidRPr="00BE09E4">
        <w:rPr>
          <w:caps/>
          <w:sz w:val="20"/>
          <w:szCs w:val="20"/>
        </w:rPr>
        <w:t>Elizalde Salazar</w:t>
      </w:r>
      <w:r w:rsidRPr="00BE09E4">
        <w:rPr>
          <w:sz w:val="20"/>
          <w:szCs w:val="20"/>
        </w:rPr>
        <w:t xml:space="preserve">, Idoia. “La reforma de </w:t>
      </w:r>
      <w:proofErr w:type="spellStart"/>
      <w:r w:rsidRPr="00BE09E4">
        <w:rPr>
          <w:sz w:val="20"/>
          <w:szCs w:val="20"/>
        </w:rPr>
        <w:t>l'obligació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d'oferir</w:t>
      </w:r>
      <w:proofErr w:type="spellEnd"/>
      <w:r w:rsidRPr="00BE09E4">
        <w:rPr>
          <w:sz w:val="20"/>
          <w:szCs w:val="20"/>
        </w:rPr>
        <w:t xml:space="preserve"> una </w:t>
      </w:r>
      <w:proofErr w:type="spellStart"/>
      <w:r w:rsidRPr="00BE09E4">
        <w:rPr>
          <w:sz w:val="20"/>
          <w:szCs w:val="20"/>
        </w:rPr>
        <w:t>proposta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lloguer</w:t>
      </w:r>
      <w:proofErr w:type="spellEnd"/>
      <w:r w:rsidRPr="00BE09E4">
        <w:rPr>
          <w:sz w:val="20"/>
          <w:szCs w:val="20"/>
        </w:rPr>
        <w:t xml:space="preserve"> social i </w:t>
      </w:r>
      <w:proofErr w:type="spellStart"/>
      <w:r w:rsidRPr="00BE09E4">
        <w:rPr>
          <w:sz w:val="20"/>
          <w:szCs w:val="20"/>
        </w:rPr>
        <w:t>altres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novetats</w:t>
      </w:r>
      <w:proofErr w:type="spellEnd"/>
      <w:r w:rsidRPr="00BE09E4">
        <w:rPr>
          <w:sz w:val="20"/>
          <w:szCs w:val="20"/>
        </w:rPr>
        <w:t xml:space="preserve"> del </w:t>
      </w:r>
      <w:proofErr w:type="spellStart"/>
      <w:r w:rsidRPr="00BE09E4">
        <w:rPr>
          <w:sz w:val="20"/>
          <w:szCs w:val="20"/>
        </w:rPr>
        <w:t>Decret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Llei</w:t>
      </w:r>
      <w:proofErr w:type="spellEnd"/>
      <w:r w:rsidRPr="00BE09E4">
        <w:rPr>
          <w:sz w:val="20"/>
          <w:szCs w:val="20"/>
        </w:rPr>
        <w:t xml:space="preserve"> 17/2019. Una </w:t>
      </w:r>
      <w:proofErr w:type="spellStart"/>
      <w:r w:rsidRPr="00BE09E4">
        <w:rPr>
          <w:sz w:val="20"/>
          <w:szCs w:val="20"/>
        </w:rPr>
        <w:t>anàlisi</w:t>
      </w:r>
      <w:proofErr w:type="spellEnd"/>
      <w:r w:rsidRPr="00BE09E4">
        <w:rPr>
          <w:sz w:val="20"/>
          <w:szCs w:val="20"/>
        </w:rPr>
        <w:t xml:space="preserve"> des del </w:t>
      </w:r>
      <w:proofErr w:type="spellStart"/>
      <w:r w:rsidRPr="00BE09E4">
        <w:rPr>
          <w:sz w:val="20"/>
          <w:szCs w:val="20"/>
        </w:rPr>
        <w:t>dret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privat</w:t>
      </w:r>
      <w:proofErr w:type="spellEnd"/>
      <w:r w:rsidRPr="00BE09E4">
        <w:rPr>
          <w:sz w:val="20"/>
          <w:szCs w:val="20"/>
        </w:rPr>
        <w:t xml:space="preserve">”: </w:t>
      </w:r>
      <w:r w:rsidRPr="00BE09E4">
        <w:rPr>
          <w:i/>
          <w:sz w:val="20"/>
          <w:szCs w:val="20"/>
        </w:rPr>
        <w:t xml:space="preserve">Revista Catalana de </w:t>
      </w:r>
      <w:proofErr w:type="spellStart"/>
      <w:r w:rsidRPr="00BE09E4">
        <w:rPr>
          <w:i/>
          <w:sz w:val="20"/>
          <w:szCs w:val="20"/>
        </w:rPr>
        <w:t>Dret</w:t>
      </w:r>
      <w:proofErr w:type="spellEnd"/>
      <w:r w:rsidRPr="00BE09E4">
        <w:rPr>
          <w:i/>
          <w:sz w:val="20"/>
          <w:szCs w:val="20"/>
        </w:rPr>
        <w:t xml:space="preserve"> </w:t>
      </w:r>
      <w:proofErr w:type="spellStart"/>
      <w:r w:rsidRPr="00BE09E4">
        <w:rPr>
          <w:i/>
          <w:sz w:val="20"/>
          <w:szCs w:val="20"/>
        </w:rPr>
        <w:t>Privat</w:t>
      </w:r>
      <w:proofErr w:type="spellEnd"/>
      <w:r w:rsidRPr="00BE09E4">
        <w:rPr>
          <w:sz w:val="20"/>
          <w:szCs w:val="20"/>
        </w:rPr>
        <w:t>, Vol. 22, 2020, págs. 39-75.</w:t>
      </w:r>
    </w:p>
    <w:p w14:paraId="6CBE276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5FB8A5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Fabré</w:t>
      </w:r>
      <w:r w:rsidRPr="00BE09E4">
        <w:rPr>
          <w:sz w:val="20"/>
          <w:szCs w:val="20"/>
        </w:rPr>
        <w:t xml:space="preserve">, Joaquín. “La aplicación de la doctrina 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sic </w:t>
      </w:r>
      <w:proofErr w:type="spellStart"/>
      <w:r w:rsidRPr="00BE09E4">
        <w:rPr>
          <w:sz w:val="20"/>
          <w:szCs w:val="20"/>
        </w:rPr>
        <w:t>stantibus</w:t>
      </w:r>
      <w:proofErr w:type="spellEnd"/>
      <w:r w:rsidRPr="00BE09E4">
        <w:rPr>
          <w:sz w:val="20"/>
          <w:szCs w:val="20"/>
        </w:rPr>
        <w:t xml:space="preserve"> en los contratos de financiación”: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972, 2021.</w:t>
      </w:r>
    </w:p>
    <w:p w14:paraId="2DF619D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54B4EA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Fauvet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Loïc</w:t>
      </w:r>
      <w:proofErr w:type="spellEnd"/>
      <w:r w:rsidRPr="00BE09E4">
        <w:rPr>
          <w:sz w:val="20"/>
          <w:szCs w:val="20"/>
        </w:rPr>
        <w:t xml:space="preserve">. “Algunos aspectos del derecho francés sobre el contrato de seguro y la pandemia del Covid-19”: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535-560.</w:t>
      </w:r>
    </w:p>
    <w:p w14:paraId="4516852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BFE6955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Fidalgo Gallardo</w:t>
      </w:r>
      <w:r w:rsidRPr="00BE09E4">
        <w:rPr>
          <w:sz w:val="20"/>
          <w:szCs w:val="20"/>
        </w:rPr>
        <w:t xml:space="preserve">, Carlos. “Segunda Oportunidad y exoneración del crédito público. En torno al Auto del Juzgado de lo Mercantil de Cádiz 117/2021 de 7 de mayo”: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9864, 2021.</w:t>
      </w:r>
    </w:p>
    <w:p w14:paraId="3A1B9EA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2C14AC3" w14:textId="0AD93A27" w:rsidR="001F7F10" w:rsidRPr="00740F3B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Font de Mora Rullán</w:t>
      </w:r>
      <w:r w:rsidRPr="00BE09E4">
        <w:rPr>
          <w:sz w:val="20"/>
          <w:szCs w:val="20"/>
        </w:rPr>
        <w:t xml:space="preserve">, Jaime. “La menor onerosidad para el deudor como regla interpretativa de principio en la ejecución civil”: </w:t>
      </w:r>
      <w:r w:rsidRPr="00BE09E4">
        <w:rPr>
          <w:i/>
          <w:sz w:val="20"/>
          <w:szCs w:val="20"/>
        </w:rPr>
        <w:t>Proceso civil: cuaderno jurídico</w:t>
      </w:r>
      <w:r w:rsidRPr="00BE09E4">
        <w:rPr>
          <w:sz w:val="20"/>
          <w:szCs w:val="20"/>
        </w:rPr>
        <w:t>, Nº. 143, 2021, págs. 25-27.</w:t>
      </w:r>
    </w:p>
    <w:p w14:paraId="7C5E178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Franch Fluxà</w:t>
      </w:r>
      <w:r w:rsidRPr="00BE09E4">
        <w:rPr>
          <w:sz w:val="20"/>
          <w:szCs w:val="20"/>
        </w:rPr>
        <w:t xml:space="preserve">, Juan. “La aplicación de la cláusula 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a los contratos turísticos debido a la pandemia Covid-19”: </w:t>
      </w:r>
      <w:r w:rsidRPr="00BE09E4">
        <w:rPr>
          <w:i/>
          <w:sz w:val="20"/>
          <w:szCs w:val="20"/>
        </w:rPr>
        <w:t>La Ley mercantil</w:t>
      </w:r>
      <w:r w:rsidRPr="00BE09E4">
        <w:rPr>
          <w:sz w:val="20"/>
          <w:szCs w:val="20"/>
        </w:rPr>
        <w:t>, Nº. 78 (marzo), 2021.</w:t>
      </w:r>
    </w:p>
    <w:p w14:paraId="40B92CB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AF676B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Fuentes Devesa</w:t>
      </w:r>
      <w:r w:rsidRPr="00BE09E4">
        <w:rPr>
          <w:sz w:val="20"/>
          <w:szCs w:val="20"/>
        </w:rPr>
        <w:t xml:space="preserve">, Rafael. “¿Se aplica el art 394 LEC en los litigios con consumidores?: comentario a la STS nº 35/2021, de 27 de enero”: </w:t>
      </w:r>
      <w:r w:rsidRPr="00BE09E4">
        <w:rPr>
          <w:i/>
          <w:sz w:val="20"/>
          <w:szCs w:val="20"/>
        </w:rPr>
        <w:t>La Ley mercantil</w:t>
      </w:r>
      <w:r w:rsidRPr="00BE09E4">
        <w:rPr>
          <w:sz w:val="20"/>
          <w:szCs w:val="20"/>
        </w:rPr>
        <w:t>, Nº. 78 (marzo), 2021.</w:t>
      </w:r>
    </w:p>
    <w:p w14:paraId="7C35812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BA8AF3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Gadea Soler</w:t>
      </w:r>
      <w:r w:rsidRPr="00BE09E4">
        <w:rPr>
          <w:sz w:val="20"/>
          <w:szCs w:val="20"/>
        </w:rPr>
        <w:t xml:space="preserve">, Enrique. “El beneficio de la exoneración del pasivo insatisfecho. Tratamiento de los créditos públicos y por alimentos en las primeras resoluciones dictadas después de la entrada en vigor del TRLC”: </w:t>
      </w:r>
      <w:r w:rsidRPr="00BE09E4">
        <w:rPr>
          <w:i/>
          <w:sz w:val="20"/>
          <w:szCs w:val="20"/>
        </w:rPr>
        <w:t>Revista de Derecho, Empresa y Sociedad (REDS)</w:t>
      </w:r>
      <w:r w:rsidRPr="00BE09E4">
        <w:rPr>
          <w:sz w:val="20"/>
          <w:szCs w:val="20"/>
        </w:rPr>
        <w:t>, Nº. 17, 2020, págs. 20-36.</w:t>
      </w:r>
    </w:p>
    <w:p w14:paraId="015719D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5880C4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Gálvez Criado</w:t>
      </w:r>
      <w:r w:rsidRPr="00BE09E4">
        <w:rPr>
          <w:sz w:val="20"/>
          <w:szCs w:val="20"/>
        </w:rPr>
        <w:t xml:space="preserve">, Antonio.  “El derecho de cancelación del usuario de la reserva de alojamientos turísticos”: </w:t>
      </w:r>
      <w:r w:rsidRPr="00BE09E4">
        <w:rPr>
          <w:i/>
          <w:sz w:val="20"/>
          <w:szCs w:val="20"/>
        </w:rPr>
        <w:t>Revista de Estudios Jurídicos y Criminológicos</w:t>
      </w:r>
      <w:r w:rsidRPr="00BE09E4">
        <w:rPr>
          <w:sz w:val="20"/>
          <w:szCs w:val="20"/>
        </w:rPr>
        <w:t>, Nº. 3, 2021, págs. 65-102.</w:t>
      </w:r>
    </w:p>
    <w:p w14:paraId="4F4CB7B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D30F9B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García González</w:t>
      </w:r>
      <w:r w:rsidRPr="00BE09E4">
        <w:rPr>
          <w:sz w:val="20"/>
          <w:szCs w:val="20"/>
        </w:rPr>
        <w:t xml:space="preserve">, César. “Información previa y gobernanza de producto en la distribución en seguros de No Vida”: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481-494.</w:t>
      </w:r>
    </w:p>
    <w:p w14:paraId="6AE8192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51AA25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sz w:val="20"/>
          <w:szCs w:val="20"/>
        </w:rPr>
        <w:t xml:space="preserve">GARCÍA HERNÁNDEZ, Alba. “¿Abrir el grifo equivale a celebrar un contrato? El Tribunal de Justicia de la Unión Europea se pronuncia sobre los suministros no consentidos”: </w:t>
      </w:r>
      <w:r w:rsidRPr="00BE09E4">
        <w:rPr>
          <w:i/>
          <w:sz w:val="20"/>
          <w:szCs w:val="20"/>
        </w:rPr>
        <w:t>Revista CESCO de Derecho de Consumo</w:t>
      </w:r>
      <w:r w:rsidRPr="00BE09E4">
        <w:rPr>
          <w:sz w:val="20"/>
          <w:szCs w:val="20"/>
        </w:rPr>
        <w:t>, Nº 38 (abril-junio) 2021, págs. 11-25.</w:t>
      </w:r>
    </w:p>
    <w:p w14:paraId="49D20F0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A96BD2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García Hernando</w:t>
      </w:r>
      <w:r w:rsidRPr="00BE09E4">
        <w:rPr>
          <w:sz w:val="20"/>
          <w:szCs w:val="20"/>
        </w:rPr>
        <w:t xml:space="preserve">, Jesús Antonio. “La falta de concreción y determinación del concepto de consumidor vulnerable en el RDL 1/2021”: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9858, 2021.</w:t>
      </w:r>
    </w:p>
    <w:p w14:paraId="23E383E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A48A6C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García Mexía</w:t>
      </w:r>
      <w:r w:rsidRPr="00BE09E4">
        <w:rPr>
          <w:sz w:val="20"/>
          <w:szCs w:val="20"/>
        </w:rPr>
        <w:t xml:space="preserve">, Pablo Luis. “Inteligencia artificial: una mirada desde el Derecho”: </w:t>
      </w:r>
      <w:r w:rsidRPr="00BE09E4">
        <w:rPr>
          <w:i/>
          <w:sz w:val="20"/>
          <w:szCs w:val="20"/>
        </w:rPr>
        <w:t>Anales de la Academia Matritense del Notariado</w:t>
      </w:r>
      <w:r w:rsidRPr="00BE09E4">
        <w:rPr>
          <w:sz w:val="20"/>
          <w:szCs w:val="20"/>
        </w:rPr>
        <w:t xml:space="preserve">, Tomo 60, 2020 (Ejemplar dedicado a: In memoriam Antonio </w:t>
      </w:r>
      <w:proofErr w:type="spellStart"/>
      <w:r w:rsidRPr="00BE09E4">
        <w:rPr>
          <w:sz w:val="20"/>
          <w:szCs w:val="20"/>
        </w:rPr>
        <w:t>Ipiens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Llorca</w:t>
      </w:r>
      <w:proofErr w:type="spellEnd"/>
      <w:r w:rsidRPr="00BE09E4">
        <w:rPr>
          <w:sz w:val="20"/>
          <w:szCs w:val="20"/>
        </w:rPr>
        <w:t>), págs. 117-157.</w:t>
      </w:r>
    </w:p>
    <w:p w14:paraId="003353C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C20A15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Gilo Gómez</w:t>
      </w:r>
      <w:r w:rsidRPr="00BE09E4">
        <w:rPr>
          <w:sz w:val="20"/>
          <w:szCs w:val="20"/>
        </w:rPr>
        <w:t xml:space="preserve">, César. “La importancia del derecho </w:t>
      </w:r>
      <w:proofErr w:type="spellStart"/>
      <w:r w:rsidRPr="00BE09E4">
        <w:rPr>
          <w:sz w:val="20"/>
          <w:szCs w:val="20"/>
        </w:rPr>
        <w:t>preconcursal</w:t>
      </w:r>
      <w:proofErr w:type="spellEnd"/>
      <w:r w:rsidRPr="00BE09E4">
        <w:rPr>
          <w:sz w:val="20"/>
          <w:szCs w:val="20"/>
        </w:rPr>
        <w:t xml:space="preserve"> en el Real Decreto legislativo 1/2020, de 5 de mayo, por el que se aprueba el texto refundido de la Ley concursal”: </w:t>
      </w:r>
      <w:proofErr w:type="spellStart"/>
      <w:r w:rsidRPr="00BE09E4">
        <w:rPr>
          <w:i/>
          <w:sz w:val="20"/>
          <w:szCs w:val="20"/>
        </w:rPr>
        <w:t>CEFLegal</w:t>
      </w:r>
      <w:proofErr w:type="spellEnd"/>
      <w:r w:rsidRPr="00BE09E4">
        <w:rPr>
          <w:i/>
          <w:sz w:val="20"/>
          <w:szCs w:val="20"/>
        </w:rPr>
        <w:t>: revista práctica de derecho. Comentarios y casos prácticos</w:t>
      </w:r>
      <w:r w:rsidRPr="00BE09E4">
        <w:rPr>
          <w:sz w:val="20"/>
          <w:szCs w:val="20"/>
        </w:rPr>
        <w:t>, Nº. 244, 2021.</w:t>
      </w:r>
    </w:p>
    <w:p w14:paraId="1ADAC0C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5236F2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Gómez Aguilera</w:t>
      </w:r>
      <w:r w:rsidRPr="00BE09E4">
        <w:rPr>
          <w:sz w:val="20"/>
          <w:szCs w:val="20"/>
        </w:rPr>
        <w:t xml:space="preserve">, Ángel Marcos. “El control judicial de la existencia de cláusulas abusivas en el proceso de ejecución del contrato de préstamos hipotecarios concertados con consumidores: análisis del estado actual de la cuestión”: </w:t>
      </w:r>
      <w:r w:rsidRPr="00BE09E4">
        <w:rPr>
          <w:i/>
          <w:sz w:val="20"/>
          <w:szCs w:val="20"/>
        </w:rPr>
        <w:t>Revista de derecho bancario y bursátil</w:t>
      </w:r>
      <w:r w:rsidRPr="00BE09E4">
        <w:rPr>
          <w:sz w:val="20"/>
          <w:szCs w:val="20"/>
        </w:rPr>
        <w:t>, Año nº 40, Nº 161, 2021, págs. 181-204.</w:t>
      </w:r>
    </w:p>
    <w:p w14:paraId="4B6C46F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3EA7D9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Gómez Asensio</w:t>
      </w:r>
      <w:r w:rsidRPr="00BE09E4">
        <w:rPr>
          <w:sz w:val="20"/>
          <w:szCs w:val="20"/>
        </w:rPr>
        <w:t xml:space="preserve">, Carlos. “Reestructuración, concurso y exoneración del deudor persona natural”: </w:t>
      </w:r>
      <w:r w:rsidRPr="00BE09E4">
        <w:rPr>
          <w:i/>
          <w:sz w:val="20"/>
          <w:szCs w:val="20"/>
        </w:rPr>
        <w:t>Anuario de derecho concursal</w:t>
      </w:r>
      <w:r w:rsidRPr="00BE09E4">
        <w:rPr>
          <w:sz w:val="20"/>
          <w:szCs w:val="20"/>
        </w:rPr>
        <w:t>, Nº. 52, 2021, págs. 323-356.</w:t>
      </w:r>
    </w:p>
    <w:p w14:paraId="25E0F53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22C971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Gómez Ligüerre</w:t>
      </w:r>
      <w:r w:rsidRPr="00BE09E4">
        <w:rPr>
          <w:sz w:val="20"/>
          <w:szCs w:val="20"/>
        </w:rPr>
        <w:t xml:space="preserve">, Carlos Ignacio. “Seguro de responsabilidad civil, limitación de coberturas y responsabilidad de la aseguradora frente a terceros: Comentario a la STS de 6 de julio de 2020 (RJ 2030, 2296)”: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149-164.</w:t>
      </w:r>
    </w:p>
    <w:p w14:paraId="43AC880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CEC0D86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sz w:val="20"/>
          <w:szCs w:val="20"/>
        </w:rPr>
        <w:t xml:space="preserve">GONZÁLEZ VAQUÉ, Luis. “¿La Tecnología de la Inteligencia Artificial (IA) puede perjudicar o favorecer a los consumidores?”: </w:t>
      </w:r>
      <w:r w:rsidRPr="00BE09E4">
        <w:rPr>
          <w:i/>
          <w:sz w:val="20"/>
          <w:szCs w:val="20"/>
        </w:rPr>
        <w:t>Revista CESCO de Derecho de Consumo</w:t>
      </w:r>
      <w:r w:rsidRPr="00BE09E4">
        <w:rPr>
          <w:sz w:val="20"/>
          <w:szCs w:val="20"/>
        </w:rPr>
        <w:t>, Nº 38 (abril-junio) 2021, págs. 26-41.</w:t>
      </w:r>
    </w:p>
    <w:p w14:paraId="16CFAD5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83AA0E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González-Meneses García-Valdecasas</w:t>
      </w:r>
      <w:r w:rsidRPr="00BE09E4">
        <w:rPr>
          <w:sz w:val="20"/>
          <w:szCs w:val="20"/>
        </w:rPr>
        <w:t>, Manuel. “"</w:t>
      </w:r>
      <w:proofErr w:type="spellStart"/>
      <w:r w:rsidRPr="00BE09E4">
        <w:rPr>
          <w:sz w:val="20"/>
          <w:szCs w:val="20"/>
        </w:rPr>
        <w:t>Smarts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contracts</w:t>
      </w:r>
      <w:proofErr w:type="spellEnd"/>
      <w:r w:rsidRPr="00BE09E4">
        <w:rPr>
          <w:sz w:val="20"/>
          <w:szCs w:val="20"/>
        </w:rPr>
        <w:t xml:space="preserve">": ¿una economía sin derecho contractual?”: </w:t>
      </w:r>
      <w:r w:rsidRPr="00BE09E4">
        <w:rPr>
          <w:i/>
          <w:sz w:val="20"/>
          <w:szCs w:val="20"/>
        </w:rPr>
        <w:t>Anales de la Academia Matritense del Notariado</w:t>
      </w:r>
      <w:r w:rsidRPr="00BE09E4">
        <w:rPr>
          <w:sz w:val="20"/>
          <w:szCs w:val="20"/>
        </w:rPr>
        <w:t xml:space="preserve">, Tomo 60, 2020 (Ejemplar dedicado a: In memoriam Antonio </w:t>
      </w:r>
      <w:proofErr w:type="spellStart"/>
      <w:r w:rsidRPr="00BE09E4">
        <w:rPr>
          <w:sz w:val="20"/>
          <w:szCs w:val="20"/>
        </w:rPr>
        <w:t>Ipiens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Llorca</w:t>
      </w:r>
      <w:proofErr w:type="spellEnd"/>
      <w:r w:rsidRPr="00BE09E4">
        <w:rPr>
          <w:sz w:val="20"/>
          <w:szCs w:val="20"/>
        </w:rPr>
        <w:t>), págs. 55-87.</w:t>
      </w:r>
    </w:p>
    <w:p w14:paraId="3C3B88C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2FAD90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González-Meneses García-Valdecasas</w:t>
      </w:r>
      <w:r w:rsidRPr="00BE09E4">
        <w:rPr>
          <w:sz w:val="20"/>
          <w:szCs w:val="20"/>
        </w:rPr>
        <w:t>, Manuel. “</w:t>
      </w:r>
      <w:proofErr w:type="spellStart"/>
      <w:r w:rsidRPr="00BE09E4">
        <w:rPr>
          <w:sz w:val="20"/>
          <w:szCs w:val="20"/>
        </w:rPr>
        <w:t>Blockchain</w:t>
      </w:r>
      <w:proofErr w:type="spellEnd"/>
      <w:r w:rsidRPr="00BE09E4">
        <w:rPr>
          <w:sz w:val="20"/>
          <w:szCs w:val="20"/>
        </w:rPr>
        <w:t xml:space="preserve"> y función notarial”: </w:t>
      </w:r>
      <w:r w:rsidRPr="00BE09E4">
        <w:rPr>
          <w:i/>
          <w:sz w:val="20"/>
          <w:szCs w:val="20"/>
        </w:rPr>
        <w:t>Revista Jurídica del Notariado</w:t>
      </w:r>
      <w:r w:rsidRPr="00BE09E4">
        <w:rPr>
          <w:sz w:val="20"/>
          <w:szCs w:val="20"/>
        </w:rPr>
        <w:t>, Nº 111, 2020, págs. 119-147.</w:t>
      </w:r>
    </w:p>
    <w:p w14:paraId="7C64340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B2E19D6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Guerra Pérez</w:t>
      </w:r>
      <w:r w:rsidRPr="00BE09E4">
        <w:rPr>
          <w:sz w:val="20"/>
          <w:szCs w:val="20"/>
        </w:rPr>
        <w:t xml:space="preserve">, Miguel. “Monitorio y vencimiento anticipado en la financiación de venta de vehículo”: </w:t>
      </w:r>
      <w:r w:rsidRPr="00BE09E4">
        <w:rPr>
          <w:i/>
          <w:sz w:val="20"/>
          <w:szCs w:val="20"/>
        </w:rPr>
        <w:t>Proceso civil: cuaderno jurídico</w:t>
      </w:r>
      <w:r w:rsidRPr="00BE09E4">
        <w:rPr>
          <w:sz w:val="20"/>
          <w:szCs w:val="20"/>
        </w:rPr>
        <w:t>, Nº. 143, 2021, págs. 28-32.</w:t>
      </w:r>
    </w:p>
    <w:p w14:paraId="22A20049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BF1A65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Guilabert Vidal</w:t>
      </w:r>
      <w:r w:rsidRPr="00BE09E4">
        <w:rPr>
          <w:sz w:val="20"/>
          <w:szCs w:val="20"/>
        </w:rPr>
        <w:t xml:space="preserve">, María Remedios. “Menores y videojuegos: protección jurídica actual y responsabilidad civil frente a las conductas adictivas”: </w:t>
      </w:r>
      <w:r w:rsidRPr="00BE09E4">
        <w:rPr>
          <w:i/>
          <w:sz w:val="20"/>
          <w:szCs w:val="20"/>
        </w:rPr>
        <w:t>Revista de derecho pr</w:t>
      </w:r>
      <w:r w:rsidRPr="00BE09E4">
        <w:rPr>
          <w:sz w:val="20"/>
          <w:szCs w:val="20"/>
        </w:rPr>
        <w:t>ivado, Año nº 105, Mes 2, 2021, págs. 85-118.</w:t>
      </w:r>
    </w:p>
    <w:p w14:paraId="40865B4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D6965B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Guinea Fernández</w:t>
      </w:r>
      <w:r w:rsidRPr="00BE09E4">
        <w:rPr>
          <w:sz w:val="20"/>
          <w:szCs w:val="20"/>
        </w:rPr>
        <w:t xml:space="preserve">, David Rafael. “Vehículos a motor y responsabilidad civil derivada de incendios”: </w:t>
      </w:r>
      <w:r w:rsidRPr="00BE09E4">
        <w:rPr>
          <w:i/>
          <w:sz w:val="20"/>
          <w:szCs w:val="20"/>
        </w:rPr>
        <w:t>Revista Crítica de Derecho Inmobiliario</w:t>
      </w:r>
      <w:r w:rsidRPr="00BE09E4">
        <w:rPr>
          <w:sz w:val="20"/>
          <w:szCs w:val="20"/>
        </w:rPr>
        <w:t>, Año nº 97, Nº 784, 2021, págs. 1290-1307.</w:t>
      </w:r>
    </w:p>
    <w:p w14:paraId="4F6F5DD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E70DF6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Gutiérrez Darwich</w:t>
      </w:r>
      <w:r w:rsidRPr="00BE09E4">
        <w:rPr>
          <w:sz w:val="20"/>
          <w:szCs w:val="20"/>
        </w:rPr>
        <w:t xml:space="preserve">, María Eugenia. “Procesos de ejecución directa de hipotecas por cláusulas de vencimiento anticipado tras la sentencia del Tribunal de Justicia de la Unión Europea de 26 de marzo de 2019”: </w:t>
      </w:r>
      <w:r w:rsidRPr="00BE09E4">
        <w:rPr>
          <w:i/>
          <w:sz w:val="20"/>
          <w:szCs w:val="20"/>
        </w:rPr>
        <w:t xml:space="preserve">Revista Catalana de </w:t>
      </w:r>
      <w:proofErr w:type="spellStart"/>
      <w:r w:rsidRPr="00BE09E4">
        <w:rPr>
          <w:i/>
          <w:sz w:val="20"/>
          <w:szCs w:val="20"/>
        </w:rPr>
        <w:t>Dret</w:t>
      </w:r>
      <w:proofErr w:type="spellEnd"/>
      <w:r w:rsidRPr="00BE09E4">
        <w:rPr>
          <w:i/>
          <w:sz w:val="20"/>
          <w:szCs w:val="20"/>
        </w:rPr>
        <w:t xml:space="preserve"> </w:t>
      </w:r>
      <w:proofErr w:type="spellStart"/>
      <w:r w:rsidRPr="00BE09E4">
        <w:rPr>
          <w:i/>
          <w:sz w:val="20"/>
          <w:szCs w:val="20"/>
        </w:rPr>
        <w:t>Privat</w:t>
      </w:r>
      <w:proofErr w:type="spellEnd"/>
      <w:r w:rsidRPr="00BE09E4">
        <w:rPr>
          <w:sz w:val="20"/>
          <w:szCs w:val="20"/>
        </w:rPr>
        <w:t>, Vol. 21, 2020, págs. 243-256.</w:t>
      </w:r>
    </w:p>
    <w:p w14:paraId="4B37060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8EFEAFB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Hinojosa Segovia</w:t>
      </w:r>
      <w:r w:rsidRPr="00BE09E4">
        <w:rPr>
          <w:sz w:val="20"/>
          <w:szCs w:val="20"/>
        </w:rPr>
        <w:t xml:space="preserve">, Rafael. “Los sistemas adecuados de solución de controversias en el Anteproyecto de Ley de medidas de eficiencia procesal del servicio público de Justicia”: </w:t>
      </w:r>
      <w:r w:rsidRPr="00BE09E4">
        <w:rPr>
          <w:i/>
          <w:sz w:val="20"/>
          <w:szCs w:val="20"/>
        </w:rPr>
        <w:t>La Ley. Mediación y arbitraje</w:t>
      </w:r>
      <w:r w:rsidRPr="00BE09E4">
        <w:rPr>
          <w:sz w:val="20"/>
          <w:szCs w:val="20"/>
        </w:rPr>
        <w:t>, Nº. 5, 2021 (Ejemplar dedicado a: La (des)protección de inversiones en el Acuerdo de Comercio y Cooperación entre la Unión Europea y el Reino Unido (TCA)).</w:t>
      </w:r>
    </w:p>
    <w:p w14:paraId="471652E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E768EA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Horcajuelo Rivera</w:t>
      </w:r>
      <w:r w:rsidRPr="00BE09E4">
        <w:rPr>
          <w:sz w:val="20"/>
          <w:szCs w:val="20"/>
        </w:rPr>
        <w:t xml:space="preserve">, Víctor; </w:t>
      </w:r>
      <w:r w:rsidRPr="00BE09E4">
        <w:rPr>
          <w:caps/>
          <w:sz w:val="20"/>
          <w:szCs w:val="20"/>
        </w:rPr>
        <w:t>Enrique Rivas</w:t>
      </w:r>
      <w:r w:rsidRPr="00BE09E4">
        <w:rPr>
          <w:sz w:val="20"/>
          <w:szCs w:val="20"/>
        </w:rPr>
        <w:t xml:space="preserve">, José. “La nueva regulación de las comunicaciones comerciales de las actividades de juego”: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968, 2020.</w:t>
      </w:r>
    </w:p>
    <w:p w14:paraId="654C763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160D18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Hurtado Yelo</w:t>
      </w:r>
      <w:r w:rsidRPr="00BE09E4">
        <w:rPr>
          <w:sz w:val="20"/>
          <w:szCs w:val="20"/>
        </w:rPr>
        <w:t xml:space="preserve">, Juan José. “La prescripción de acciones en la siniestralidad vial”: </w:t>
      </w:r>
      <w:r w:rsidRPr="00BE09E4">
        <w:rPr>
          <w:i/>
          <w:sz w:val="20"/>
          <w:szCs w:val="20"/>
        </w:rPr>
        <w:t>Práctica de tribunales: revista de derecho procesal civil y mercantil</w:t>
      </w:r>
      <w:r w:rsidRPr="00BE09E4">
        <w:rPr>
          <w:sz w:val="20"/>
          <w:szCs w:val="20"/>
        </w:rPr>
        <w:t>, Nº. 148, 2021.</w:t>
      </w:r>
    </w:p>
    <w:p w14:paraId="3A524FC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2CB602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Illescas Ortiz</w:t>
      </w:r>
      <w:r w:rsidRPr="00BE09E4">
        <w:rPr>
          <w:sz w:val="20"/>
          <w:szCs w:val="20"/>
        </w:rPr>
        <w:t xml:space="preserve">, Rafael. “La permanencia de la Ley del contrato de seguro frente a la permanente inestabilidad de sus normas de comercialización”: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125-130.</w:t>
      </w:r>
    </w:p>
    <w:p w14:paraId="4F35AB3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8F6230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Izaguirre Díaz</w:t>
      </w:r>
      <w:r w:rsidRPr="00BE09E4">
        <w:rPr>
          <w:sz w:val="20"/>
          <w:szCs w:val="20"/>
        </w:rPr>
        <w:t xml:space="preserve">, Amaia. “¿Cree que la última jurisprudencia ha mejorado la transparencia de las cláusulas suelo?”: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973, 2021.</w:t>
      </w:r>
    </w:p>
    <w:p w14:paraId="75AB211A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121E6EB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Jiménez de Gaona</w:t>
      </w:r>
      <w:r w:rsidRPr="00BE09E4">
        <w:rPr>
          <w:sz w:val="20"/>
          <w:szCs w:val="20"/>
        </w:rPr>
        <w:t xml:space="preserve">, Dolores. “¿Comparte los criterios del TS de su última sentencia sobre IRPH?”: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968, 2020.</w:t>
      </w:r>
    </w:p>
    <w:p w14:paraId="4CA4A49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34BA2F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Jiménez Guerrero</w:t>
      </w:r>
      <w:r w:rsidRPr="00BE09E4">
        <w:rPr>
          <w:sz w:val="20"/>
          <w:szCs w:val="20"/>
        </w:rPr>
        <w:t xml:space="preserve">, Lola. “¿Cree que la última jurisprudencia ha mejorado la transparencia de las cláusulas suelo?”: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973, 2021.</w:t>
      </w:r>
    </w:p>
    <w:p w14:paraId="67B8346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DC5965A" w14:textId="73CDF3F8" w:rsidR="001F7F10" w:rsidRPr="00740F3B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Jiménez Paris</w:t>
      </w:r>
      <w:r w:rsidRPr="00BE09E4">
        <w:rPr>
          <w:sz w:val="20"/>
          <w:szCs w:val="20"/>
        </w:rPr>
        <w:t xml:space="preserve">, Teresa Asunción. “Arrendamientos urbanos, epidemia del COVID-19 y estado de alarma (II): suspensión de los desahucios con arreglo al Real Decreto Ley 37/2020, de 23 de diciembre”: </w:t>
      </w:r>
      <w:r w:rsidRPr="00BE09E4">
        <w:rPr>
          <w:i/>
          <w:sz w:val="20"/>
          <w:szCs w:val="20"/>
        </w:rPr>
        <w:t>Revista Crítica de Derecho Inmobiliario</w:t>
      </w:r>
      <w:r w:rsidRPr="00BE09E4">
        <w:rPr>
          <w:sz w:val="20"/>
          <w:szCs w:val="20"/>
        </w:rPr>
        <w:t>, Año nº 97, Nº 784, 2021, págs. 1308-1335.</w:t>
      </w:r>
    </w:p>
    <w:p w14:paraId="0025D34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La Casa</w:t>
      </w:r>
      <w:r w:rsidRPr="00BE09E4">
        <w:rPr>
          <w:sz w:val="20"/>
          <w:szCs w:val="20"/>
        </w:rPr>
        <w:t xml:space="preserve">, Rafael. “Las ventas combinadas y vinculadas en el ámbito de la distribución de seguros”: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183-216.</w:t>
      </w:r>
    </w:p>
    <w:p w14:paraId="46267FA4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DFB894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Lacaba Sánchez</w:t>
      </w:r>
      <w:r w:rsidRPr="00BE09E4">
        <w:rPr>
          <w:sz w:val="20"/>
          <w:szCs w:val="20"/>
        </w:rPr>
        <w:t xml:space="preserve">, Fernando. “Hacia la transparencia y la cláusula lesiva en los seguros. Análisis casuístico de la SAP Girona de 3 de febrero de 2021 sobre el cierre de negocio por la legislación Covid-19”: </w:t>
      </w:r>
      <w:r w:rsidRPr="00BE09E4">
        <w:rPr>
          <w:i/>
          <w:sz w:val="20"/>
          <w:szCs w:val="20"/>
        </w:rPr>
        <w:t xml:space="preserve">Revista de Derecho </w:t>
      </w:r>
      <w:proofErr w:type="spellStart"/>
      <w:r w:rsidRPr="00BE09E4">
        <w:rPr>
          <w:i/>
          <w:sz w:val="20"/>
          <w:szCs w:val="20"/>
        </w:rPr>
        <w:t>vLex</w:t>
      </w:r>
      <w:proofErr w:type="spellEnd"/>
      <w:r w:rsidRPr="00BE09E4">
        <w:rPr>
          <w:sz w:val="20"/>
          <w:szCs w:val="20"/>
        </w:rPr>
        <w:t>, Nª. 203, Abril 2021.</w:t>
      </w:r>
    </w:p>
    <w:p w14:paraId="45CF253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6D38B7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Leonardo Zorrilla</w:t>
      </w:r>
      <w:r w:rsidRPr="00BE09E4">
        <w:rPr>
          <w:sz w:val="20"/>
          <w:szCs w:val="20"/>
        </w:rPr>
        <w:t xml:space="preserve">, Alberto. “La "nueva" Ley de Segunda Oportunidad y la posible inconstitucionalidad del blindaje de los créditos de derecho público”: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967, 2020.</w:t>
      </w:r>
    </w:p>
    <w:p w14:paraId="6C994D6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03C7DE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López Jiménez</w:t>
      </w:r>
      <w:r w:rsidRPr="00BE09E4">
        <w:rPr>
          <w:sz w:val="20"/>
          <w:szCs w:val="20"/>
        </w:rPr>
        <w:t xml:space="preserve">, José María. “La protección de los consumidores y las acciones de representación: una primera aproximación a la Directiva (UE) 2020/1828”: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9834, 2021.</w:t>
      </w:r>
    </w:p>
    <w:p w14:paraId="3BB7EEC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A50F21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López San Luis</w:t>
      </w:r>
      <w:r w:rsidRPr="00BE09E4">
        <w:rPr>
          <w:sz w:val="20"/>
          <w:szCs w:val="20"/>
        </w:rPr>
        <w:t xml:space="preserve">, Rocío. “Cuantificación del daño moral en la cancelación y gran retraso de los vuelos en el </w:t>
      </w:r>
      <w:r>
        <w:rPr>
          <w:sz w:val="20"/>
          <w:szCs w:val="20"/>
        </w:rPr>
        <w:t xml:space="preserve">transporte aéreo de pasajeros”: </w:t>
      </w:r>
      <w:r w:rsidRPr="00BE09E4">
        <w:rPr>
          <w:i/>
          <w:sz w:val="20"/>
          <w:szCs w:val="20"/>
        </w:rPr>
        <w:t>Práctica derecho daños: Revista de Responsabilidad Civil y Seguros</w:t>
      </w:r>
      <w:r w:rsidRPr="00BE09E4">
        <w:rPr>
          <w:sz w:val="20"/>
          <w:szCs w:val="20"/>
        </w:rPr>
        <w:t>, Nº. 146, 2021, pág. 3.</w:t>
      </w:r>
    </w:p>
    <w:p w14:paraId="2E62FD2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6964A2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Macho Carro</w:t>
      </w:r>
      <w:r w:rsidRPr="00BE09E4">
        <w:rPr>
          <w:sz w:val="20"/>
          <w:szCs w:val="20"/>
        </w:rPr>
        <w:t xml:space="preserve">, Alberto. “La pérdida de la vivienda habitual en la doctrina del TEDH: una injerencia extrema en el derecho al respeto del domicilio”: </w:t>
      </w:r>
      <w:r w:rsidRPr="00BE09E4">
        <w:rPr>
          <w:i/>
          <w:sz w:val="20"/>
          <w:szCs w:val="20"/>
        </w:rPr>
        <w:t>Anales de derecho</w:t>
      </w:r>
      <w:r w:rsidRPr="00BE09E4">
        <w:rPr>
          <w:sz w:val="20"/>
          <w:szCs w:val="20"/>
        </w:rPr>
        <w:t xml:space="preserve">, Nº. Extra 1, 2020 (Ejemplar dedicado a: Número especial </w:t>
      </w:r>
      <w:proofErr w:type="spellStart"/>
      <w:r w:rsidRPr="00BE09E4">
        <w:rPr>
          <w:sz w:val="20"/>
          <w:szCs w:val="20"/>
        </w:rPr>
        <w:t>AdD</w:t>
      </w:r>
      <w:proofErr w:type="spellEnd"/>
      <w:r w:rsidRPr="00BE09E4">
        <w:rPr>
          <w:sz w:val="20"/>
          <w:szCs w:val="20"/>
        </w:rPr>
        <w:t>: el TEDH en su sesenta aniversario).</w:t>
      </w:r>
    </w:p>
    <w:p w14:paraId="6EA7D8F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83A6B6B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Madrid Parra</w:t>
      </w:r>
      <w:r w:rsidRPr="00BE09E4">
        <w:rPr>
          <w:sz w:val="20"/>
          <w:szCs w:val="20"/>
        </w:rPr>
        <w:t xml:space="preserve">, Agustín. “La urgente y tardía regulación de la distribución de seguros mediante el RD-ley 3/2020, de 4 de febrero”: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131-155.</w:t>
      </w:r>
    </w:p>
    <w:p w14:paraId="3437C80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B00A9E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Madridejos Fernández</w:t>
      </w:r>
      <w:r w:rsidRPr="00BE09E4">
        <w:rPr>
          <w:sz w:val="20"/>
          <w:szCs w:val="20"/>
        </w:rPr>
        <w:t xml:space="preserve">, Alfonso. “¿Nadie va a derogar nunca el artículo 28 de la Ley Hipotecaria?”: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96, 2021, págs. 14-19.</w:t>
      </w:r>
    </w:p>
    <w:p w14:paraId="4383C19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0A6853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Magro Servet</w:t>
      </w:r>
      <w:r w:rsidRPr="00BE09E4">
        <w:rPr>
          <w:sz w:val="20"/>
          <w:szCs w:val="20"/>
        </w:rPr>
        <w:t xml:space="preserve">, Vicente. “¿Cómo ha afectado el coronavirus al derecho del seguro?”: </w:t>
      </w:r>
      <w:proofErr w:type="spellStart"/>
      <w:r w:rsidRPr="00BE09E4">
        <w:rPr>
          <w:i/>
          <w:sz w:val="20"/>
          <w:szCs w:val="20"/>
        </w:rPr>
        <w:t>CEFLegal</w:t>
      </w:r>
      <w:proofErr w:type="spellEnd"/>
      <w:r w:rsidRPr="00BE09E4">
        <w:rPr>
          <w:i/>
          <w:sz w:val="20"/>
          <w:szCs w:val="20"/>
        </w:rPr>
        <w:t>: revista práctica de derecho</w:t>
      </w:r>
      <w:r w:rsidRPr="00BE09E4">
        <w:rPr>
          <w:sz w:val="20"/>
          <w:szCs w:val="20"/>
        </w:rPr>
        <w:t>. Comentarios y casos prácticos, Nº. 245, 2021.</w:t>
      </w:r>
    </w:p>
    <w:p w14:paraId="7F50594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87DE6A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sz w:val="20"/>
          <w:szCs w:val="20"/>
        </w:rPr>
        <w:t xml:space="preserve">MARIN LOPEZ, Manuel Jesús. “La prescripción de la acción de restitución de cantidades tras la nulidad de un crédito </w:t>
      </w:r>
      <w:proofErr w:type="spellStart"/>
      <w:r w:rsidRPr="00BE09E4">
        <w:rPr>
          <w:sz w:val="20"/>
          <w:szCs w:val="20"/>
        </w:rPr>
        <w:t>revolving</w:t>
      </w:r>
      <w:proofErr w:type="spellEnd"/>
      <w:r w:rsidRPr="00BE09E4">
        <w:rPr>
          <w:sz w:val="20"/>
          <w:szCs w:val="20"/>
        </w:rPr>
        <w:t xml:space="preserve"> usurario”: </w:t>
      </w:r>
      <w:r w:rsidRPr="00BE09E4">
        <w:rPr>
          <w:i/>
          <w:sz w:val="20"/>
          <w:szCs w:val="20"/>
        </w:rPr>
        <w:t>Revista CESCO de Derecho de Consumo</w:t>
      </w:r>
      <w:r w:rsidRPr="00BE09E4">
        <w:rPr>
          <w:sz w:val="20"/>
          <w:szCs w:val="20"/>
        </w:rPr>
        <w:t>, Nº 38 (abril-junio) 2021, págs. 56-83.</w:t>
      </w:r>
    </w:p>
    <w:p w14:paraId="2105E02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974B89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Marín López</w:t>
      </w:r>
      <w:r w:rsidRPr="00BE09E4">
        <w:rPr>
          <w:sz w:val="20"/>
          <w:szCs w:val="20"/>
        </w:rPr>
        <w:t xml:space="preserve">, Manuel Jesús. “Moratoria hipotecaria legal y convencional en el pago de préstamos hipotecarios a causa del COVID-19”: </w:t>
      </w:r>
      <w:r w:rsidRPr="00BE09E4">
        <w:rPr>
          <w:i/>
          <w:sz w:val="20"/>
          <w:szCs w:val="20"/>
        </w:rPr>
        <w:t>Revista de derecho bancario y bursátil</w:t>
      </w:r>
      <w:r w:rsidRPr="00BE09E4">
        <w:rPr>
          <w:sz w:val="20"/>
          <w:szCs w:val="20"/>
        </w:rPr>
        <w:t>, Año nº 40, Nº 161, 2021, págs. 83-154.</w:t>
      </w:r>
    </w:p>
    <w:p w14:paraId="0DDB62B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465B2F5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Marinêz de Oliveira</w:t>
      </w:r>
      <w:r w:rsidRPr="00BE09E4">
        <w:rPr>
          <w:sz w:val="20"/>
          <w:szCs w:val="20"/>
        </w:rPr>
        <w:t xml:space="preserve">, Xavier. “O contrato de transporte de </w:t>
      </w:r>
      <w:proofErr w:type="spellStart"/>
      <w:r w:rsidRPr="00BE09E4">
        <w:rPr>
          <w:sz w:val="20"/>
          <w:szCs w:val="20"/>
        </w:rPr>
        <w:t>pessoas</w:t>
      </w:r>
      <w:proofErr w:type="spellEnd"/>
      <w:r w:rsidRPr="00BE09E4">
        <w:rPr>
          <w:sz w:val="20"/>
          <w:szCs w:val="20"/>
        </w:rPr>
        <w:t xml:space="preserve">: elementos constitutivos e </w:t>
      </w:r>
      <w:proofErr w:type="spellStart"/>
      <w:r w:rsidRPr="00BE09E4">
        <w:rPr>
          <w:sz w:val="20"/>
          <w:szCs w:val="20"/>
        </w:rPr>
        <w:t>vicissitudes</w:t>
      </w:r>
      <w:proofErr w:type="spellEnd"/>
      <w:r w:rsidRPr="00BE09E4">
        <w:rPr>
          <w:sz w:val="20"/>
          <w:szCs w:val="20"/>
        </w:rPr>
        <w:t xml:space="preserve"> jurídicas relevantes”: </w:t>
      </w:r>
      <w:r w:rsidRPr="00BE09E4">
        <w:rPr>
          <w:i/>
          <w:sz w:val="20"/>
          <w:szCs w:val="20"/>
        </w:rPr>
        <w:t>Anuario de la Facultad de Derecho. Universidad de Extremadura</w:t>
      </w:r>
      <w:r w:rsidRPr="00BE09E4">
        <w:rPr>
          <w:sz w:val="20"/>
          <w:szCs w:val="20"/>
        </w:rPr>
        <w:t>, Nº 36, 2020, págs. 729-756.</w:t>
      </w:r>
    </w:p>
    <w:p w14:paraId="3C8F439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F21930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Márquez Lasso</w:t>
      </w:r>
      <w:r w:rsidRPr="00BE09E4">
        <w:rPr>
          <w:sz w:val="20"/>
          <w:szCs w:val="20"/>
        </w:rPr>
        <w:t xml:space="preserve">, Daniel Eduardo. “La </w:t>
      </w:r>
      <w:proofErr w:type="spellStart"/>
      <w:r w:rsidRPr="00BE09E4">
        <w:rPr>
          <w:sz w:val="20"/>
          <w:szCs w:val="20"/>
        </w:rPr>
        <w:t>litigiosidad</w:t>
      </w:r>
      <w:proofErr w:type="spellEnd"/>
      <w:r w:rsidRPr="00BE09E4">
        <w:rPr>
          <w:sz w:val="20"/>
          <w:szCs w:val="20"/>
        </w:rPr>
        <w:t xml:space="preserve"> bancaria en el actual contexto normativo: a propósito de las tarjetas </w:t>
      </w:r>
      <w:proofErr w:type="spellStart"/>
      <w:r w:rsidRPr="00BE09E4">
        <w:rPr>
          <w:sz w:val="20"/>
          <w:szCs w:val="20"/>
        </w:rPr>
        <w:t>revolving</w:t>
      </w:r>
      <w:proofErr w:type="spellEnd"/>
      <w:r w:rsidRPr="00BE09E4">
        <w:rPr>
          <w:sz w:val="20"/>
          <w:szCs w:val="20"/>
        </w:rPr>
        <w:t xml:space="preserve"> y los préstamos </w:t>
      </w:r>
      <w:proofErr w:type="spellStart"/>
      <w:r w:rsidRPr="00BE09E4">
        <w:rPr>
          <w:sz w:val="20"/>
          <w:szCs w:val="20"/>
        </w:rPr>
        <w:t>multidivisa</w:t>
      </w:r>
      <w:proofErr w:type="spellEnd"/>
      <w:r w:rsidRPr="00BE09E4">
        <w:rPr>
          <w:sz w:val="20"/>
          <w:szCs w:val="20"/>
        </w:rPr>
        <w:t xml:space="preserve">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9842, 2021.</w:t>
      </w:r>
    </w:p>
    <w:p w14:paraId="26119DAD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CDAC98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Martín Fuster</w:t>
      </w:r>
      <w:r w:rsidRPr="00BE09E4">
        <w:rPr>
          <w:sz w:val="20"/>
          <w:szCs w:val="20"/>
        </w:rPr>
        <w:t xml:space="preserve">, Jesús. “La regulación de la cláusula 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sic </w:t>
      </w:r>
      <w:proofErr w:type="spellStart"/>
      <w:r w:rsidRPr="00BE09E4">
        <w:rPr>
          <w:sz w:val="20"/>
          <w:szCs w:val="20"/>
        </w:rPr>
        <w:t>stantibus</w:t>
      </w:r>
      <w:proofErr w:type="spellEnd"/>
      <w:r w:rsidRPr="00BE09E4">
        <w:rPr>
          <w:sz w:val="20"/>
          <w:szCs w:val="20"/>
        </w:rPr>
        <w:t xml:space="preserve">: ¿Una incorporación urgente y necesaria?”: </w:t>
      </w:r>
      <w:r w:rsidRPr="00BE09E4">
        <w:rPr>
          <w:i/>
          <w:sz w:val="20"/>
          <w:szCs w:val="20"/>
        </w:rPr>
        <w:t>Revista de Estudios Jurídicos y Criminológicos</w:t>
      </w:r>
      <w:r w:rsidRPr="00BE09E4">
        <w:rPr>
          <w:sz w:val="20"/>
          <w:szCs w:val="20"/>
        </w:rPr>
        <w:t>, Nº. 3, 2021, págs. 207-232.</w:t>
      </w:r>
    </w:p>
    <w:p w14:paraId="4072AF3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AB8A30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Martínez Escribano</w:t>
      </w:r>
      <w:r w:rsidRPr="00BE09E4">
        <w:rPr>
          <w:sz w:val="20"/>
          <w:szCs w:val="20"/>
        </w:rPr>
        <w:t xml:space="preserve">, Celia. “Productos defectuosos: delimitación de la responsabilidad del fabricante y del distribuidos pertenecientes al mismo grupo de empresas. Comentario a la STS pleno de 20 de julio 2020 (RJ2020, 2674)”: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251-264.</w:t>
      </w:r>
    </w:p>
    <w:p w14:paraId="68531969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702B12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Martínez López-Sáez</w:t>
      </w:r>
      <w:r w:rsidRPr="00BE09E4">
        <w:rPr>
          <w:sz w:val="20"/>
          <w:szCs w:val="20"/>
        </w:rPr>
        <w:t xml:space="preserve">, Mónica. “La ratificación española del Convenio 108+: consideraciones jurídicas básicas del nuevo marco Paneuropeo de protección de datos”: </w:t>
      </w:r>
      <w:r w:rsidRPr="00BE09E4">
        <w:rPr>
          <w:i/>
          <w:sz w:val="20"/>
          <w:szCs w:val="20"/>
        </w:rPr>
        <w:t>Revista General de Derecho Europeo</w:t>
      </w:r>
      <w:r w:rsidRPr="00BE09E4">
        <w:rPr>
          <w:sz w:val="20"/>
          <w:szCs w:val="20"/>
        </w:rPr>
        <w:t>, Nº. 54, 2021.</w:t>
      </w:r>
    </w:p>
    <w:p w14:paraId="1D520C9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FBAC3C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Martínez-Gijón Machuca</w:t>
      </w:r>
      <w:r w:rsidRPr="00BE09E4">
        <w:rPr>
          <w:sz w:val="20"/>
          <w:szCs w:val="20"/>
        </w:rPr>
        <w:t xml:space="preserve">, Pablo. “Diseño, aprobación, control y distribución de productos de seguro”: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217-238.</w:t>
      </w:r>
    </w:p>
    <w:p w14:paraId="6AF52326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95246D7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Medrano Aranguren</w:t>
      </w:r>
      <w:r w:rsidRPr="00BE09E4">
        <w:rPr>
          <w:sz w:val="20"/>
          <w:szCs w:val="20"/>
        </w:rPr>
        <w:t>, Adelaida. “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sic </w:t>
      </w:r>
      <w:proofErr w:type="spellStart"/>
      <w:r w:rsidRPr="00BE09E4">
        <w:rPr>
          <w:sz w:val="20"/>
          <w:szCs w:val="20"/>
        </w:rPr>
        <w:t>stantibus</w:t>
      </w:r>
      <w:proofErr w:type="spellEnd"/>
      <w:r w:rsidRPr="00BE09E4">
        <w:rPr>
          <w:sz w:val="20"/>
          <w:szCs w:val="20"/>
        </w:rPr>
        <w:t xml:space="preserve"> versus Real Decreto-ley 15/2020”: </w:t>
      </w:r>
      <w:proofErr w:type="spellStart"/>
      <w:r w:rsidRPr="00BE09E4">
        <w:rPr>
          <w:i/>
          <w:sz w:val="20"/>
          <w:szCs w:val="20"/>
        </w:rPr>
        <w:t>CEFLegal</w:t>
      </w:r>
      <w:proofErr w:type="spellEnd"/>
      <w:r w:rsidRPr="00BE09E4">
        <w:rPr>
          <w:i/>
          <w:sz w:val="20"/>
          <w:szCs w:val="20"/>
        </w:rPr>
        <w:t>: revista práctica de derecho. Comentarios y casos prácticos</w:t>
      </w:r>
      <w:r w:rsidRPr="00BE09E4">
        <w:rPr>
          <w:sz w:val="20"/>
          <w:szCs w:val="20"/>
        </w:rPr>
        <w:t>, Nº. 244, 2021.</w:t>
      </w:r>
    </w:p>
    <w:p w14:paraId="44747E7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423BB2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Medrano Aranguren</w:t>
      </w:r>
      <w:r w:rsidRPr="00BE09E4">
        <w:rPr>
          <w:sz w:val="20"/>
          <w:szCs w:val="20"/>
        </w:rPr>
        <w:t xml:space="preserve">, Adelaida. “Seguro de automóvil: vigencia tras la transmisión del vehículo”: </w:t>
      </w:r>
      <w:proofErr w:type="spellStart"/>
      <w:r w:rsidRPr="00BE09E4">
        <w:rPr>
          <w:i/>
          <w:sz w:val="20"/>
          <w:szCs w:val="20"/>
        </w:rPr>
        <w:t>CEFLegal</w:t>
      </w:r>
      <w:proofErr w:type="spellEnd"/>
      <w:r w:rsidRPr="00BE09E4">
        <w:rPr>
          <w:i/>
          <w:sz w:val="20"/>
          <w:szCs w:val="20"/>
        </w:rPr>
        <w:t>: revista práctica de derecho. Comentarios y casos prácticos</w:t>
      </w:r>
      <w:r w:rsidRPr="00BE09E4">
        <w:rPr>
          <w:sz w:val="20"/>
          <w:szCs w:val="20"/>
        </w:rPr>
        <w:t>, Nº. 243, 2021.</w:t>
      </w:r>
    </w:p>
    <w:p w14:paraId="29D0661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AE88746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sz w:val="20"/>
          <w:szCs w:val="20"/>
        </w:rPr>
        <w:t>MENDOZA LOSANA, Ana Isabel. “La factura de la luz: en constante reforma en busca de una quimera (la reducción del precio)”:</w:t>
      </w:r>
      <w:r w:rsidRPr="00BE09E4">
        <w:rPr>
          <w:i/>
          <w:sz w:val="20"/>
          <w:szCs w:val="20"/>
        </w:rPr>
        <w:t xml:space="preserve"> Revista CESCO de Derecho de Consumo</w:t>
      </w:r>
      <w:r w:rsidRPr="00BE09E4">
        <w:rPr>
          <w:sz w:val="20"/>
          <w:szCs w:val="20"/>
        </w:rPr>
        <w:t>, Nº 38 (abril-junio) 2021, págs. 42-55.</w:t>
      </w:r>
    </w:p>
    <w:p w14:paraId="3F157232" w14:textId="77777777" w:rsidR="00740F3B" w:rsidRPr="00BE09E4" w:rsidRDefault="00740F3B" w:rsidP="00740F3B">
      <w:pPr>
        <w:pStyle w:val="Prrafodelista"/>
        <w:ind w:left="360"/>
        <w:jc w:val="both"/>
        <w:rPr>
          <w:sz w:val="20"/>
          <w:szCs w:val="20"/>
        </w:rPr>
      </w:pPr>
    </w:p>
    <w:p w14:paraId="059A4DE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Milà Rafel</w:t>
      </w:r>
      <w:r w:rsidRPr="00BE09E4">
        <w:rPr>
          <w:sz w:val="20"/>
          <w:szCs w:val="20"/>
        </w:rPr>
        <w:t>, Rosa. “</w:t>
      </w:r>
      <w:proofErr w:type="spellStart"/>
      <w:r w:rsidRPr="00BE09E4">
        <w:rPr>
          <w:sz w:val="20"/>
          <w:szCs w:val="20"/>
        </w:rPr>
        <w:t>Integració</w:t>
      </w:r>
      <w:proofErr w:type="spellEnd"/>
      <w:r w:rsidRPr="00BE09E4">
        <w:rPr>
          <w:sz w:val="20"/>
          <w:szCs w:val="20"/>
        </w:rPr>
        <w:t xml:space="preserve"> contractual de </w:t>
      </w:r>
      <w:proofErr w:type="spellStart"/>
      <w:r w:rsidRPr="00BE09E4">
        <w:rPr>
          <w:sz w:val="20"/>
          <w:szCs w:val="20"/>
        </w:rPr>
        <w:t>clàusules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abusives</w:t>
      </w:r>
      <w:proofErr w:type="spellEnd"/>
      <w:r w:rsidRPr="00BE09E4">
        <w:rPr>
          <w:sz w:val="20"/>
          <w:szCs w:val="20"/>
        </w:rPr>
        <w:t xml:space="preserve">: el cas de la </w:t>
      </w:r>
      <w:proofErr w:type="spellStart"/>
      <w:r w:rsidRPr="00BE09E4">
        <w:rPr>
          <w:sz w:val="20"/>
          <w:szCs w:val="20"/>
        </w:rPr>
        <w:t>clàusula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venciment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anticipat</w:t>
      </w:r>
      <w:proofErr w:type="spellEnd"/>
      <w:r w:rsidRPr="00BE09E4">
        <w:rPr>
          <w:sz w:val="20"/>
          <w:szCs w:val="20"/>
        </w:rPr>
        <w:t xml:space="preserve"> en </w:t>
      </w:r>
      <w:proofErr w:type="spellStart"/>
      <w:r w:rsidRPr="00BE09E4">
        <w:rPr>
          <w:sz w:val="20"/>
          <w:szCs w:val="20"/>
        </w:rPr>
        <w:t>préstecs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hipotecaris</w:t>
      </w:r>
      <w:proofErr w:type="spellEnd"/>
      <w:r w:rsidRPr="00BE09E4">
        <w:rPr>
          <w:sz w:val="20"/>
          <w:szCs w:val="20"/>
        </w:rPr>
        <w:t xml:space="preserve">”: </w:t>
      </w:r>
      <w:r w:rsidRPr="00BE09E4">
        <w:rPr>
          <w:i/>
          <w:sz w:val="20"/>
          <w:szCs w:val="20"/>
        </w:rPr>
        <w:t xml:space="preserve">Revista Catalana de </w:t>
      </w:r>
      <w:proofErr w:type="spellStart"/>
      <w:r w:rsidRPr="00BE09E4">
        <w:rPr>
          <w:i/>
          <w:sz w:val="20"/>
          <w:szCs w:val="20"/>
        </w:rPr>
        <w:t>Dret</w:t>
      </w:r>
      <w:proofErr w:type="spellEnd"/>
      <w:r w:rsidRPr="00BE09E4">
        <w:rPr>
          <w:i/>
          <w:sz w:val="20"/>
          <w:szCs w:val="20"/>
        </w:rPr>
        <w:t xml:space="preserve"> </w:t>
      </w:r>
      <w:proofErr w:type="spellStart"/>
      <w:r w:rsidRPr="00BE09E4">
        <w:rPr>
          <w:i/>
          <w:sz w:val="20"/>
          <w:szCs w:val="20"/>
        </w:rPr>
        <w:t>Privat</w:t>
      </w:r>
      <w:proofErr w:type="spellEnd"/>
      <w:r w:rsidRPr="00BE09E4">
        <w:rPr>
          <w:sz w:val="20"/>
          <w:szCs w:val="20"/>
        </w:rPr>
        <w:t>, Vol. 22, 2020, págs. 11-38.</w:t>
      </w:r>
    </w:p>
    <w:p w14:paraId="0BAAE5E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64323C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Monforte</w:t>
      </w:r>
      <w:r w:rsidRPr="00BE09E4">
        <w:rPr>
          <w:sz w:val="20"/>
          <w:szCs w:val="20"/>
        </w:rPr>
        <w:t xml:space="preserve">, José Domingo. “Responsabilidad precontractual. La culpa in </w:t>
      </w:r>
      <w:proofErr w:type="spellStart"/>
      <w:r w:rsidRPr="00BE09E4">
        <w:rPr>
          <w:sz w:val="20"/>
          <w:szCs w:val="20"/>
        </w:rPr>
        <w:t>contrahendo</w:t>
      </w:r>
      <w:proofErr w:type="spellEnd"/>
      <w:r w:rsidRPr="00BE09E4">
        <w:rPr>
          <w:sz w:val="20"/>
          <w:szCs w:val="20"/>
        </w:rPr>
        <w:t xml:space="preserve">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9854, 2021.</w:t>
      </w:r>
    </w:p>
    <w:p w14:paraId="48C0D7C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92377A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Montiano</w:t>
      </w:r>
      <w:r w:rsidRPr="00BE09E4">
        <w:rPr>
          <w:sz w:val="20"/>
          <w:szCs w:val="20"/>
        </w:rPr>
        <w:t xml:space="preserve">, Francisco José. “COVID-19 y seguros, un año de convivencia”: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973, 2021.</w:t>
      </w:r>
    </w:p>
    <w:p w14:paraId="50B2845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B8B86F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Morente Parra</w:t>
      </w:r>
      <w:r w:rsidRPr="00BE09E4">
        <w:rPr>
          <w:sz w:val="20"/>
          <w:szCs w:val="20"/>
        </w:rPr>
        <w:t xml:space="preserve">, Vanesa. “La libertad de los modernos en la sociedad digital: 'el control de los datos os hará libres”: Derechos y libertades, Nº. 45, Junio 2021. </w:t>
      </w:r>
    </w:p>
    <w:p w14:paraId="62C5CCF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955A0C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Murillo de la Cueva</w:t>
      </w:r>
      <w:r w:rsidRPr="00BE09E4">
        <w:rPr>
          <w:sz w:val="20"/>
          <w:szCs w:val="20"/>
        </w:rPr>
        <w:t xml:space="preserve">, Enrique Lucas. “Sobre interés legítimo y protección de datos”: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9864, 2021.</w:t>
      </w:r>
    </w:p>
    <w:p w14:paraId="4507070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9A6867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Negro</w:t>
      </w:r>
      <w:r w:rsidRPr="00BE09E4">
        <w:rPr>
          <w:sz w:val="20"/>
          <w:szCs w:val="20"/>
        </w:rPr>
        <w:t xml:space="preserve">, Alejandro; </w:t>
      </w:r>
      <w:r w:rsidRPr="00BE09E4">
        <w:rPr>
          <w:caps/>
          <w:sz w:val="20"/>
          <w:szCs w:val="20"/>
        </w:rPr>
        <w:t>Bonhome</w:t>
      </w:r>
      <w:r w:rsidRPr="00BE09E4">
        <w:rPr>
          <w:sz w:val="20"/>
          <w:szCs w:val="20"/>
        </w:rPr>
        <w:t xml:space="preserve">, Carlos. “Protección de Datos y Distribución de Seguros en el Real Decreto-Ley 3/2020, de 4 de febrero”: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393-411.</w:t>
      </w:r>
    </w:p>
    <w:p w14:paraId="4481700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4B38C7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Ortega Redondo</w:t>
      </w:r>
      <w:r w:rsidRPr="00BE09E4">
        <w:rPr>
          <w:sz w:val="20"/>
          <w:szCs w:val="20"/>
        </w:rPr>
        <w:t xml:space="preserve">, Ana. “La excepción al desistimiento del consumidor en el suministro de bienes confeccionados conforme a sus especificaciones: la sentencia del Tribunal de Justicia de la Unión </w:t>
      </w:r>
      <w:r w:rsidRPr="00BE09E4">
        <w:rPr>
          <w:sz w:val="20"/>
          <w:szCs w:val="20"/>
        </w:rPr>
        <w:lastRenderedPageBreak/>
        <w:t>Europea (sala sexta), de 21 de octubre de 2020, en el asunto c529/19 (</w:t>
      </w:r>
      <w:proofErr w:type="spellStart"/>
      <w:r w:rsidRPr="00BE09E4">
        <w:rPr>
          <w:sz w:val="20"/>
          <w:szCs w:val="20"/>
        </w:rPr>
        <w:t>Möbel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Kraft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Gmbh</w:t>
      </w:r>
      <w:proofErr w:type="spellEnd"/>
      <w:r w:rsidRPr="00BE09E4">
        <w:rPr>
          <w:sz w:val="20"/>
          <w:szCs w:val="20"/>
        </w:rPr>
        <w:t xml:space="preserve"> &amp; </w:t>
      </w:r>
      <w:proofErr w:type="spellStart"/>
      <w:r w:rsidRPr="00BE09E4">
        <w:rPr>
          <w:sz w:val="20"/>
          <w:szCs w:val="20"/>
        </w:rPr>
        <w:t>co</w:t>
      </w:r>
      <w:proofErr w:type="spellEnd"/>
      <w:r w:rsidRPr="00BE09E4">
        <w:rPr>
          <w:sz w:val="20"/>
          <w:szCs w:val="20"/>
        </w:rPr>
        <w:t xml:space="preserve">. KG y ML)”: </w:t>
      </w:r>
      <w:r w:rsidRPr="00BE09E4">
        <w:rPr>
          <w:i/>
          <w:sz w:val="20"/>
          <w:szCs w:val="20"/>
        </w:rPr>
        <w:t>Actualidad jurídica Uría Menéndez</w:t>
      </w:r>
      <w:r w:rsidRPr="00BE09E4">
        <w:rPr>
          <w:sz w:val="20"/>
          <w:szCs w:val="20"/>
        </w:rPr>
        <w:t>, Nº. 55, 2021, págs. 246-249.</w:t>
      </w:r>
    </w:p>
    <w:p w14:paraId="6721905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DAB604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Padrón Villalba</w:t>
      </w:r>
      <w:r w:rsidRPr="00BE09E4">
        <w:rPr>
          <w:sz w:val="20"/>
          <w:szCs w:val="20"/>
        </w:rPr>
        <w:t>, Andrea. “Claroscuros de los Robo-</w:t>
      </w:r>
      <w:proofErr w:type="spellStart"/>
      <w:r w:rsidRPr="00BE09E4">
        <w:rPr>
          <w:sz w:val="20"/>
          <w:szCs w:val="20"/>
        </w:rPr>
        <w:t>Advisors</w:t>
      </w:r>
      <w:proofErr w:type="spellEnd"/>
      <w:r w:rsidRPr="00BE09E4">
        <w:rPr>
          <w:sz w:val="20"/>
          <w:szCs w:val="20"/>
        </w:rPr>
        <w:t xml:space="preserve">: inclusión financiera, regulación y consumidores”: </w:t>
      </w:r>
      <w:r w:rsidRPr="00BE09E4">
        <w:rPr>
          <w:i/>
          <w:sz w:val="20"/>
          <w:szCs w:val="20"/>
        </w:rPr>
        <w:t>Revista de derecho bancario y bursátil</w:t>
      </w:r>
      <w:r w:rsidRPr="00BE09E4">
        <w:rPr>
          <w:sz w:val="20"/>
          <w:szCs w:val="20"/>
        </w:rPr>
        <w:t>, Año nº 40, Nº 161, 2021, págs. 155-180.</w:t>
      </w:r>
    </w:p>
    <w:p w14:paraId="029860C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AC4760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Palazón Valentín</w:t>
      </w:r>
      <w:r w:rsidRPr="00BE09E4">
        <w:rPr>
          <w:sz w:val="20"/>
          <w:szCs w:val="20"/>
        </w:rPr>
        <w:t xml:space="preserve">, Pilar. “Pasado, presente y futuro de la Ley Hipotecaria”: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9829, 2021.</w:t>
      </w:r>
    </w:p>
    <w:p w14:paraId="4DEFA61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DC35A6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Peña López</w:t>
      </w:r>
      <w:r w:rsidRPr="00BE09E4">
        <w:rPr>
          <w:sz w:val="20"/>
          <w:szCs w:val="20"/>
        </w:rPr>
        <w:t>, Fernando. “El deber general de información, de evaluación de la idoneidad y de evaluación de la conveniencia de las entidades de servicios financieros y las consecuencias de su incumplimiento: Comentario a la STS DE 21 DE SEPTIEMBRE DE 2020 (</w:t>
      </w:r>
      <w:proofErr w:type="spellStart"/>
      <w:r w:rsidRPr="00BE09E4">
        <w:rPr>
          <w:sz w:val="20"/>
          <w:szCs w:val="20"/>
        </w:rPr>
        <w:t>rj</w:t>
      </w:r>
      <w:proofErr w:type="spellEnd"/>
      <w:r w:rsidRPr="00BE09E4">
        <w:rPr>
          <w:sz w:val="20"/>
          <w:szCs w:val="20"/>
        </w:rPr>
        <w:t xml:space="preserve"> 2020,3723)”: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351-372.</w:t>
      </w:r>
    </w:p>
    <w:p w14:paraId="4A710FE4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E7B874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Peñas Moyano</w:t>
      </w:r>
      <w:r w:rsidRPr="00BE09E4">
        <w:rPr>
          <w:sz w:val="20"/>
          <w:szCs w:val="20"/>
        </w:rPr>
        <w:t xml:space="preserve">, María Jesús. “Los mediadores y sus colaboradores. Las relaciones con la clientela y la entidad aseguradora”: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165-181.</w:t>
      </w:r>
    </w:p>
    <w:p w14:paraId="140091E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4E9CA8A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Pérez Grande</w:t>
      </w:r>
      <w:r w:rsidRPr="00BE09E4">
        <w:rPr>
          <w:sz w:val="20"/>
          <w:szCs w:val="20"/>
        </w:rPr>
        <w:t xml:space="preserve">, Miguel Ángel. “AEPD, Pacto Digital para la </w:t>
      </w:r>
      <w:proofErr w:type="spellStart"/>
      <w:r w:rsidRPr="00BE09E4">
        <w:rPr>
          <w:sz w:val="20"/>
          <w:szCs w:val="20"/>
        </w:rPr>
        <w:t>Protección</w:t>
      </w:r>
      <w:proofErr w:type="spellEnd"/>
      <w:r w:rsidRPr="00BE09E4">
        <w:rPr>
          <w:sz w:val="20"/>
          <w:szCs w:val="20"/>
        </w:rPr>
        <w:t xml:space="preserve"> de las Personas. Una apuesta por una </w:t>
      </w:r>
      <w:proofErr w:type="spellStart"/>
      <w:r w:rsidRPr="00BE09E4">
        <w:rPr>
          <w:sz w:val="20"/>
          <w:szCs w:val="20"/>
        </w:rPr>
        <w:t>innovación</w:t>
      </w:r>
      <w:proofErr w:type="spellEnd"/>
      <w:r w:rsidRPr="00BE09E4">
        <w:rPr>
          <w:sz w:val="20"/>
          <w:szCs w:val="20"/>
        </w:rPr>
        <w:t xml:space="preserve"> responsable y sostenible”: </w:t>
      </w:r>
      <w:r w:rsidRPr="00BE09E4">
        <w:rPr>
          <w:i/>
          <w:sz w:val="20"/>
          <w:szCs w:val="20"/>
        </w:rPr>
        <w:t>Comunicaciones en propiedad industrial y derecho de la competencia</w:t>
      </w:r>
      <w:r w:rsidRPr="00BE09E4">
        <w:rPr>
          <w:sz w:val="20"/>
          <w:szCs w:val="20"/>
        </w:rPr>
        <w:t>, Nº. 92 (enero-abril), 2021, págs. 71-84.</w:t>
      </w:r>
    </w:p>
    <w:p w14:paraId="480C13D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2629EF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Pérez Martínez</w:t>
      </w:r>
      <w:r w:rsidRPr="00BE09E4">
        <w:rPr>
          <w:sz w:val="20"/>
          <w:szCs w:val="20"/>
        </w:rPr>
        <w:t xml:space="preserve">, Lorena. “Sobrevivir a la segunda oportunidad”: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973, 2021.</w:t>
      </w:r>
    </w:p>
    <w:p w14:paraId="6C7A0EF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19E4A9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Pérez Martínez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May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Rubby</w:t>
      </w:r>
      <w:proofErr w:type="spellEnd"/>
      <w:r w:rsidRPr="00BE09E4">
        <w:rPr>
          <w:sz w:val="20"/>
          <w:szCs w:val="20"/>
        </w:rPr>
        <w:t xml:space="preserve">. “Protección de datos personales y derecho a la autodeterminación informativa: Régimen jurídico”: </w:t>
      </w:r>
      <w:r w:rsidRPr="00BE09E4">
        <w:rPr>
          <w:i/>
          <w:sz w:val="20"/>
          <w:szCs w:val="20"/>
        </w:rPr>
        <w:t>Revista de Derecho</w:t>
      </w:r>
      <w:r w:rsidRPr="00BE09E4">
        <w:rPr>
          <w:sz w:val="20"/>
          <w:szCs w:val="20"/>
        </w:rPr>
        <w:t>, Nº. 28, 2020, págs. 107-138.</w:t>
      </w:r>
    </w:p>
    <w:p w14:paraId="50A069B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50513D6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Pérez Ramos</w:t>
      </w:r>
      <w:r w:rsidRPr="00BE09E4">
        <w:rPr>
          <w:sz w:val="20"/>
          <w:szCs w:val="20"/>
        </w:rPr>
        <w:t xml:space="preserve">, Carlos. “Pretendiendo explicar una posible reforma del artículo 28 de la Ley Hipotecaria”: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96, 2021, págs. 28-33.</w:t>
      </w:r>
    </w:p>
    <w:p w14:paraId="1ED6B79C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E4E9E5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Pérez-Serrabona González</w:t>
      </w:r>
      <w:r w:rsidRPr="00BE09E4">
        <w:rPr>
          <w:sz w:val="20"/>
          <w:szCs w:val="20"/>
        </w:rPr>
        <w:t xml:space="preserve">, F. Javier. “Reflexiones sobre la nueva ley de distribución de seguros y reaseguros privados y lo referido a los mecanismos de resolución de conflictos”: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289-317.</w:t>
      </w:r>
    </w:p>
    <w:p w14:paraId="191DFC3A" w14:textId="77777777" w:rsidR="001F7F10" w:rsidRPr="00BE09E4" w:rsidRDefault="001F7F10" w:rsidP="001F7F10">
      <w:pPr>
        <w:pStyle w:val="Prrafodelista"/>
        <w:jc w:val="both"/>
        <w:rPr>
          <w:sz w:val="20"/>
          <w:szCs w:val="20"/>
        </w:rPr>
      </w:pPr>
    </w:p>
    <w:p w14:paraId="2E61F78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Pertíñez Vílchez</w:t>
      </w:r>
      <w:r w:rsidRPr="00BE09E4">
        <w:rPr>
          <w:sz w:val="20"/>
          <w:szCs w:val="20"/>
        </w:rPr>
        <w:t xml:space="preserve">, Francisco. “Control de la transparencia y acciones de cesación: Comentario a la STS de 7 de julio de 2020 (RJ 2020, 2298)”: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181-192.</w:t>
      </w:r>
    </w:p>
    <w:p w14:paraId="7F61508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35A3EA0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Quicios Molina</w:t>
      </w:r>
      <w:r w:rsidRPr="00BE09E4">
        <w:rPr>
          <w:sz w:val="20"/>
          <w:szCs w:val="20"/>
        </w:rPr>
        <w:t xml:space="preserve">, María Susana. “Incumplimiento de la obligación de información en preferentes y </w:t>
      </w:r>
      <w:proofErr w:type="spellStart"/>
      <w:r w:rsidRPr="00BE09E4">
        <w:rPr>
          <w:sz w:val="20"/>
          <w:szCs w:val="20"/>
        </w:rPr>
        <w:t>subordinadoas</w:t>
      </w:r>
      <w:proofErr w:type="spellEnd"/>
      <w:r w:rsidRPr="00BE09E4">
        <w:rPr>
          <w:sz w:val="20"/>
          <w:szCs w:val="20"/>
        </w:rPr>
        <w:t>: han de descontarse los rendimientos obtenidos por el cliente para valorar el daño indemnizable. Comentario a la STS 21 DE JULIO DE 2020 (</w:t>
      </w:r>
      <w:proofErr w:type="spellStart"/>
      <w:r w:rsidRPr="00BE09E4">
        <w:rPr>
          <w:sz w:val="20"/>
          <w:szCs w:val="20"/>
        </w:rPr>
        <w:t>rj</w:t>
      </w:r>
      <w:proofErr w:type="spellEnd"/>
      <w:r w:rsidRPr="00BE09E4">
        <w:rPr>
          <w:sz w:val="20"/>
          <w:szCs w:val="20"/>
        </w:rPr>
        <w:t xml:space="preserve"> 2020, 2694)”: </w:t>
      </w:r>
      <w:r w:rsidRPr="00BE09E4">
        <w:rPr>
          <w:i/>
          <w:sz w:val="20"/>
          <w:szCs w:val="20"/>
        </w:rPr>
        <w:t xml:space="preserve">Cuadernos </w:t>
      </w:r>
      <w:proofErr w:type="spellStart"/>
      <w:r w:rsidRPr="00BE09E4">
        <w:rPr>
          <w:i/>
          <w:sz w:val="20"/>
          <w:szCs w:val="20"/>
        </w:rPr>
        <w:t>Civitas</w:t>
      </w:r>
      <w:proofErr w:type="spellEnd"/>
      <w:r w:rsidRPr="00BE09E4">
        <w:rPr>
          <w:i/>
          <w:sz w:val="20"/>
          <w:szCs w:val="20"/>
        </w:rPr>
        <w:t xml:space="preserve"> de jurisprudencia civil</w:t>
      </w:r>
      <w:r w:rsidRPr="00BE09E4">
        <w:rPr>
          <w:sz w:val="20"/>
          <w:szCs w:val="20"/>
        </w:rPr>
        <w:t>, Nº 115, 2021, págs. 265-284.</w:t>
      </w:r>
    </w:p>
    <w:p w14:paraId="4821715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606020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Quintana Zuazúa</w:t>
      </w:r>
      <w:r w:rsidRPr="00BE09E4">
        <w:rPr>
          <w:sz w:val="20"/>
          <w:szCs w:val="20"/>
        </w:rPr>
        <w:t>, Juan Manuel. “</w:t>
      </w:r>
      <w:proofErr w:type="spellStart"/>
      <w:r w:rsidRPr="00BE09E4">
        <w:rPr>
          <w:sz w:val="20"/>
          <w:szCs w:val="20"/>
        </w:rPr>
        <w:t>Ciberriesgos</w:t>
      </w:r>
      <w:proofErr w:type="spellEnd"/>
      <w:r w:rsidRPr="00BE09E4">
        <w:rPr>
          <w:sz w:val="20"/>
          <w:szCs w:val="20"/>
        </w:rPr>
        <w:t xml:space="preserve"> y pandemia: objetividad, subjetividad y especificidad de la variación del riesgo asegurado”: </w:t>
      </w:r>
      <w:r w:rsidRPr="00BE09E4">
        <w:rPr>
          <w:i/>
          <w:sz w:val="20"/>
          <w:szCs w:val="20"/>
        </w:rPr>
        <w:t xml:space="preserve">Revista española de seguros: Publicación </w:t>
      </w:r>
      <w:r w:rsidRPr="00BE09E4">
        <w:rPr>
          <w:i/>
          <w:sz w:val="20"/>
          <w:szCs w:val="20"/>
        </w:rPr>
        <w:lastRenderedPageBreak/>
        <w:t>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417-432.</w:t>
      </w:r>
    </w:p>
    <w:p w14:paraId="6F8998B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CB3B4B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Ramos Alves</w:t>
      </w:r>
      <w:r w:rsidRPr="00BE09E4">
        <w:rPr>
          <w:sz w:val="20"/>
          <w:szCs w:val="20"/>
        </w:rPr>
        <w:t xml:space="preserve">, Hugo. “Breves notas sobre la promesa financiera”: </w:t>
      </w:r>
      <w:r w:rsidRPr="00BE09E4">
        <w:rPr>
          <w:i/>
          <w:sz w:val="20"/>
          <w:szCs w:val="20"/>
        </w:rPr>
        <w:t>Revista de la Facultad de Derecho de la Universidad de Lisboa</w:t>
      </w:r>
      <w:r>
        <w:rPr>
          <w:sz w:val="20"/>
          <w:szCs w:val="20"/>
        </w:rPr>
        <w:t>, vol. 61, NO. 2, 2020</w:t>
      </w:r>
      <w:r w:rsidRPr="00BE09E4">
        <w:rPr>
          <w:sz w:val="20"/>
          <w:szCs w:val="20"/>
        </w:rPr>
        <w:t>, pág. 347-383.</w:t>
      </w:r>
    </w:p>
    <w:p w14:paraId="65279D7A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BD12D7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Ramos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Maria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Elisabete</w:t>
      </w:r>
      <w:proofErr w:type="spellEnd"/>
      <w:r w:rsidRPr="00BE09E4">
        <w:rPr>
          <w:sz w:val="20"/>
          <w:szCs w:val="20"/>
        </w:rPr>
        <w:t xml:space="preserve">. “Contrato de seguro en tiempos de inseguridad pandémica la experiencia portuguesa”: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503-534.</w:t>
      </w:r>
    </w:p>
    <w:p w14:paraId="62CAB18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50A87AE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Redondo Trigo</w:t>
      </w:r>
      <w:r w:rsidRPr="00BE09E4">
        <w:rPr>
          <w:sz w:val="20"/>
          <w:szCs w:val="20"/>
        </w:rPr>
        <w:t xml:space="preserve">, Francisco. “Daños consecuenciales, lucro cesante y limitación contractual de responsabilidad en accidente de aeronave en terminal aeroportuaria”: </w:t>
      </w:r>
      <w:r w:rsidRPr="00BE09E4">
        <w:rPr>
          <w:i/>
          <w:sz w:val="20"/>
          <w:szCs w:val="20"/>
        </w:rPr>
        <w:t>Revista Crítica de Derecho Inmobiliario</w:t>
      </w:r>
      <w:r w:rsidRPr="00BE09E4">
        <w:rPr>
          <w:sz w:val="20"/>
          <w:szCs w:val="20"/>
        </w:rPr>
        <w:t>, Año nº 97, Nº 784, 2021, págs. 1336-1353.</w:t>
      </w:r>
    </w:p>
    <w:p w14:paraId="5003D1B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D901E9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Requeijo Torcal</w:t>
      </w:r>
      <w:r w:rsidRPr="00BE09E4">
        <w:rPr>
          <w:sz w:val="20"/>
          <w:szCs w:val="20"/>
        </w:rPr>
        <w:t xml:space="preserve">, Álvaro. “Adaptación del sistema de gobierno de planes y fondos de pensiones en el contexto del Covid-19”: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182, 2020, págs. 201-240.</w:t>
      </w:r>
    </w:p>
    <w:p w14:paraId="5CF3200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621D409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Requeijo Torcal</w:t>
      </w:r>
      <w:r w:rsidRPr="00BE09E4">
        <w:rPr>
          <w:sz w:val="20"/>
          <w:szCs w:val="20"/>
        </w:rPr>
        <w:t xml:space="preserve">, Álvaro. “Protección intersectorial del consumidor de productos de inversión basados en seguros: El inversor como centro de la regulación”: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429-458.</w:t>
      </w:r>
    </w:p>
    <w:p w14:paraId="0AD04F64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482550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Robles</w:t>
      </w:r>
      <w:r w:rsidRPr="00BE09E4">
        <w:rPr>
          <w:sz w:val="20"/>
          <w:szCs w:val="20"/>
        </w:rPr>
        <w:t xml:space="preserve">, Marta; </w:t>
      </w:r>
      <w:r w:rsidRPr="00BE09E4">
        <w:rPr>
          <w:caps/>
          <w:sz w:val="20"/>
          <w:szCs w:val="20"/>
        </w:rPr>
        <w:t>Sánchez Ballestero</w:t>
      </w:r>
      <w:r w:rsidRPr="00BE09E4">
        <w:rPr>
          <w:sz w:val="20"/>
          <w:szCs w:val="20"/>
        </w:rPr>
        <w:t xml:space="preserve">, Matilde. “Situación actual de las hipotecas referenciadas al IRPH: análisis de la posición del TJUE y del TS”: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970, 2021.</w:t>
      </w:r>
    </w:p>
    <w:p w14:paraId="4704624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E3C1AE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Rodríguez Achútegui</w:t>
      </w:r>
      <w:r w:rsidRPr="00BE09E4">
        <w:rPr>
          <w:sz w:val="20"/>
          <w:szCs w:val="20"/>
        </w:rPr>
        <w:t xml:space="preserve">, Edmundo. “Corporaciones versus consumidores: el proceso como disuasión”: </w:t>
      </w:r>
      <w:r w:rsidRPr="00BE09E4">
        <w:rPr>
          <w:i/>
          <w:sz w:val="20"/>
          <w:szCs w:val="20"/>
        </w:rPr>
        <w:t>Jueces para la democracia</w:t>
      </w:r>
      <w:r w:rsidRPr="00BE09E4">
        <w:rPr>
          <w:sz w:val="20"/>
          <w:szCs w:val="20"/>
        </w:rPr>
        <w:t>, Nº 100, 2021, págs. 120-123.</w:t>
      </w:r>
    </w:p>
    <w:p w14:paraId="32E0340F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E39E2C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Rodríguez-Padilla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Maridalia</w:t>
      </w:r>
      <w:proofErr w:type="spellEnd"/>
      <w:r w:rsidRPr="00BE09E4">
        <w:rPr>
          <w:sz w:val="20"/>
          <w:szCs w:val="20"/>
        </w:rPr>
        <w:t xml:space="preserve">. “Instrumentos jurídico-financieros de fomento al ahorro para el acceso a la vivienda en propiedad”: </w:t>
      </w:r>
      <w:r w:rsidRPr="00BE09E4">
        <w:rPr>
          <w:i/>
          <w:sz w:val="20"/>
          <w:szCs w:val="20"/>
        </w:rPr>
        <w:t>Revista Crítica de Derecho Inmobiliario</w:t>
      </w:r>
      <w:r w:rsidRPr="00BE09E4">
        <w:rPr>
          <w:sz w:val="20"/>
          <w:szCs w:val="20"/>
        </w:rPr>
        <w:t>, Año nº 97, Nº 784, 2021, págs. 815-864.</w:t>
      </w:r>
    </w:p>
    <w:p w14:paraId="6DBD3F5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033A0A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Romero</w:t>
      </w:r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Estel</w:t>
      </w:r>
      <w:proofErr w:type="spellEnd"/>
      <w:r w:rsidRPr="00BE09E4">
        <w:rPr>
          <w:sz w:val="20"/>
          <w:szCs w:val="20"/>
        </w:rPr>
        <w:t xml:space="preserve">. “Más allá de la usura en los créditos </w:t>
      </w:r>
      <w:proofErr w:type="spellStart"/>
      <w:r w:rsidRPr="00BE09E4">
        <w:rPr>
          <w:sz w:val="20"/>
          <w:szCs w:val="20"/>
        </w:rPr>
        <w:t>revolving</w:t>
      </w:r>
      <w:proofErr w:type="spellEnd"/>
      <w:r w:rsidRPr="00BE09E4">
        <w:rPr>
          <w:sz w:val="20"/>
          <w:szCs w:val="20"/>
        </w:rPr>
        <w:t xml:space="preserve">: anatocismo”: </w:t>
      </w:r>
      <w:r w:rsidRPr="00BE09E4">
        <w:rPr>
          <w:i/>
          <w:sz w:val="20"/>
          <w:szCs w:val="20"/>
        </w:rPr>
        <w:t>Actualidad jurídica Aranzadi</w:t>
      </w:r>
      <w:r w:rsidRPr="00BE09E4">
        <w:rPr>
          <w:sz w:val="20"/>
          <w:szCs w:val="20"/>
        </w:rPr>
        <w:t>, Nº 971, 2021.</w:t>
      </w:r>
    </w:p>
    <w:p w14:paraId="27A81658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66DED5B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Rubí Navarrete</w:t>
      </w:r>
      <w:r w:rsidRPr="00BE09E4">
        <w:rPr>
          <w:sz w:val="20"/>
          <w:szCs w:val="20"/>
        </w:rPr>
        <w:t xml:space="preserve">, Jesús. “La </w:t>
      </w:r>
      <w:proofErr w:type="spellStart"/>
      <w:r w:rsidRPr="00BE09E4">
        <w:rPr>
          <w:sz w:val="20"/>
          <w:szCs w:val="20"/>
        </w:rPr>
        <w:t>protección</w:t>
      </w:r>
      <w:proofErr w:type="spellEnd"/>
      <w:r w:rsidRPr="00BE09E4">
        <w:rPr>
          <w:sz w:val="20"/>
          <w:szCs w:val="20"/>
        </w:rPr>
        <w:t xml:space="preserve"> de datos personales en la pandemia de COVID-19 (segunda parte)”: </w:t>
      </w:r>
      <w:r w:rsidRPr="00BE09E4">
        <w:rPr>
          <w:i/>
          <w:sz w:val="20"/>
          <w:szCs w:val="20"/>
        </w:rPr>
        <w:t>Comunicaciones en propiedad industrial y derecho de la competencia</w:t>
      </w:r>
      <w:r w:rsidRPr="00BE09E4">
        <w:rPr>
          <w:sz w:val="20"/>
          <w:szCs w:val="20"/>
        </w:rPr>
        <w:t>, Nº. 92 (enero-abril), 2021, págs. 51-69.</w:t>
      </w:r>
    </w:p>
    <w:p w14:paraId="7237AF8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5D557E1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Ruiz-Gallardón</w:t>
      </w:r>
      <w:r w:rsidRPr="00BE09E4">
        <w:rPr>
          <w:sz w:val="20"/>
          <w:szCs w:val="20"/>
        </w:rPr>
        <w:t>, Miguel. “</w:t>
      </w:r>
      <w:proofErr w:type="spellStart"/>
      <w:r w:rsidRPr="00BE09E4">
        <w:rPr>
          <w:sz w:val="20"/>
          <w:szCs w:val="20"/>
        </w:rPr>
        <w:t>Tokenización</w:t>
      </w:r>
      <w:proofErr w:type="spellEnd"/>
      <w:r w:rsidRPr="00BE09E4">
        <w:rPr>
          <w:sz w:val="20"/>
          <w:szCs w:val="20"/>
        </w:rPr>
        <w:t xml:space="preserve"> de activos y </w:t>
      </w:r>
      <w:proofErr w:type="spellStart"/>
      <w:r w:rsidRPr="00BE09E4">
        <w:rPr>
          <w:sz w:val="20"/>
          <w:szCs w:val="20"/>
        </w:rPr>
        <w:t>blockchain</w:t>
      </w:r>
      <w:proofErr w:type="spellEnd"/>
      <w:r w:rsidRPr="00BE09E4">
        <w:rPr>
          <w:sz w:val="20"/>
          <w:szCs w:val="20"/>
        </w:rPr>
        <w:t xml:space="preserve">: aspectos jurídicos”: </w:t>
      </w:r>
      <w:r w:rsidRPr="00BE09E4">
        <w:rPr>
          <w:i/>
          <w:sz w:val="20"/>
          <w:szCs w:val="20"/>
        </w:rPr>
        <w:t>Anales de la Academia Matritense del Notariado</w:t>
      </w:r>
      <w:r w:rsidRPr="00BE09E4">
        <w:rPr>
          <w:sz w:val="20"/>
          <w:szCs w:val="20"/>
        </w:rPr>
        <w:t xml:space="preserve">, Tomo 60, 2020 (Ejemplar dedicado a: In memoriam Antonio </w:t>
      </w:r>
      <w:proofErr w:type="spellStart"/>
      <w:r w:rsidRPr="00BE09E4">
        <w:rPr>
          <w:sz w:val="20"/>
          <w:szCs w:val="20"/>
        </w:rPr>
        <w:t>Ipiens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Llorca</w:t>
      </w:r>
      <w:proofErr w:type="spellEnd"/>
      <w:r w:rsidRPr="00BE09E4">
        <w:rPr>
          <w:sz w:val="20"/>
          <w:szCs w:val="20"/>
        </w:rPr>
        <w:t>), págs. 259-288.</w:t>
      </w:r>
    </w:p>
    <w:p w14:paraId="33D2630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92D483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Sánchez García</w:t>
      </w:r>
      <w:r w:rsidRPr="00BE09E4">
        <w:rPr>
          <w:sz w:val="20"/>
          <w:szCs w:val="20"/>
        </w:rPr>
        <w:t xml:space="preserve">, Jesús. Mª. “Comentarios a la Sentencia del TJUE de 22 de abril de 2021, sobre el </w:t>
      </w:r>
      <w:proofErr w:type="spellStart"/>
      <w:r w:rsidRPr="00BE09E4">
        <w:rPr>
          <w:sz w:val="20"/>
          <w:szCs w:val="20"/>
        </w:rPr>
        <w:t>dies</w:t>
      </w:r>
      <w:proofErr w:type="spellEnd"/>
      <w:r w:rsidRPr="00BE09E4">
        <w:rPr>
          <w:sz w:val="20"/>
          <w:szCs w:val="20"/>
        </w:rPr>
        <w:t xml:space="preserve"> a quo para el inicio del cómputo de la acción de restitución de una cláusula predispuesta ilícita”: </w:t>
      </w:r>
      <w:r w:rsidRPr="00BE09E4">
        <w:rPr>
          <w:i/>
          <w:sz w:val="20"/>
          <w:szCs w:val="20"/>
        </w:rPr>
        <w:t xml:space="preserve">Revista de Derecho </w:t>
      </w:r>
      <w:proofErr w:type="spellStart"/>
      <w:r w:rsidRPr="00BE09E4">
        <w:rPr>
          <w:i/>
          <w:sz w:val="20"/>
          <w:szCs w:val="20"/>
        </w:rPr>
        <w:t>vLex</w:t>
      </w:r>
      <w:proofErr w:type="spellEnd"/>
      <w:r w:rsidRPr="00BE09E4">
        <w:rPr>
          <w:sz w:val="20"/>
          <w:szCs w:val="20"/>
        </w:rPr>
        <w:t>, Nª. 203, Abril 2021.</w:t>
      </w:r>
    </w:p>
    <w:p w14:paraId="4937ABC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7C52C8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lastRenderedPageBreak/>
        <w:t>Sánchez García</w:t>
      </w:r>
      <w:r w:rsidRPr="00BE09E4">
        <w:rPr>
          <w:sz w:val="20"/>
          <w:szCs w:val="20"/>
        </w:rPr>
        <w:t xml:space="preserve">, Jesús. Mª. “Crédito </w:t>
      </w:r>
      <w:proofErr w:type="spellStart"/>
      <w:r w:rsidRPr="00BE09E4">
        <w:rPr>
          <w:sz w:val="20"/>
          <w:szCs w:val="20"/>
        </w:rPr>
        <w:t>revolving</w:t>
      </w:r>
      <w:proofErr w:type="spellEnd"/>
      <w:r w:rsidRPr="00BE09E4">
        <w:rPr>
          <w:sz w:val="20"/>
          <w:szCs w:val="20"/>
        </w:rPr>
        <w:t xml:space="preserve">: distinción entre usura y </w:t>
      </w:r>
      <w:proofErr w:type="spellStart"/>
      <w:r w:rsidRPr="00BE09E4">
        <w:rPr>
          <w:sz w:val="20"/>
          <w:szCs w:val="20"/>
        </w:rPr>
        <w:t>abusividad</w:t>
      </w:r>
      <w:proofErr w:type="spellEnd"/>
      <w:r w:rsidRPr="00BE09E4">
        <w:rPr>
          <w:sz w:val="20"/>
          <w:szCs w:val="20"/>
        </w:rPr>
        <w:t xml:space="preserve">. La necesaria prevalencia del Derecho de la Unión Europea. Comentarios al Auto del TJUE de 25 de marzo de 2021”: </w:t>
      </w:r>
      <w:r w:rsidRPr="00BE09E4">
        <w:rPr>
          <w:i/>
          <w:sz w:val="20"/>
          <w:szCs w:val="20"/>
        </w:rPr>
        <w:t xml:space="preserve">Revista de Derecho </w:t>
      </w:r>
      <w:proofErr w:type="spellStart"/>
      <w:r w:rsidRPr="00BE09E4">
        <w:rPr>
          <w:i/>
          <w:sz w:val="20"/>
          <w:szCs w:val="20"/>
        </w:rPr>
        <w:t>vLex</w:t>
      </w:r>
      <w:proofErr w:type="spellEnd"/>
      <w:r w:rsidRPr="00BE09E4">
        <w:rPr>
          <w:sz w:val="20"/>
          <w:szCs w:val="20"/>
        </w:rPr>
        <w:t>, Nª. 203, Abril 2021.</w:t>
      </w:r>
    </w:p>
    <w:p w14:paraId="62495AC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332D7A1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Sánchez García</w:t>
      </w:r>
      <w:r w:rsidRPr="00BE09E4">
        <w:rPr>
          <w:sz w:val="20"/>
          <w:szCs w:val="20"/>
        </w:rPr>
        <w:t xml:space="preserve">, Jesús. Mª. “La nueva cuestión prejudicial ante el TJUE sobre el crédito </w:t>
      </w:r>
      <w:proofErr w:type="spellStart"/>
      <w:r w:rsidRPr="00BE09E4">
        <w:rPr>
          <w:sz w:val="20"/>
          <w:szCs w:val="20"/>
        </w:rPr>
        <w:t>revolving</w:t>
      </w:r>
      <w:proofErr w:type="spellEnd"/>
      <w:r w:rsidRPr="00BE09E4">
        <w:rPr>
          <w:sz w:val="20"/>
          <w:szCs w:val="20"/>
        </w:rPr>
        <w:t xml:space="preserve">: un magnífico Auto que va a aportar rigor y seguridad jurídica en la correcta aplicación de la Ley de Usura en nuestro Derecho y su debida compatibilidad con el Derecho de la Unión”: </w:t>
      </w:r>
      <w:r w:rsidRPr="00BE09E4">
        <w:rPr>
          <w:i/>
          <w:sz w:val="20"/>
          <w:szCs w:val="20"/>
        </w:rPr>
        <w:t xml:space="preserve">Revista de Derecho </w:t>
      </w:r>
      <w:proofErr w:type="spellStart"/>
      <w:r w:rsidRPr="00BE09E4">
        <w:rPr>
          <w:i/>
          <w:sz w:val="20"/>
          <w:szCs w:val="20"/>
        </w:rPr>
        <w:t>vLex</w:t>
      </w:r>
      <w:proofErr w:type="spellEnd"/>
      <w:r w:rsidRPr="00BE09E4">
        <w:rPr>
          <w:i/>
          <w:sz w:val="20"/>
          <w:szCs w:val="20"/>
        </w:rPr>
        <w:t>,</w:t>
      </w:r>
      <w:r w:rsidRPr="00BE09E4">
        <w:rPr>
          <w:sz w:val="20"/>
          <w:szCs w:val="20"/>
        </w:rPr>
        <w:t xml:space="preserve"> Nº. 204, Mayo 2021. </w:t>
      </w:r>
    </w:p>
    <w:p w14:paraId="72B265E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0FB3D2F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Serra i Camús</w:t>
      </w:r>
      <w:r w:rsidRPr="00BE09E4">
        <w:rPr>
          <w:sz w:val="20"/>
          <w:szCs w:val="20"/>
        </w:rPr>
        <w:t>, Miquel. “</w:t>
      </w:r>
      <w:proofErr w:type="spellStart"/>
      <w:r w:rsidRPr="00BE09E4">
        <w:rPr>
          <w:sz w:val="20"/>
          <w:szCs w:val="20"/>
        </w:rPr>
        <w:t>Efectes</w:t>
      </w:r>
      <w:proofErr w:type="spellEnd"/>
      <w:r w:rsidRPr="00BE09E4">
        <w:rPr>
          <w:sz w:val="20"/>
          <w:szCs w:val="20"/>
        </w:rPr>
        <w:t xml:space="preserve"> de la Covid-19 sobre </w:t>
      </w:r>
      <w:proofErr w:type="spellStart"/>
      <w:r w:rsidRPr="00BE09E4">
        <w:rPr>
          <w:sz w:val="20"/>
          <w:szCs w:val="20"/>
        </w:rPr>
        <w:t>els</w:t>
      </w:r>
      <w:proofErr w:type="spellEnd"/>
      <w:r w:rsidRPr="00BE09E4">
        <w:rPr>
          <w:sz w:val="20"/>
          <w:szCs w:val="20"/>
        </w:rPr>
        <w:t xml:space="preserve"> contractes </w:t>
      </w:r>
      <w:proofErr w:type="spellStart"/>
      <w:r w:rsidRPr="00BE09E4">
        <w:rPr>
          <w:sz w:val="20"/>
          <w:szCs w:val="20"/>
        </w:rPr>
        <w:t>civils</w:t>
      </w:r>
      <w:proofErr w:type="spellEnd"/>
      <w:r w:rsidRPr="00BE09E4">
        <w:rPr>
          <w:sz w:val="20"/>
          <w:szCs w:val="20"/>
        </w:rPr>
        <w:t xml:space="preserve">. Cas </w:t>
      </w:r>
      <w:proofErr w:type="spellStart"/>
      <w:r w:rsidRPr="00BE09E4">
        <w:rPr>
          <w:sz w:val="20"/>
          <w:szCs w:val="20"/>
        </w:rPr>
        <w:t>fortuït</w:t>
      </w:r>
      <w:proofErr w:type="spellEnd"/>
      <w:r w:rsidRPr="00BE09E4">
        <w:rPr>
          <w:sz w:val="20"/>
          <w:szCs w:val="20"/>
        </w:rPr>
        <w:t xml:space="preserve">, </w:t>
      </w:r>
      <w:proofErr w:type="spellStart"/>
      <w:r w:rsidRPr="00BE09E4">
        <w:rPr>
          <w:sz w:val="20"/>
          <w:szCs w:val="20"/>
        </w:rPr>
        <w:t>impossibilitat</w:t>
      </w:r>
      <w:proofErr w:type="spellEnd"/>
      <w:r w:rsidRPr="00BE09E4">
        <w:rPr>
          <w:sz w:val="20"/>
          <w:szCs w:val="20"/>
        </w:rPr>
        <w:t xml:space="preserve"> de </w:t>
      </w:r>
      <w:proofErr w:type="spellStart"/>
      <w:r w:rsidRPr="00BE09E4">
        <w:rPr>
          <w:sz w:val="20"/>
          <w:szCs w:val="20"/>
        </w:rPr>
        <w:t>compliment</w:t>
      </w:r>
      <w:proofErr w:type="spellEnd"/>
      <w:r w:rsidRPr="00BE09E4">
        <w:rPr>
          <w:sz w:val="20"/>
          <w:szCs w:val="20"/>
        </w:rPr>
        <w:t xml:space="preserve"> i </w:t>
      </w:r>
      <w:proofErr w:type="spellStart"/>
      <w:r w:rsidRPr="00BE09E4">
        <w:rPr>
          <w:sz w:val="20"/>
          <w:szCs w:val="20"/>
        </w:rPr>
        <w:t>clàusula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rebus</w:t>
      </w:r>
      <w:proofErr w:type="spellEnd"/>
      <w:r w:rsidRPr="00BE09E4">
        <w:rPr>
          <w:sz w:val="20"/>
          <w:szCs w:val="20"/>
        </w:rPr>
        <w:t xml:space="preserve"> sic </w:t>
      </w:r>
      <w:proofErr w:type="spellStart"/>
      <w:r w:rsidRPr="00BE09E4">
        <w:rPr>
          <w:sz w:val="20"/>
          <w:szCs w:val="20"/>
        </w:rPr>
        <w:t>stantibus</w:t>
      </w:r>
      <w:proofErr w:type="spellEnd"/>
      <w:r w:rsidRPr="00BE09E4">
        <w:rPr>
          <w:sz w:val="20"/>
          <w:szCs w:val="20"/>
        </w:rPr>
        <w:t xml:space="preserve"> (</w:t>
      </w:r>
      <w:proofErr w:type="spellStart"/>
      <w:r w:rsidRPr="00BE09E4">
        <w:rPr>
          <w:sz w:val="20"/>
          <w:szCs w:val="20"/>
        </w:rPr>
        <w:t>Part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segona</w:t>
      </w:r>
      <w:proofErr w:type="spellEnd"/>
      <w:r w:rsidRPr="00BE09E4">
        <w:rPr>
          <w:sz w:val="20"/>
          <w:szCs w:val="20"/>
        </w:rPr>
        <w:t xml:space="preserve">)”: </w:t>
      </w:r>
      <w:r w:rsidRPr="00BE09E4">
        <w:rPr>
          <w:i/>
          <w:sz w:val="20"/>
          <w:szCs w:val="20"/>
        </w:rPr>
        <w:t>Revista jurídica de Catalunya</w:t>
      </w:r>
      <w:r w:rsidRPr="00BE09E4">
        <w:rPr>
          <w:sz w:val="20"/>
          <w:szCs w:val="20"/>
        </w:rPr>
        <w:t>, Vol. 119, Nº 4, 2020, págs. 905-932.</w:t>
      </w:r>
    </w:p>
    <w:p w14:paraId="016702D4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7E42ED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Suárez Puga</w:t>
      </w:r>
      <w:r w:rsidRPr="00BE09E4">
        <w:rPr>
          <w:sz w:val="20"/>
          <w:szCs w:val="20"/>
        </w:rPr>
        <w:t xml:space="preserve">, Ernesto A.; </w:t>
      </w:r>
      <w:r w:rsidRPr="00BE09E4">
        <w:rPr>
          <w:caps/>
          <w:sz w:val="20"/>
          <w:szCs w:val="20"/>
        </w:rPr>
        <w:t>Segura Moreiras</w:t>
      </w:r>
      <w:r w:rsidRPr="00BE09E4">
        <w:rPr>
          <w:sz w:val="20"/>
          <w:szCs w:val="20"/>
        </w:rPr>
        <w:t xml:space="preserve">, Adrián. “La subrogación del acreedor hipotecario a instancia del deudor: un planteamiento sobre su naturaleza contractual y su finalidad tuitiva de los intereses de los consumidores”: </w:t>
      </w:r>
      <w:r w:rsidRPr="00BE09E4">
        <w:rPr>
          <w:i/>
          <w:sz w:val="20"/>
          <w:szCs w:val="20"/>
        </w:rPr>
        <w:t>La Ley mercantil</w:t>
      </w:r>
      <w:r w:rsidRPr="00BE09E4">
        <w:rPr>
          <w:sz w:val="20"/>
          <w:szCs w:val="20"/>
        </w:rPr>
        <w:t>, Nº. 79, 2021.</w:t>
      </w:r>
    </w:p>
    <w:p w14:paraId="37E503C9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67CEFE9F" w14:textId="77777777" w:rsidR="001F7F10" w:rsidRPr="00BE09E4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Tapia Hermida</w:t>
      </w:r>
      <w:r w:rsidRPr="00BE09E4">
        <w:rPr>
          <w:sz w:val="20"/>
          <w:szCs w:val="20"/>
        </w:rPr>
        <w:t xml:space="preserve">, Alberto J. “Ventas informadas y ventas asesoradas de seguros”: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157-164.</w:t>
      </w:r>
    </w:p>
    <w:p w14:paraId="0B0B1A5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Tapia Hermida</w:t>
      </w:r>
      <w:r w:rsidRPr="00BE09E4">
        <w:rPr>
          <w:sz w:val="20"/>
          <w:szCs w:val="20"/>
        </w:rPr>
        <w:t xml:space="preserve">, Alberto Javier. “Digitalización financiera e innovadores de las </w:t>
      </w:r>
      <w:proofErr w:type="spellStart"/>
      <w:r w:rsidRPr="00BE09E4">
        <w:rPr>
          <w:sz w:val="20"/>
          <w:szCs w:val="20"/>
        </w:rPr>
        <w:t>tecnofinanzas</w:t>
      </w:r>
      <w:proofErr w:type="spellEnd"/>
      <w:r w:rsidRPr="00BE09E4">
        <w:rPr>
          <w:sz w:val="20"/>
          <w:szCs w:val="20"/>
        </w:rPr>
        <w:t xml:space="preserve"> en la Unión Europea y en España”: </w:t>
      </w:r>
      <w:r w:rsidRPr="00BE09E4">
        <w:rPr>
          <w:i/>
          <w:sz w:val="20"/>
          <w:szCs w:val="20"/>
        </w:rPr>
        <w:t>Revista de derecho bancario y bursátil</w:t>
      </w:r>
      <w:r w:rsidRPr="00BE09E4">
        <w:rPr>
          <w:sz w:val="20"/>
          <w:szCs w:val="20"/>
        </w:rPr>
        <w:t>, Año nº 40, Nº 161, 2021, págs. 55-82.</w:t>
      </w:r>
    </w:p>
    <w:p w14:paraId="43FE49C1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D605C4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Tapia Hermida</w:t>
      </w:r>
      <w:r w:rsidRPr="00BE09E4">
        <w:rPr>
          <w:sz w:val="20"/>
          <w:szCs w:val="20"/>
        </w:rPr>
        <w:t xml:space="preserve">, Alberto Javier. “Las cinco claves de la sentencia del TJUE de 3 de junio de 2021 sobre la responsabilidad civil de </w:t>
      </w:r>
      <w:proofErr w:type="spellStart"/>
      <w:r w:rsidRPr="00BE09E4">
        <w:rPr>
          <w:sz w:val="20"/>
          <w:szCs w:val="20"/>
        </w:rPr>
        <w:t>Bankia</w:t>
      </w:r>
      <w:proofErr w:type="spellEnd"/>
      <w:r w:rsidRPr="00BE09E4">
        <w:rPr>
          <w:sz w:val="20"/>
          <w:szCs w:val="20"/>
        </w:rPr>
        <w:t xml:space="preserve"> (</w:t>
      </w:r>
      <w:proofErr w:type="spellStart"/>
      <w:r w:rsidRPr="00BE09E4">
        <w:rPr>
          <w:sz w:val="20"/>
          <w:szCs w:val="20"/>
        </w:rPr>
        <w:t>Caixabank</w:t>
      </w:r>
      <w:proofErr w:type="spellEnd"/>
      <w:r w:rsidRPr="00BE09E4">
        <w:rPr>
          <w:sz w:val="20"/>
          <w:szCs w:val="20"/>
        </w:rPr>
        <w:t xml:space="preserve">) frente a los inversores cualificados derivada de su folleto de salida a bolsa”: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9872, 2021.</w:t>
      </w:r>
    </w:p>
    <w:p w14:paraId="44C04670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F5B173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Tapia Hermida</w:t>
      </w:r>
      <w:r w:rsidRPr="00BE09E4">
        <w:rPr>
          <w:sz w:val="20"/>
          <w:szCs w:val="20"/>
        </w:rPr>
        <w:t xml:space="preserve">, Alberto Javier. “Ventas agrupadas de contratos bancarios de crédito con consumidores con la obligación de domiciliar sus retribuciones salariales o ingresos asimilados La Sentencia del Tribunal de Justicia de la UE (sala quinta) de 15 de octubre de 2020”: </w:t>
      </w:r>
      <w:r w:rsidRPr="00BE09E4">
        <w:rPr>
          <w:i/>
          <w:sz w:val="20"/>
          <w:szCs w:val="20"/>
        </w:rPr>
        <w:t>Revista de derecho bancario y bursátil</w:t>
      </w:r>
      <w:r w:rsidRPr="00BE09E4">
        <w:rPr>
          <w:sz w:val="20"/>
          <w:szCs w:val="20"/>
        </w:rPr>
        <w:t>, Año nº 40, Nº 161, 2021, págs. 251-278.</w:t>
      </w:r>
    </w:p>
    <w:p w14:paraId="0495B13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DBC022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Tena Arregui</w:t>
      </w:r>
      <w:r w:rsidRPr="00BE09E4">
        <w:rPr>
          <w:sz w:val="20"/>
          <w:szCs w:val="20"/>
        </w:rPr>
        <w:t xml:space="preserve">, Rodrigo. “Fijar límites al precio del alquiler. Una cuestión de justicia”: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96, 2021, págs. 62-67.</w:t>
      </w:r>
    </w:p>
    <w:p w14:paraId="30AAE849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79DFDD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Tirado Sarti</w:t>
      </w:r>
      <w:r w:rsidRPr="00BE09E4">
        <w:rPr>
          <w:sz w:val="20"/>
          <w:szCs w:val="20"/>
        </w:rPr>
        <w:t xml:space="preserve">, Sofía. “Aproximación al aseguramiento de la pandemia del COVID-19: una perspectiva desde la situación española respecto a la mortalidad suplementaria habida y su diversificación territorial”: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319-344.</w:t>
      </w:r>
    </w:p>
    <w:p w14:paraId="731F888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BC58D1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Tirado Suárez</w:t>
      </w:r>
      <w:r w:rsidRPr="00BE09E4">
        <w:rPr>
          <w:sz w:val="20"/>
          <w:szCs w:val="20"/>
        </w:rPr>
        <w:t xml:space="preserve">, Francisco Javier. “Honorarios versus comisiones. Una aproximación jurídica”: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239-269.</w:t>
      </w:r>
    </w:p>
    <w:p w14:paraId="04C19FE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320AC93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Tirado Suárez</w:t>
      </w:r>
      <w:r w:rsidRPr="00BE09E4">
        <w:rPr>
          <w:sz w:val="20"/>
          <w:szCs w:val="20"/>
        </w:rPr>
        <w:t xml:space="preserve">, Francisco Javier. “La pandemia del Covid-19 y el seguro de accidentes”: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</w:t>
      </w:r>
      <w:r w:rsidRPr="00BE09E4">
        <w:rPr>
          <w:sz w:val="20"/>
          <w:szCs w:val="20"/>
        </w:rPr>
        <w:lastRenderedPageBreak/>
        <w:t>184, 2020 (Ejemplar dedicado a: El seguro en tiempos de pandemia. Visión comparada), págs. 297-317.</w:t>
      </w:r>
    </w:p>
    <w:p w14:paraId="678951B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A10391D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Torres Ruiz</w:t>
      </w:r>
      <w:r w:rsidRPr="00BE09E4">
        <w:rPr>
          <w:sz w:val="20"/>
          <w:szCs w:val="20"/>
        </w:rPr>
        <w:t xml:space="preserve">, Salvador. “La nueva competencia atribuida a los notarios en relación con la retirada de cantidades de la Caja General de Depósitos”: </w:t>
      </w:r>
      <w:r w:rsidRPr="00BE09E4">
        <w:rPr>
          <w:i/>
          <w:sz w:val="20"/>
          <w:szCs w:val="20"/>
        </w:rPr>
        <w:t>El notario del siglo XXI: revista del Colegio Notarial de Madrid</w:t>
      </w:r>
      <w:r w:rsidRPr="00BE09E4">
        <w:rPr>
          <w:sz w:val="20"/>
          <w:szCs w:val="20"/>
        </w:rPr>
        <w:t>, Nº. 96, 2021, págs. 40-45.</w:t>
      </w:r>
    </w:p>
    <w:p w14:paraId="7B6BD563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2E63E95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Tous Granda</w:t>
      </w:r>
      <w:r w:rsidRPr="00BE09E4">
        <w:rPr>
          <w:sz w:val="20"/>
          <w:szCs w:val="20"/>
        </w:rPr>
        <w:t xml:space="preserve">, Eduardo José. “La Mutua de Seguros y los principios de ayuda mutua, solidaridad y economicidad frente a la COVID-19”: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627-637.</w:t>
      </w:r>
    </w:p>
    <w:p w14:paraId="05FBD1A5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28A64FA1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Tous Granda</w:t>
      </w:r>
      <w:r w:rsidRPr="00BE09E4">
        <w:rPr>
          <w:sz w:val="20"/>
          <w:szCs w:val="20"/>
        </w:rPr>
        <w:t xml:space="preserve">, Eduardo. “La Mutua de Seguros cinco años más tarde desde la promulgación de la LOSSEAR y el ROSSEAR”: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182, 2020, págs. 177-198.</w:t>
      </w:r>
    </w:p>
    <w:p w14:paraId="0F499F2B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66BF9A2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Valles Perelló</w:t>
      </w:r>
      <w:r w:rsidRPr="00BE09E4">
        <w:rPr>
          <w:sz w:val="20"/>
          <w:szCs w:val="20"/>
        </w:rPr>
        <w:t xml:space="preserve">, Antonio. “La cláusula de interés variable en los préstamos hipotecarios y sus sistemas de control. En especial el control de transparencia”: </w:t>
      </w:r>
      <w:r w:rsidRPr="00BE09E4">
        <w:rPr>
          <w:i/>
          <w:sz w:val="20"/>
          <w:szCs w:val="20"/>
        </w:rPr>
        <w:t>Diario La Ley</w:t>
      </w:r>
      <w:r w:rsidRPr="00BE09E4">
        <w:rPr>
          <w:sz w:val="20"/>
          <w:szCs w:val="20"/>
        </w:rPr>
        <w:t>, Nº 9826, 2021.</w:t>
      </w:r>
    </w:p>
    <w:p w14:paraId="47547A7E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EEC07EC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Vivas Díez</w:t>
      </w:r>
      <w:r w:rsidRPr="00BE09E4">
        <w:rPr>
          <w:sz w:val="20"/>
          <w:szCs w:val="20"/>
        </w:rPr>
        <w:t>, Gabriel J. “La prescripción del seguro en Colombia y su aplicación a los sistemas de delimitación temporal de cobertura (por ocurrencia y “</w:t>
      </w:r>
      <w:proofErr w:type="spellStart"/>
      <w:r w:rsidRPr="00BE09E4">
        <w:rPr>
          <w:sz w:val="20"/>
          <w:szCs w:val="20"/>
        </w:rPr>
        <w:t>claims</w:t>
      </w:r>
      <w:proofErr w:type="spellEnd"/>
      <w:r w:rsidRPr="00BE09E4">
        <w:rPr>
          <w:sz w:val="20"/>
          <w:szCs w:val="20"/>
        </w:rPr>
        <w:t xml:space="preserve"> </w:t>
      </w:r>
      <w:proofErr w:type="spellStart"/>
      <w:r w:rsidRPr="00BE09E4">
        <w:rPr>
          <w:sz w:val="20"/>
          <w:szCs w:val="20"/>
        </w:rPr>
        <w:t>made</w:t>
      </w:r>
      <w:proofErr w:type="spellEnd"/>
      <w:r w:rsidRPr="00BE09E4">
        <w:rPr>
          <w:sz w:val="20"/>
          <w:szCs w:val="20"/>
        </w:rPr>
        <w:t xml:space="preserve">”) en el seguro de responsabilidad civil”: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182, 2020, págs. 243-271.</w:t>
      </w:r>
    </w:p>
    <w:p w14:paraId="0FF89B8A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4F73B674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Vivas Díez</w:t>
      </w:r>
      <w:r w:rsidRPr="00BE09E4">
        <w:rPr>
          <w:sz w:val="20"/>
          <w:szCs w:val="20"/>
        </w:rPr>
        <w:t xml:space="preserve">, Gabriel J. “La reducción del riesgo asegurado en tiempos de pandemia: un muy oportuno pronunciamiento del supervisor colombiano en el contexto latinoamericano”: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>, Nº. 183-184, 2020 (Ejemplar dedicado a: El seguro en tiempos de pandemia. Visión comparada), págs. 599-607.</w:t>
      </w:r>
    </w:p>
    <w:p w14:paraId="252B584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0AE5A6D5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Zabala Arroyo</w:t>
      </w:r>
      <w:r w:rsidRPr="00BE09E4">
        <w:rPr>
          <w:sz w:val="20"/>
          <w:szCs w:val="20"/>
        </w:rPr>
        <w:t xml:space="preserve">, Patricia; </w:t>
      </w:r>
      <w:r w:rsidRPr="00BE09E4">
        <w:rPr>
          <w:caps/>
          <w:sz w:val="20"/>
          <w:szCs w:val="20"/>
        </w:rPr>
        <w:t>García-Patos López</w:t>
      </w:r>
      <w:r w:rsidRPr="00BE09E4">
        <w:rPr>
          <w:sz w:val="20"/>
          <w:szCs w:val="20"/>
        </w:rPr>
        <w:t xml:space="preserve">, Silvia. “Doctrina del Jurado de Autocontrol en el </w:t>
      </w:r>
      <w:proofErr w:type="spellStart"/>
      <w:r w:rsidRPr="00BE09E4">
        <w:rPr>
          <w:sz w:val="20"/>
          <w:szCs w:val="20"/>
        </w:rPr>
        <w:t>ámbito</w:t>
      </w:r>
      <w:proofErr w:type="spellEnd"/>
      <w:r w:rsidRPr="00BE09E4">
        <w:rPr>
          <w:sz w:val="20"/>
          <w:szCs w:val="20"/>
        </w:rPr>
        <w:t xml:space="preserve"> de la publicidad de medicamentos en el 2020”: </w:t>
      </w:r>
      <w:r w:rsidRPr="00BE09E4">
        <w:rPr>
          <w:i/>
          <w:sz w:val="20"/>
          <w:szCs w:val="20"/>
        </w:rPr>
        <w:t>Comunicaciones en propiedad industrial y derecho de la competencia</w:t>
      </w:r>
      <w:r w:rsidRPr="00BE09E4">
        <w:rPr>
          <w:sz w:val="20"/>
          <w:szCs w:val="20"/>
        </w:rPr>
        <w:t>, Nº. 92 (enero-abril), 2021, págs. 149-167.</w:t>
      </w:r>
    </w:p>
    <w:p w14:paraId="273DFE77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1057E0D8" w14:textId="77777777" w:rsidR="001F7F10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Zornoza Somolinos</w:t>
      </w:r>
      <w:r w:rsidRPr="00BE09E4">
        <w:rPr>
          <w:sz w:val="20"/>
          <w:szCs w:val="20"/>
        </w:rPr>
        <w:t xml:space="preserve">, Alejandro. “Breves apuntes a la propuesta de reglamento del parlamento europeo sobre responsabilidad civil en materia de inteligencia artificial”: </w:t>
      </w:r>
      <w:r w:rsidRPr="00BE09E4">
        <w:rPr>
          <w:i/>
          <w:sz w:val="20"/>
          <w:szCs w:val="20"/>
        </w:rPr>
        <w:t>Revista de Derecho, Empresa y Sociedad (REDS)</w:t>
      </w:r>
      <w:r w:rsidRPr="00BE09E4">
        <w:rPr>
          <w:sz w:val="20"/>
          <w:szCs w:val="20"/>
        </w:rPr>
        <w:t>, Nº. 17, 2020, págs. 95-101.</w:t>
      </w:r>
    </w:p>
    <w:p w14:paraId="16596822" w14:textId="77777777" w:rsidR="001F7F10" w:rsidRPr="00BE09E4" w:rsidRDefault="001F7F10" w:rsidP="00740F3B">
      <w:pPr>
        <w:pStyle w:val="Prrafodelista"/>
        <w:ind w:left="360"/>
        <w:jc w:val="both"/>
        <w:rPr>
          <w:sz w:val="20"/>
          <w:szCs w:val="20"/>
        </w:rPr>
      </w:pPr>
    </w:p>
    <w:p w14:paraId="7EFC9386" w14:textId="77777777" w:rsidR="001F7F10" w:rsidRPr="00BE09E4" w:rsidRDefault="001F7F10" w:rsidP="00740F3B">
      <w:pPr>
        <w:pStyle w:val="Prrafodelista"/>
        <w:numPr>
          <w:ilvl w:val="0"/>
          <w:numId w:val="8"/>
        </w:numPr>
        <w:ind w:left="360"/>
        <w:jc w:val="both"/>
        <w:rPr>
          <w:sz w:val="20"/>
          <w:szCs w:val="20"/>
        </w:rPr>
      </w:pPr>
      <w:r w:rsidRPr="00BE09E4">
        <w:rPr>
          <w:caps/>
          <w:sz w:val="20"/>
          <w:szCs w:val="20"/>
        </w:rPr>
        <w:t>Zunzunegui</w:t>
      </w:r>
      <w:r w:rsidRPr="00BE09E4">
        <w:rPr>
          <w:sz w:val="20"/>
          <w:szCs w:val="20"/>
        </w:rPr>
        <w:t xml:space="preserve">, Fernando. “La </w:t>
      </w:r>
      <w:proofErr w:type="spellStart"/>
      <w:r w:rsidRPr="00BE09E4">
        <w:rPr>
          <w:sz w:val="20"/>
          <w:szCs w:val="20"/>
        </w:rPr>
        <w:t>financiarización</w:t>
      </w:r>
      <w:proofErr w:type="spellEnd"/>
      <w:r w:rsidRPr="00BE09E4">
        <w:rPr>
          <w:sz w:val="20"/>
          <w:szCs w:val="20"/>
        </w:rPr>
        <w:t xml:space="preserve"> de la distribución de seguros”: </w:t>
      </w:r>
      <w:r w:rsidRPr="00BE09E4">
        <w:rPr>
          <w:i/>
          <w:sz w:val="20"/>
          <w:szCs w:val="20"/>
        </w:rPr>
        <w:t>Revista española de seguros: Publicación doctrinal de Derecho y Economía de los Seguros privados</w:t>
      </w:r>
      <w:r w:rsidRPr="00BE09E4">
        <w:rPr>
          <w:sz w:val="20"/>
          <w:szCs w:val="20"/>
        </w:rPr>
        <w:t xml:space="preserve">, Nº. 185-186, 2021 (Ejemplar dedicado a: III Congreso Nacional de </w:t>
      </w:r>
      <w:proofErr w:type="spellStart"/>
      <w:r w:rsidRPr="00BE09E4">
        <w:rPr>
          <w:sz w:val="20"/>
          <w:szCs w:val="20"/>
        </w:rPr>
        <w:t>Seaida</w:t>
      </w:r>
      <w:proofErr w:type="spellEnd"/>
      <w:r w:rsidRPr="00BE09E4">
        <w:rPr>
          <w:sz w:val="20"/>
          <w:szCs w:val="20"/>
        </w:rPr>
        <w:t xml:space="preserve"> "El seguro en el nuevo entorno normativo y tecnológico"), págs. 413-428.</w:t>
      </w:r>
    </w:p>
    <w:p w14:paraId="3A6BA771" w14:textId="77777777" w:rsidR="00CE63DC" w:rsidRDefault="00CE63DC" w:rsidP="00673A7C">
      <w:pPr>
        <w:rPr>
          <w:rFonts w:cstheme="minorHAnsi"/>
          <w:sz w:val="20"/>
          <w:szCs w:val="20"/>
        </w:rPr>
      </w:pPr>
    </w:p>
    <w:p w14:paraId="4F035DEF" w14:textId="77777777" w:rsidR="00CE63DC" w:rsidRDefault="00CE63DC" w:rsidP="00CE63DC">
      <w:pPr>
        <w:rPr>
          <w:rFonts w:cstheme="minorHAnsi"/>
          <w:sz w:val="20"/>
          <w:szCs w:val="20"/>
        </w:rPr>
      </w:pPr>
    </w:p>
    <w:p w14:paraId="682ADB1B" w14:textId="77777777" w:rsidR="00E94704" w:rsidRDefault="00E94704" w:rsidP="003F49BB">
      <w:pPr>
        <w:spacing w:beforeLines="100" w:before="240" w:afterLines="100" w:after="240"/>
        <w:jc w:val="center"/>
        <w:rPr>
          <w:sz w:val="16"/>
          <w:szCs w:val="16"/>
        </w:rPr>
      </w:pPr>
      <w:bookmarkStart w:id="0" w:name="_GoBack"/>
      <w:bookmarkEnd w:id="0"/>
    </w:p>
    <w:p w14:paraId="73DED83D" w14:textId="77777777" w:rsidR="003F49BB" w:rsidRPr="003F49BB" w:rsidRDefault="003F49BB" w:rsidP="003F49BB">
      <w:pPr>
        <w:spacing w:beforeLines="100" w:before="240" w:afterLines="100" w:after="240"/>
        <w:jc w:val="center"/>
        <w:rPr>
          <w:sz w:val="16"/>
          <w:szCs w:val="16"/>
        </w:rPr>
      </w:pPr>
      <w:r w:rsidRPr="003F49BB">
        <w:rPr>
          <w:sz w:val="16"/>
          <w:szCs w:val="16"/>
        </w:rPr>
        <w:t>Si algún autor, profesional o investigador conoce la publicación de algún trabajo sobre Derecho y consumo, puede facilitarnos la referencia para publicarlo dentro del presente in</w:t>
      </w:r>
      <w:r>
        <w:rPr>
          <w:sz w:val="16"/>
          <w:szCs w:val="16"/>
        </w:rPr>
        <w:t xml:space="preserve">forme, </w:t>
      </w:r>
      <w:r w:rsidRPr="003F49BB">
        <w:rPr>
          <w:sz w:val="16"/>
          <w:szCs w:val="16"/>
        </w:rPr>
        <w:t>en el periodo correspondiente.</w:t>
      </w:r>
    </w:p>
    <w:sectPr w:rsidR="003F49BB" w:rsidRPr="003F49BB" w:rsidSect="000562B1">
      <w:footerReference w:type="default" r:id="rId11"/>
      <w:pgSz w:w="11906" w:h="16838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386246" w14:textId="77777777" w:rsidR="002F6F08" w:rsidRDefault="002F6F08" w:rsidP="000562B1">
      <w:pPr>
        <w:spacing w:after="0" w:line="240" w:lineRule="auto"/>
      </w:pPr>
      <w:r>
        <w:separator/>
      </w:r>
    </w:p>
  </w:endnote>
  <w:endnote w:type="continuationSeparator" w:id="0">
    <w:p w14:paraId="4B03B6C6" w14:textId="77777777" w:rsidR="002F6F08" w:rsidRDefault="002F6F08" w:rsidP="00056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1363187"/>
      <w:docPartObj>
        <w:docPartGallery w:val="Page Numbers (Bottom of Page)"/>
        <w:docPartUnique/>
      </w:docPartObj>
    </w:sdtPr>
    <w:sdtEndPr>
      <w:rPr>
        <w:rFonts w:cstheme="minorHAnsi"/>
      </w:rPr>
    </w:sdtEndPr>
    <w:sdtContent>
      <w:p w14:paraId="63290595" w14:textId="77777777" w:rsidR="001F7F10" w:rsidRPr="000562B1" w:rsidRDefault="001F7F10">
        <w:pPr>
          <w:pStyle w:val="Piedepgina"/>
          <w:jc w:val="right"/>
          <w:rPr>
            <w:rFonts w:cstheme="minorHAnsi"/>
          </w:rPr>
        </w:pPr>
        <w:r w:rsidRPr="000562B1">
          <w:rPr>
            <w:rFonts w:cstheme="minorHAnsi"/>
          </w:rPr>
          <w:fldChar w:fldCharType="begin"/>
        </w:r>
        <w:r w:rsidRPr="000562B1">
          <w:rPr>
            <w:rFonts w:cstheme="minorHAnsi"/>
          </w:rPr>
          <w:instrText>PAGE   \* MERGEFORMAT</w:instrText>
        </w:r>
        <w:r w:rsidRPr="000562B1">
          <w:rPr>
            <w:rFonts w:cstheme="minorHAnsi"/>
          </w:rPr>
          <w:fldChar w:fldCharType="separate"/>
        </w:r>
        <w:r w:rsidR="00221BF9">
          <w:rPr>
            <w:rFonts w:cstheme="minorHAnsi"/>
            <w:noProof/>
          </w:rPr>
          <w:t>1</w:t>
        </w:r>
        <w:r w:rsidRPr="000562B1">
          <w:rPr>
            <w:rFonts w:cstheme="minorHAnsi"/>
          </w:rPr>
          <w:fldChar w:fldCharType="end"/>
        </w:r>
      </w:p>
    </w:sdtContent>
  </w:sdt>
  <w:p w14:paraId="37C823B9" w14:textId="77777777" w:rsidR="001F7F10" w:rsidRDefault="001F7F1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BE7B4" w14:textId="77777777" w:rsidR="002F6F08" w:rsidRDefault="002F6F08" w:rsidP="000562B1">
      <w:pPr>
        <w:spacing w:after="0" w:line="240" w:lineRule="auto"/>
      </w:pPr>
      <w:r>
        <w:separator/>
      </w:r>
    </w:p>
  </w:footnote>
  <w:footnote w:type="continuationSeparator" w:id="0">
    <w:p w14:paraId="5070201A" w14:textId="77777777" w:rsidR="002F6F08" w:rsidRDefault="002F6F08" w:rsidP="000562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80F"/>
    <w:multiLevelType w:val="hybridMultilevel"/>
    <w:tmpl w:val="A644E9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315AE"/>
    <w:multiLevelType w:val="hybridMultilevel"/>
    <w:tmpl w:val="F6222D90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475CB6"/>
    <w:multiLevelType w:val="hybridMultilevel"/>
    <w:tmpl w:val="FF24AC1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97483"/>
    <w:multiLevelType w:val="hybridMultilevel"/>
    <w:tmpl w:val="2014F256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A75E7F"/>
    <w:multiLevelType w:val="hybridMultilevel"/>
    <w:tmpl w:val="08249B3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075B9"/>
    <w:multiLevelType w:val="hybridMultilevel"/>
    <w:tmpl w:val="55201CA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995F83"/>
    <w:multiLevelType w:val="hybridMultilevel"/>
    <w:tmpl w:val="CB32DB9E"/>
    <w:lvl w:ilvl="0" w:tplc="1D1411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A1A64"/>
    <w:multiLevelType w:val="hybridMultilevel"/>
    <w:tmpl w:val="370E71BC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CB4682"/>
    <w:multiLevelType w:val="hybridMultilevel"/>
    <w:tmpl w:val="F922407E"/>
    <w:lvl w:ilvl="0" w:tplc="45FE9F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8D6"/>
    <w:rsid w:val="00020F4E"/>
    <w:rsid w:val="000562B1"/>
    <w:rsid w:val="0012310A"/>
    <w:rsid w:val="001342BF"/>
    <w:rsid w:val="0017035A"/>
    <w:rsid w:val="00181687"/>
    <w:rsid w:val="001B39D6"/>
    <w:rsid w:val="001E467C"/>
    <w:rsid w:val="001F7F10"/>
    <w:rsid w:val="00221BF9"/>
    <w:rsid w:val="00226C2F"/>
    <w:rsid w:val="002321F9"/>
    <w:rsid w:val="0024425F"/>
    <w:rsid w:val="002920B4"/>
    <w:rsid w:val="002C3D5D"/>
    <w:rsid w:val="002F6F08"/>
    <w:rsid w:val="00326C94"/>
    <w:rsid w:val="003662F8"/>
    <w:rsid w:val="003C7E66"/>
    <w:rsid w:val="003E66AA"/>
    <w:rsid w:val="003F49BB"/>
    <w:rsid w:val="003F4BCA"/>
    <w:rsid w:val="00410FE1"/>
    <w:rsid w:val="004158D3"/>
    <w:rsid w:val="00474518"/>
    <w:rsid w:val="004D794A"/>
    <w:rsid w:val="0051297C"/>
    <w:rsid w:val="005524C4"/>
    <w:rsid w:val="005527B0"/>
    <w:rsid w:val="005B7019"/>
    <w:rsid w:val="005E340F"/>
    <w:rsid w:val="005F0DEC"/>
    <w:rsid w:val="005F1DFB"/>
    <w:rsid w:val="005F3752"/>
    <w:rsid w:val="00633110"/>
    <w:rsid w:val="00656A1A"/>
    <w:rsid w:val="00673A7C"/>
    <w:rsid w:val="006B172C"/>
    <w:rsid w:val="00740F3B"/>
    <w:rsid w:val="007C2FE3"/>
    <w:rsid w:val="00816AAB"/>
    <w:rsid w:val="008251E3"/>
    <w:rsid w:val="00827C04"/>
    <w:rsid w:val="00846866"/>
    <w:rsid w:val="008D2AC3"/>
    <w:rsid w:val="008D6849"/>
    <w:rsid w:val="00916F83"/>
    <w:rsid w:val="00923CBC"/>
    <w:rsid w:val="0093649B"/>
    <w:rsid w:val="009432D4"/>
    <w:rsid w:val="00952BF5"/>
    <w:rsid w:val="009E7932"/>
    <w:rsid w:val="00A00862"/>
    <w:rsid w:val="00A178D6"/>
    <w:rsid w:val="00A21DDE"/>
    <w:rsid w:val="00A535EC"/>
    <w:rsid w:val="00A95CE0"/>
    <w:rsid w:val="00B00158"/>
    <w:rsid w:val="00B03532"/>
    <w:rsid w:val="00B065EF"/>
    <w:rsid w:val="00B40032"/>
    <w:rsid w:val="00B42623"/>
    <w:rsid w:val="00B44604"/>
    <w:rsid w:val="00B55B74"/>
    <w:rsid w:val="00B917BF"/>
    <w:rsid w:val="00BE3615"/>
    <w:rsid w:val="00C41A52"/>
    <w:rsid w:val="00C45C39"/>
    <w:rsid w:val="00C660D0"/>
    <w:rsid w:val="00C67BF4"/>
    <w:rsid w:val="00C67C8B"/>
    <w:rsid w:val="00C943B2"/>
    <w:rsid w:val="00C97832"/>
    <w:rsid w:val="00CB0586"/>
    <w:rsid w:val="00CE63DC"/>
    <w:rsid w:val="00D364FB"/>
    <w:rsid w:val="00D37249"/>
    <w:rsid w:val="00D827B7"/>
    <w:rsid w:val="00DA30E6"/>
    <w:rsid w:val="00DC326F"/>
    <w:rsid w:val="00E37172"/>
    <w:rsid w:val="00E618E3"/>
    <w:rsid w:val="00E7533D"/>
    <w:rsid w:val="00E843AB"/>
    <w:rsid w:val="00E86324"/>
    <w:rsid w:val="00E94704"/>
    <w:rsid w:val="00EE05FD"/>
    <w:rsid w:val="00FA6DED"/>
    <w:rsid w:val="00FF2C0E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1F9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361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6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60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2B1"/>
  </w:style>
  <w:style w:type="paragraph" w:styleId="Piedepgina">
    <w:name w:val="footer"/>
    <w:basedOn w:val="Normal"/>
    <w:link w:val="PiedepginaCar"/>
    <w:uiPriority w:val="99"/>
    <w:unhideWhenUsed/>
    <w:rsid w:val="000562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21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61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33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DAB32-73E3-4DA0-9F92-70152E2817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5453</Words>
  <Characters>29993</Characters>
  <Application>Microsoft Office Word</Application>
  <DocSecurity>0</DocSecurity>
  <Lines>249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 BASTANTE GONZALEZ</dc:creator>
  <cp:lastModifiedBy>JESUS BASTANTE GONZALEZ</cp:lastModifiedBy>
  <cp:revision>8</cp:revision>
  <cp:lastPrinted>2021-07-17T17:00:00Z</cp:lastPrinted>
  <dcterms:created xsi:type="dcterms:W3CDTF">2021-04-10T10:29:00Z</dcterms:created>
  <dcterms:modified xsi:type="dcterms:W3CDTF">2021-07-17T17:00:00Z</dcterms:modified>
</cp:coreProperties>
</file>