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51C1654B" w:rsidR="00101C22" w:rsidRPr="0085768E" w:rsidRDefault="00101C22">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Julio-septiembre 2021</w:t>
                            </w:r>
                          </w:p>
                          <w:p w14:paraId="2EB7BD8F" w14:textId="77777777" w:rsidR="00101C22" w:rsidRPr="0085768E" w:rsidRDefault="00101C22">
                            <w:pPr>
                              <w:rPr>
                                <w:rFonts w:ascii="Times New Roman" w:hAnsi="Times New Roman" w:cs="Times New Roman"/>
                                <w:b/>
                                <w:color w:val="FFFFFF" w:themeColor="background1"/>
                                <w:sz w:val="36"/>
                                <w:szCs w:val="36"/>
                              </w:rPr>
                            </w:pPr>
                          </w:p>
                          <w:p w14:paraId="59EFE686" w14:textId="6AFEB127" w:rsidR="00101C22" w:rsidRPr="004F1964" w:rsidRDefault="00101C22" w:rsidP="005F1DFB">
                            <w:pPr>
                              <w:spacing w:after="0" w:line="240" w:lineRule="auto"/>
                              <w:rPr>
                                <w:rFonts w:ascii="Times New Roman" w:hAnsi="Times New Roman" w:cs="Times New Roman"/>
                                <w:b/>
                                <w:color w:val="FFFFFF" w:themeColor="background1"/>
                                <w:sz w:val="72"/>
                                <w:szCs w:val="72"/>
                              </w:rPr>
                            </w:pPr>
                            <w:r w:rsidRPr="004F1964">
                              <w:rPr>
                                <w:rFonts w:ascii="Times New Roman" w:hAnsi="Times New Roman" w:cs="Times New Roman"/>
                                <w:b/>
                                <w:color w:val="FFFFFF" w:themeColor="background1"/>
                                <w:sz w:val="72"/>
                                <w:szCs w:val="72"/>
                              </w:rPr>
                              <w:t xml:space="preserve">INFORME </w:t>
                            </w:r>
                            <w:r>
                              <w:rPr>
                                <w:rFonts w:ascii="Times New Roman" w:hAnsi="Times New Roman" w:cs="Times New Roman"/>
                                <w:b/>
                                <w:color w:val="FFFFFF" w:themeColor="background1"/>
                                <w:sz w:val="72"/>
                                <w:szCs w:val="72"/>
                              </w:rPr>
                              <w:t>Nº 3</w:t>
                            </w:r>
                          </w:p>
                          <w:p w14:paraId="636B78C5" w14:textId="3A3E65BC" w:rsidR="00101C22" w:rsidRPr="0085768E" w:rsidRDefault="00101C22"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Pr="0085768E">
                              <w:rPr>
                                <w:rFonts w:ascii="Times New Roman" w:hAnsi="Times New Roman" w:cs="Times New Roman"/>
                                <w:b/>
                                <w:sz w:val="36"/>
                                <w:szCs w:val="36"/>
                              </w:rPr>
                              <w:t>)</w:t>
                            </w:r>
                          </w:p>
                          <w:p w14:paraId="2D051275" w14:textId="77777777" w:rsidR="00101C22" w:rsidRPr="0085768E" w:rsidRDefault="00101C22" w:rsidP="005F1DFB">
                            <w:pPr>
                              <w:spacing w:after="0" w:line="240" w:lineRule="auto"/>
                              <w:rPr>
                                <w:rFonts w:ascii="Times New Roman" w:hAnsi="Times New Roman" w:cs="Times New Roman"/>
                                <w:b/>
                                <w:color w:val="FFFFFF" w:themeColor="background1"/>
                                <w:sz w:val="36"/>
                                <w:szCs w:val="36"/>
                              </w:rPr>
                            </w:pPr>
                          </w:p>
                          <w:p w14:paraId="36A1D3C4" w14:textId="77777777" w:rsidR="00101C22" w:rsidRPr="0085768E" w:rsidRDefault="00101C22" w:rsidP="005F1DFB">
                            <w:pPr>
                              <w:spacing w:after="0" w:line="240" w:lineRule="auto"/>
                              <w:rPr>
                                <w:rFonts w:ascii="Times New Roman" w:hAnsi="Times New Roman" w:cs="Times New Roman"/>
                                <w:b/>
                                <w:color w:val="FFFFFF" w:themeColor="background1"/>
                                <w:sz w:val="36"/>
                                <w:szCs w:val="36"/>
                              </w:rPr>
                            </w:pPr>
                          </w:p>
                          <w:p w14:paraId="0E34383D" w14:textId="3F656D86" w:rsidR="00101C22" w:rsidRDefault="00101C22" w:rsidP="005F1DFB">
                            <w:pPr>
                              <w:spacing w:after="0" w:line="240" w:lineRule="auto"/>
                              <w:rPr>
                                <w:rFonts w:ascii="Times New Roman" w:hAnsi="Times New Roman" w:cs="Times New Roman"/>
                                <w:b/>
                              </w:rPr>
                            </w:pPr>
                          </w:p>
                          <w:p w14:paraId="31277AA2" w14:textId="5298613B" w:rsidR="00101C22" w:rsidRDefault="00101C22" w:rsidP="005F1DFB">
                            <w:pPr>
                              <w:spacing w:after="0" w:line="240" w:lineRule="auto"/>
                              <w:rPr>
                                <w:rFonts w:ascii="Times New Roman" w:hAnsi="Times New Roman" w:cs="Times New Roman"/>
                                <w:b/>
                              </w:rPr>
                            </w:pPr>
                          </w:p>
                          <w:p w14:paraId="3AD7001B" w14:textId="652BE652" w:rsidR="00101C22" w:rsidRDefault="00101C22" w:rsidP="005F1DFB">
                            <w:pPr>
                              <w:spacing w:after="0" w:line="240" w:lineRule="auto"/>
                              <w:rPr>
                                <w:rFonts w:ascii="Times New Roman" w:hAnsi="Times New Roman" w:cs="Times New Roman"/>
                                <w:b/>
                              </w:rPr>
                            </w:pPr>
                          </w:p>
                          <w:p w14:paraId="602FC1D0" w14:textId="232B233A" w:rsidR="00101C22" w:rsidRDefault="00101C22" w:rsidP="005F1DFB">
                            <w:pPr>
                              <w:spacing w:after="0" w:line="240" w:lineRule="auto"/>
                              <w:rPr>
                                <w:rFonts w:ascii="Times New Roman" w:hAnsi="Times New Roman" w:cs="Times New Roman"/>
                                <w:b/>
                              </w:rPr>
                            </w:pPr>
                          </w:p>
                          <w:p w14:paraId="48F339AB" w14:textId="35F8278B" w:rsidR="00101C22" w:rsidRDefault="00101C22" w:rsidP="005F1DFB">
                            <w:pPr>
                              <w:spacing w:after="0" w:line="240" w:lineRule="auto"/>
                              <w:rPr>
                                <w:rFonts w:ascii="Times New Roman" w:hAnsi="Times New Roman" w:cs="Times New Roman"/>
                                <w:b/>
                              </w:rPr>
                            </w:pPr>
                          </w:p>
                          <w:p w14:paraId="0C11D1D9" w14:textId="22AC16D9" w:rsidR="00101C22" w:rsidRDefault="00101C22" w:rsidP="005F1DFB">
                            <w:pPr>
                              <w:spacing w:after="0" w:line="240" w:lineRule="auto"/>
                              <w:rPr>
                                <w:rFonts w:ascii="Times New Roman" w:hAnsi="Times New Roman" w:cs="Times New Roman"/>
                                <w:b/>
                              </w:rPr>
                            </w:pPr>
                          </w:p>
                          <w:p w14:paraId="3EF55255" w14:textId="64645600" w:rsidR="00101C22" w:rsidRDefault="00101C22" w:rsidP="005F1DFB">
                            <w:pPr>
                              <w:spacing w:after="0" w:line="240" w:lineRule="auto"/>
                              <w:rPr>
                                <w:rFonts w:ascii="Times New Roman" w:hAnsi="Times New Roman" w:cs="Times New Roman"/>
                                <w:b/>
                              </w:rPr>
                            </w:pPr>
                          </w:p>
                          <w:p w14:paraId="78443702" w14:textId="6BFF2EFA" w:rsidR="00101C22" w:rsidRDefault="00101C22" w:rsidP="005F1DFB">
                            <w:pPr>
                              <w:spacing w:after="0" w:line="240" w:lineRule="auto"/>
                              <w:rPr>
                                <w:rFonts w:ascii="Times New Roman" w:hAnsi="Times New Roman" w:cs="Times New Roman"/>
                                <w:b/>
                              </w:rPr>
                            </w:pPr>
                          </w:p>
                          <w:p w14:paraId="37BA1259" w14:textId="785EBEF7" w:rsidR="00101C22" w:rsidRDefault="00101C22" w:rsidP="005F1DFB">
                            <w:pPr>
                              <w:spacing w:after="0" w:line="240" w:lineRule="auto"/>
                              <w:rPr>
                                <w:rFonts w:ascii="Times New Roman" w:hAnsi="Times New Roman" w:cs="Times New Roman"/>
                                <w:b/>
                              </w:rPr>
                            </w:pPr>
                          </w:p>
                          <w:p w14:paraId="65D0F361" w14:textId="77777777" w:rsidR="00101C22" w:rsidRPr="0085768E" w:rsidRDefault="00101C22" w:rsidP="005F1DFB">
                            <w:pPr>
                              <w:spacing w:after="0" w:line="240" w:lineRule="auto"/>
                              <w:rPr>
                                <w:rFonts w:ascii="Times New Roman" w:hAnsi="Times New Roman" w:cs="Times New Roman"/>
                                <w:b/>
                              </w:rPr>
                            </w:pPr>
                          </w:p>
                          <w:p w14:paraId="045E4226" w14:textId="7350820F" w:rsidR="00101C22" w:rsidRPr="0085768E" w:rsidRDefault="00101C22"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47DF26CB" w:rsidR="00101C22" w:rsidRPr="0085768E" w:rsidRDefault="00101C22"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w:t>
                            </w:r>
                            <w:r>
                              <w:rPr>
                                <w:rFonts w:ascii="Times New Roman" w:hAnsi="Times New Roman" w:cs="Times New Roman"/>
                                <w:sz w:val="20"/>
                                <w:szCs w:val="20"/>
                              </w:rPr>
                              <w:t>.ª</w:t>
                            </w:r>
                            <w:r w:rsidRPr="0085768E">
                              <w:rPr>
                                <w:rFonts w:ascii="Times New Roman" w:hAnsi="Times New Roman" w:cs="Times New Roman"/>
                                <w:sz w:val="20"/>
                                <w:szCs w:val="20"/>
                              </w:rPr>
                              <w:t xml:space="preserve"> Ayudante Doctor</w:t>
                            </w:r>
                            <w:r>
                              <w:rPr>
                                <w:rFonts w:ascii="Times New Roman" w:hAnsi="Times New Roman" w:cs="Times New Roman"/>
                                <w:sz w:val="20"/>
                                <w:szCs w:val="20"/>
                              </w:rPr>
                              <w:t>a de Derecho Procesal</w:t>
                            </w:r>
                          </w:p>
                          <w:p w14:paraId="6C8075D8" w14:textId="7E26874D" w:rsidR="00101C22" w:rsidRPr="0085768E" w:rsidRDefault="00101C22"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101C22" w:rsidRPr="0085768E" w:rsidRDefault="00101C22"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" filled="f" stroked="f" strokeweight=".5pt">
                <v:textbox>
                  <w:txbxContent>
                    <w:p w14:paraId="4D436CF4" w14:textId="51C1654B" w:rsidR="00101C22" w:rsidRPr="0085768E" w:rsidRDefault="00101C22">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Julio-septiembre 2021</w:t>
                      </w:r>
                    </w:p>
                    <w:p w14:paraId="2EB7BD8F" w14:textId="77777777" w:rsidR="00101C22" w:rsidRPr="0085768E" w:rsidRDefault="00101C22">
                      <w:pPr>
                        <w:rPr>
                          <w:rFonts w:ascii="Times New Roman" w:hAnsi="Times New Roman" w:cs="Times New Roman"/>
                          <w:b/>
                          <w:color w:val="FFFFFF" w:themeColor="background1"/>
                          <w:sz w:val="36"/>
                          <w:szCs w:val="36"/>
                        </w:rPr>
                      </w:pPr>
                    </w:p>
                    <w:p w14:paraId="59EFE686" w14:textId="6AFEB127" w:rsidR="00101C22" w:rsidRPr="004F1964" w:rsidRDefault="00101C22" w:rsidP="005F1DFB">
                      <w:pPr>
                        <w:spacing w:after="0" w:line="240" w:lineRule="auto"/>
                        <w:rPr>
                          <w:rFonts w:ascii="Times New Roman" w:hAnsi="Times New Roman" w:cs="Times New Roman"/>
                          <w:b/>
                          <w:color w:val="FFFFFF" w:themeColor="background1"/>
                          <w:sz w:val="72"/>
                          <w:szCs w:val="72"/>
                        </w:rPr>
                      </w:pPr>
                      <w:r w:rsidRPr="004F1964">
                        <w:rPr>
                          <w:rFonts w:ascii="Times New Roman" w:hAnsi="Times New Roman" w:cs="Times New Roman"/>
                          <w:b/>
                          <w:color w:val="FFFFFF" w:themeColor="background1"/>
                          <w:sz w:val="72"/>
                          <w:szCs w:val="72"/>
                        </w:rPr>
                        <w:t xml:space="preserve">INFORME </w:t>
                      </w:r>
                      <w:r>
                        <w:rPr>
                          <w:rFonts w:ascii="Times New Roman" w:hAnsi="Times New Roman" w:cs="Times New Roman"/>
                          <w:b/>
                          <w:color w:val="FFFFFF" w:themeColor="background1"/>
                          <w:sz w:val="72"/>
                          <w:szCs w:val="72"/>
                        </w:rPr>
                        <w:t>Nº 3</w:t>
                      </w:r>
                    </w:p>
                    <w:p w14:paraId="636B78C5" w14:textId="3A3E65BC" w:rsidR="00101C22" w:rsidRPr="0085768E" w:rsidRDefault="00101C22"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Pr="0085768E">
                        <w:rPr>
                          <w:rFonts w:ascii="Times New Roman" w:hAnsi="Times New Roman" w:cs="Times New Roman"/>
                          <w:b/>
                          <w:sz w:val="36"/>
                          <w:szCs w:val="36"/>
                        </w:rPr>
                        <w:t>)</w:t>
                      </w:r>
                    </w:p>
                    <w:p w14:paraId="2D051275" w14:textId="77777777" w:rsidR="00101C22" w:rsidRPr="0085768E" w:rsidRDefault="00101C22" w:rsidP="005F1DFB">
                      <w:pPr>
                        <w:spacing w:after="0" w:line="240" w:lineRule="auto"/>
                        <w:rPr>
                          <w:rFonts w:ascii="Times New Roman" w:hAnsi="Times New Roman" w:cs="Times New Roman"/>
                          <w:b/>
                          <w:color w:val="FFFFFF" w:themeColor="background1"/>
                          <w:sz w:val="36"/>
                          <w:szCs w:val="36"/>
                        </w:rPr>
                      </w:pPr>
                    </w:p>
                    <w:p w14:paraId="36A1D3C4" w14:textId="77777777" w:rsidR="00101C22" w:rsidRPr="0085768E" w:rsidRDefault="00101C22" w:rsidP="005F1DFB">
                      <w:pPr>
                        <w:spacing w:after="0" w:line="240" w:lineRule="auto"/>
                        <w:rPr>
                          <w:rFonts w:ascii="Times New Roman" w:hAnsi="Times New Roman" w:cs="Times New Roman"/>
                          <w:b/>
                          <w:color w:val="FFFFFF" w:themeColor="background1"/>
                          <w:sz w:val="36"/>
                          <w:szCs w:val="36"/>
                        </w:rPr>
                      </w:pPr>
                    </w:p>
                    <w:p w14:paraId="0E34383D" w14:textId="3F656D86" w:rsidR="00101C22" w:rsidRDefault="00101C22" w:rsidP="005F1DFB">
                      <w:pPr>
                        <w:spacing w:after="0" w:line="240" w:lineRule="auto"/>
                        <w:rPr>
                          <w:rFonts w:ascii="Times New Roman" w:hAnsi="Times New Roman" w:cs="Times New Roman"/>
                          <w:b/>
                        </w:rPr>
                      </w:pPr>
                    </w:p>
                    <w:p w14:paraId="31277AA2" w14:textId="5298613B" w:rsidR="00101C22" w:rsidRDefault="00101C22" w:rsidP="005F1DFB">
                      <w:pPr>
                        <w:spacing w:after="0" w:line="240" w:lineRule="auto"/>
                        <w:rPr>
                          <w:rFonts w:ascii="Times New Roman" w:hAnsi="Times New Roman" w:cs="Times New Roman"/>
                          <w:b/>
                        </w:rPr>
                      </w:pPr>
                    </w:p>
                    <w:p w14:paraId="3AD7001B" w14:textId="652BE652" w:rsidR="00101C22" w:rsidRDefault="00101C22" w:rsidP="005F1DFB">
                      <w:pPr>
                        <w:spacing w:after="0" w:line="240" w:lineRule="auto"/>
                        <w:rPr>
                          <w:rFonts w:ascii="Times New Roman" w:hAnsi="Times New Roman" w:cs="Times New Roman"/>
                          <w:b/>
                        </w:rPr>
                      </w:pPr>
                    </w:p>
                    <w:p w14:paraId="602FC1D0" w14:textId="232B233A" w:rsidR="00101C22" w:rsidRDefault="00101C22" w:rsidP="005F1DFB">
                      <w:pPr>
                        <w:spacing w:after="0" w:line="240" w:lineRule="auto"/>
                        <w:rPr>
                          <w:rFonts w:ascii="Times New Roman" w:hAnsi="Times New Roman" w:cs="Times New Roman"/>
                          <w:b/>
                        </w:rPr>
                      </w:pPr>
                    </w:p>
                    <w:p w14:paraId="48F339AB" w14:textId="35F8278B" w:rsidR="00101C22" w:rsidRDefault="00101C22" w:rsidP="005F1DFB">
                      <w:pPr>
                        <w:spacing w:after="0" w:line="240" w:lineRule="auto"/>
                        <w:rPr>
                          <w:rFonts w:ascii="Times New Roman" w:hAnsi="Times New Roman" w:cs="Times New Roman"/>
                          <w:b/>
                        </w:rPr>
                      </w:pPr>
                    </w:p>
                    <w:p w14:paraId="0C11D1D9" w14:textId="22AC16D9" w:rsidR="00101C22" w:rsidRDefault="00101C22" w:rsidP="005F1DFB">
                      <w:pPr>
                        <w:spacing w:after="0" w:line="240" w:lineRule="auto"/>
                        <w:rPr>
                          <w:rFonts w:ascii="Times New Roman" w:hAnsi="Times New Roman" w:cs="Times New Roman"/>
                          <w:b/>
                        </w:rPr>
                      </w:pPr>
                    </w:p>
                    <w:p w14:paraId="3EF55255" w14:textId="64645600" w:rsidR="00101C22" w:rsidRDefault="00101C22" w:rsidP="005F1DFB">
                      <w:pPr>
                        <w:spacing w:after="0" w:line="240" w:lineRule="auto"/>
                        <w:rPr>
                          <w:rFonts w:ascii="Times New Roman" w:hAnsi="Times New Roman" w:cs="Times New Roman"/>
                          <w:b/>
                        </w:rPr>
                      </w:pPr>
                    </w:p>
                    <w:p w14:paraId="78443702" w14:textId="6BFF2EFA" w:rsidR="00101C22" w:rsidRDefault="00101C22" w:rsidP="005F1DFB">
                      <w:pPr>
                        <w:spacing w:after="0" w:line="240" w:lineRule="auto"/>
                        <w:rPr>
                          <w:rFonts w:ascii="Times New Roman" w:hAnsi="Times New Roman" w:cs="Times New Roman"/>
                          <w:b/>
                        </w:rPr>
                      </w:pPr>
                    </w:p>
                    <w:p w14:paraId="37BA1259" w14:textId="785EBEF7" w:rsidR="00101C22" w:rsidRDefault="00101C22" w:rsidP="005F1DFB">
                      <w:pPr>
                        <w:spacing w:after="0" w:line="240" w:lineRule="auto"/>
                        <w:rPr>
                          <w:rFonts w:ascii="Times New Roman" w:hAnsi="Times New Roman" w:cs="Times New Roman"/>
                          <w:b/>
                        </w:rPr>
                      </w:pPr>
                    </w:p>
                    <w:p w14:paraId="65D0F361" w14:textId="77777777" w:rsidR="00101C22" w:rsidRPr="0085768E" w:rsidRDefault="00101C22" w:rsidP="005F1DFB">
                      <w:pPr>
                        <w:spacing w:after="0" w:line="240" w:lineRule="auto"/>
                        <w:rPr>
                          <w:rFonts w:ascii="Times New Roman" w:hAnsi="Times New Roman" w:cs="Times New Roman"/>
                          <w:b/>
                        </w:rPr>
                      </w:pPr>
                    </w:p>
                    <w:p w14:paraId="045E4226" w14:textId="7350820F" w:rsidR="00101C22" w:rsidRPr="0085768E" w:rsidRDefault="00101C22"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47DF26CB" w:rsidR="00101C22" w:rsidRPr="0085768E" w:rsidRDefault="00101C22"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w:t>
                      </w:r>
                      <w:r>
                        <w:rPr>
                          <w:rFonts w:ascii="Times New Roman" w:hAnsi="Times New Roman" w:cs="Times New Roman"/>
                          <w:sz w:val="20"/>
                          <w:szCs w:val="20"/>
                        </w:rPr>
                        <w:t>.ª</w:t>
                      </w:r>
                      <w:r w:rsidRPr="0085768E">
                        <w:rPr>
                          <w:rFonts w:ascii="Times New Roman" w:hAnsi="Times New Roman" w:cs="Times New Roman"/>
                          <w:sz w:val="20"/>
                          <w:szCs w:val="20"/>
                        </w:rPr>
                        <w:t xml:space="preserve"> Ayudante Doctor</w:t>
                      </w:r>
                      <w:r>
                        <w:rPr>
                          <w:rFonts w:ascii="Times New Roman" w:hAnsi="Times New Roman" w:cs="Times New Roman"/>
                          <w:sz w:val="20"/>
                          <w:szCs w:val="20"/>
                        </w:rPr>
                        <w:t>a de Derecho Procesal</w:t>
                      </w:r>
                    </w:p>
                    <w:p w14:paraId="6C8075D8" w14:textId="7E26874D" w:rsidR="00101C22" w:rsidRPr="0085768E" w:rsidRDefault="00101C22"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101C22" w:rsidRPr="0085768E" w:rsidRDefault="00101C22"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12E39D86" w:rsidR="00226C2F" w:rsidRPr="008A254E" w:rsidRDefault="008A254E" w:rsidP="00226C2F">
      <w:pPr>
        <w:spacing w:after="0" w:line="240" w:lineRule="auto"/>
        <w:jc w:val="center"/>
        <w:rPr>
          <w:rFonts w:ascii="Times New Roman" w:hAnsi="Times New Roman" w:cs="Times New Roman"/>
          <w:b/>
          <w:color w:val="000000" w:themeColor="text1"/>
          <w:sz w:val="28"/>
          <w:szCs w:val="28"/>
        </w:rPr>
      </w:pPr>
      <w:r w:rsidRPr="008A254E">
        <w:rPr>
          <w:rFonts w:ascii="Times New Roman" w:hAnsi="Times New Roman" w:cs="Times New Roman"/>
          <w:b/>
          <w:color w:val="000000" w:themeColor="text1"/>
          <w:sz w:val="28"/>
          <w:szCs w:val="28"/>
        </w:rPr>
        <w:t>JURISPRUDENCIA (Selección)</w:t>
      </w:r>
    </w:p>
    <w:p w14:paraId="411ED0DB" w14:textId="563F3DB8" w:rsidR="008A254E" w:rsidRDefault="008A254E" w:rsidP="00226C2F">
      <w:pPr>
        <w:spacing w:after="0" w:line="240" w:lineRule="auto"/>
        <w:jc w:val="center"/>
        <w:rPr>
          <w:rFonts w:ascii="Times New Roman" w:hAnsi="Times New Roman" w:cs="Times New Roman"/>
          <w:b/>
          <w:color w:val="000000" w:themeColor="text1"/>
          <w:sz w:val="24"/>
          <w:szCs w:val="24"/>
        </w:rPr>
      </w:pPr>
    </w:p>
    <w:p w14:paraId="532FA5B7" w14:textId="0A7A061D" w:rsidR="008A254E" w:rsidRDefault="00324CCA" w:rsidP="00226C2F">
      <w:pPr>
        <w:spacing w:after="0" w:line="240" w:lineRule="auto"/>
        <w:jc w:val="center"/>
        <w:rPr>
          <w:rFonts w:ascii="Times New Roman" w:hAnsi="Times New Roman" w:cs="Times New Roman"/>
          <w:b/>
          <w:color w:val="000000" w:themeColor="text1"/>
          <w:sz w:val="24"/>
          <w:szCs w:val="24"/>
        </w:rPr>
      </w:pPr>
      <w:r>
        <w:rPr>
          <w:noProof/>
        </w:rPr>
        <w:pict w14:anchorId="5B652FD3">
          <v:rect id="_x0000_i1031" alt="" style="width:425.2pt;height:.05pt;mso-width-percent:0;mso-height-percent:0;mso-width-percent:0;mso-height-percent:0" o:hralign="center" o:hrstd="t" o:hr="t" fillcolor="#a0a0a0" stroked="f"/>
        </w:pict>
      </w:r>
    </w:p>
    <w:p w14:paraId="0F20CAE2" w14:textId="7813EB68" w:rsidR="008A254E" w:rsidRDefault="008A254E" w:rsidP="00226C2F">
      <w:pPr>
        <w:spacing w:after="0" w:line="240" w:lineRule="auto"/>
        <w:jc w:val="center"/>
        <w:rPr>
          <w:rFonts w:ascii="Times New Roman" w:hAnsi="Times New Roman" w:cs="Times New Roman"/>
          <w:b/>
          <w:color w:val="000000" w:themeColor="text1"/>
          <w:sz w:val="24"/>
          <w:szCs w:val="24"/>
        </w:rPr>
      </w:pPr>
    </w:p>
    <w:p w14:paraId="07F9CDB7" w14:textId="77777777" w:rsidR="008A254E" w:rsidRDefault="008A254E" w:rsidP="00226C2F">
      <w:pPr>
        <w:spacing w:after="0" w:line="240" w:lineRule="auto"/>
        <w:jc w:val="center"/>
        <w:rPr>
          <w:rFonts w:ascii="Times New Roman" w:hAnsi="Times New Roman" w:cs="Times New Roman"/>
          <w:b/>
          <w:color w:val="000000" w:themeColor="text1"/>
          <w:sz w:val="24"/>
          <w:szCs w:val="24"/>
        </w:rPr>
      </w:pPr>
    </w:p>
    <w:p w14:paraId="4EEF1885" w14:textId="458C7777" w:rsidR="002B1E17" w:rsidRPr="002B1E17" w:rsidRDefault="002B1E17" w:rsidP="002B1E17">
      <w:pPr>
        <w:spacing w:after="120"/>
        <w:jc w:val="center"/>
        <w:rPr>
          <w:rFonts w:ascii="Times New Roman" w:hAnsi="Times New Roman" w:cs="Times New Roman"/>
          <w:b/>
          <w:bCs/>
          <w:sz w:val="24"/>
          <w:szCs w:val="24"/>
        </w:rPr>
      </w:pPr>
      <w:r w:rsidRPr="002B1E17">
        <w:rPr>
          <w:rFonts w:ascii="Times New Roman" w:hAnsi="Times New Roman" w:cs="Times New Roman"/>
          <w:b/>
          <w:bCs/>
          <w:sz w:val="24"/>
          <w:szCs w:val="24"/>
        </w:rPr>
        <w:t>T</w:t>
      </w:r>
      <w:r>
        <w:rPr>
          <w:rFonts w:ascii="Times New Roman" w:hAnsi="Times New Roman" w:cs="Times New Roman"/>
          <w:b/>
          <w:bCs/>
          <w:sz w:val="24"/>
          <w:szCs w:val="24"/>
        </w:rPr>
        <w:t>JUE</w:t>
      </w:r>
    </w:p>
    <w:p w14:paraId="6DF6200F" w14:textId="6262E1CB" w:rsidR="002B1E17" w:rsidRDefault="002B1E17"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Sentencias</w:t>
      </w:r>
    </w:p>
    <w:p w14:paraId="6F0B8627" w14:textId="045A899B" w:rsidR="00FC1DFB" w:rsidRDefault="006240C0" w:rsidP="00C275BB">
      <w:pPr>
        <w:spacing w:after="240"/>
        <w:jc w:val="both"/>
        <w:rPr>
          <w:rFonts w:ascii="Times New Roman" w:hAnsi="Times New Roman" w:cs="Times New Roman"/>
          <w:bCs/>
          <w:sz w:val="24"/>
          <w:szCs w:val="24"/>
          <w:lang w:val="es-ES_tradnl"/>
        </w:rPr>
      </w:pPr>
      <w:hyperlink r:id="rId9" w:history="1">
        <w:r w:rsidR="00FC1DFB" w:rsidRPr="006240C0">
          <w:rPr>
            <w:rStyle w:val="Hipervnculo"/>
            <w:rFonts w:ascii="Times New Roman" w:hAnsi="Times New Roman" w:cs="Times New Roman"/>
            <w:bCs/>
            <w:sz w:val="24"/>
            <w:szCs w:val="24"/>
          </w:rPr>
          <w:t xml:space="preserve">Sentencia del Tribunal de Justicia (Sala Sexta), de 2 de septiembre de 2021 (asunto C-371/20, </w:t>
        </w:r>
        <w:proofErr w:type="spellStart"/>
        <w:r w:rsidR="00FC1DFB" w:rsidRPr="006240C0">
          <w:rPr>
            <w:rStyle w:val="Hipervnculo"/>
            <w:rFonts w:ascii="Times New Roman" w:hAnsi="Times New Roman" w:cs="Times New Roman"/>
            <w:bCs/>
            <w:sz w:val="24"/>
            <w:szCs w:val="24"/>
          </w:rPr>
          <w:t>Peek</w:t>
        </w:r>
        <w:proofErr w:type="spellEnd"/>
        <w:r w:rsidR="00FC1DFB" w:rsidRPr="006240C0">
          <w:rPr>
            <w:rStyle w:val="Hipervnculo"/>
            <w:rFonts w:ascii="Times New Roman" w:hAnsi="Times New Roman" w:cs="Times New Roman"/>
            <w:bCs/>
            <w:sz w:val="24"/>
            <w:szCs w:val="24"/>
          </w:rPr>
          <w:t xml:space="preserve"> &amp; </w:t>
        </w:r>
        <w:proofErr w:type="spellStart"/>
        <w:r w:rsidR="00FC1DFB" w:rsidRPr="006240C0">
          <w:rPr>
            <w:rStyle w:val="Hipervnculo"/>
            <w:rFonts w:ascii="Times New Roman" w:hAnsi="Times New Roman" w:cs="Times New Roman"/>
            <w:bCs/>
            <w:sz w:val="24"/>
            <w:szCs w:val="24"/>
          </w:rPr>
          <w:t>Cloppenburg</w:t>
        </w:r>
        <w:proofErr w:type="spellEnd"/>
        <w:r w:rsidR="00FC1DFB" w:rsidRPr="006240C0">
          <w:rPr>
            <w:rStyle w:val="Hipervnculo"/>
            <w:rFonts w:ascii="Times New Roman" w:hAnsi="Times New Roman" w:cs="Times New Roman"/>
            <w:bCs/>
            <w:sz w:val="24"/>
            <w:szCs w:val="24"/>
          </w:rPr>
          <w:t xml:space="preserve"> KG)</w:t>
        </w:r>
      </w:hyperlink>
      <w:r w:rsidR="00FC1DFB">
        <w:rPr>
          <w:rFonts w:ascii="Times New Roman" w:hAnsi="Times New Roman" w:cs="Times New Roman"/>
          <w:bCs/>
          <w:sz w:val="24"/>
          <w:szCs w:val="24"/>
        </w:rPr>
        <w:t xml:space="preserve">. </w:t>
      </w:r>
      <w:r w:rsidR="00FC1DFB" w:rsidRPr="00FC1DFB">
        <w:rPr>
          <w:rFonts w:ascii="Times New Roman" w:hAnsi="Times New Roman" w:cs="Times New Roman"/>
          <w:bCs/>
          <w:sz w:val="24"/>
          <w:szCs w:val="24"/>
          <w:lang w:val="es-ES_tradnl"/>
        </w:rPr>
        <w:t>«Procedimiento prejudicial — Protección de los </w:t>
      </w:r>
      <w:bookmarkStart w:id="0" w:name="ctx1"/>
      <w:r w:rsidR="00FC1DFB" w:rsidRPr="00295F80">
        <w:rPr>
          <w:rFonts w:ascii="Times New Roman" w:hAnsi="Times New Roman" w:cs="Times New Roman"/>
          <w:bCs/>
          <w:sz w:val="24"/>
          <w:szCs w:val="24"/>
          <w:lang w:val="es-ES_tradnl"/>
        </w:rPr>
        <w:t>consumidores</w:t>
      </w:r>
      <w:bookmarkEnd w:id="0"/>
      <w:r w:rsidR="00FC1DFB" w:rsidRPr="00295F80">
        <w:rPr>
          <w:rFonts w:ascii="Times New Roman" w:hAnsi="Times New Roman" w:cs="Times New Roman"/>
          <w:bCs/>
          <w:sz w:val="24"/>
          <w:szCs w:val="24"/>
          <w:lang w:val="es-ES_tradnl"/>
        </w:rPr>
        <w:t> — Directiva 2005/29/CE — Prácticas comerciales desleales — Prácticas comerciales que se consideran desleales en cualquier circunstancia — Prácticas comerciales engañosas — Punto 11, primera frase, del anexo I — Acción publicitaria — Inserción de un contenido editorial en los medios de comunicación para promocionar un producto — Promoción pagada por el mismo comerciante — Concepto de “pago” — Promoción de los productos de la empresa del anunciante y de la sociedad editora de medios de comunicación — “Publirreportaje”».</w:t>
      </w:r>
    </w:p>
    <w:p w14:paraId="192DC767" w14:textId="479D0586" w:rsidR="000F1465" w:rsidRDefault="00036BBC" w:rsidP="00C275BB">
      <w:pPr>
        <w:spacing w:after="240"/>
        <w:jc w:val="both"/>
        <w:rPr>
          <w:rFonts w:ascii="Times New Roman" w:hAnsi="Times New Roman" w:cs="Times New Roman"/>
          <w:bCs/>
          <w:sz w:val="24"/>
          <w:szCs w:val="24"/>
          <w:lang w:val="es-ES_tradnl"/>
        </w:rPr>
      </w:pPr>
      <w:hyperlink r:id="rId10" w:history="1">
        <w:r w:rsidR="000F1465" w:rsidRPr="00036BBC">
          <w:rPr>
            <w:rStyle w:val="Hipervnculo"/>
            <w:rFonts w:ascii="Times New Roman" w:hAnsi="Times New Roman" w:cs="Times New Roman"/>
            <w:bCs/>
            <w:sz w:val="24"/>
            <w:szCs w:val="24"/>
            <w:lang w:val="es-ES_tradnl"/>
          </w:rPr>
          <w:t xml:space="preserve">Sentencia del Tribunal de Justicia (Sala Sexta), de 2 de septiembre de 2021 (asunto C-932/19, OTP </w:t>
        </w:r>
        <w:proofErr w:type="spellStart"/>
        <w:r w:rsidR="000F1465" w:rsidRPr="00036BBC">
          <w:rPr>
            <w:rStyle w:val="Hipervnculo"/>
            <w:rFonts w:ascii="Times New Roman" w:hAnsi="Times New Roman" w:cs="Times New Roman"/>
            <w:bCs/>
            <w:sz w:val="24"/>
            <w:szCs w:val="24"/>
            <w:lang w:val="es-ES_tradnl"/>
          </w:rPr>
          <w:t>Jelzálogbnak</w:t>
        </w:r>
        <w:proofErr w:type="spellEnd"/>
        <w:r w:rsidR="000F1465" w:rsidRPr="00036BBC">
          <w:rPr>
            <w:rStyle w:val="Hipervnculo"/>
            <w:rFonts w:ascii="Times New Roman" w:hAnsi="Times New Roman" w:cs="Times New Roman"/>
            <w:bCs/>
            <w:sz w:val="24"/>
            <w:szCs w:val="24"/>
            <w:lang w:val="es-ES_tradnl"/>
          </w:rPr>
          <w:t xml:space="preserve"> y otros)</w:t>
        </w:r>
      </w:hyperlink>
      <w:r w:rsidR="000F1465">
        <w:rPr>
          <w:rFonts w:ascii="Times New Roman" w:hAnsi="Times New Roman" w:cs="Times New Roman"/>
          <w:bCs/>
          <w:sz w:val="24"/>
          <w:szCs w:val="24"/>
          <w:lang w:val="es-ES_tradnl"/>
        </w:rPr>
        <w:t xml:space="preserve">. </w:t>
      </w:r>
      <w:r w:rsidR="000F1465" w:rsidRPr="000F1465">
        <w:rPr>
          <w:rFonts w:ascii="Times New Roman" w:hAnsi="Times New Roman" w:cs="Times New Roman"/>
          <w:bCs/>
          <w:sz w:val="24"/>
          <w:szCs w:val="24"/>
          <w:lang w:val="es-ES_tradnl"/>
        </w:rPr>
        <w:t>«Procedimiento prejudicial — Protección de los consumidores — Cláusulas abusivas — Directiva 93/13/CEE — Artículo 1, apartado 2 — Artículo 6, apartado 1 — Préstamo denominado en moneda extranjera — Diferencia entre el tipo de cambio aplicable en el momento del desembolso del préstamo y el aplicable en el momento de su amortización — Normativa de un Estado miembro que establece la sustitución de una cláusula abusiva por una disposición de Derecho nacional — Posibilidad de que el juez nacional invalide la totalidad del contrato que contiene la cláusula abusiva — Consideración eventual de la protección ofrecida por esta normativa y de la voluntad del consumidor relativa a su aplicación»</w:t>
      </w:r>
      <w:r w:rsidR="000F1465">
        <w:rPr>
          <w:rFonts w:ascii="Times New Roman" w:hAnsi="Times New Roman" w:cs="Times New Roman"/>
          <w:bCs/>
          <w:sz w:val="24"/>
          <w:szCs w:val="24"/>
          <w:lang w:val="es-ES_tradnl"/>
        </w:rPr>
        <w:t>.</w:t>
      </w:r>
    </w:p>
    <w:p w14:paraId="4FB7E274" w14:textId="2755B62C" w:rsidR="00350904" w:rsidRDefault="00036BBC" w:rsidP="00C275BB">
      <w:pPr>
        <w:spacing w:after="240"/>
        <w:jc w:val="both"/>
        <w:rPr>
          <w:rFonts w:ascii="Times New Roman" w:hAnsi="Times New Roman" w:cs="Times New Roman"/>
          <w:bCs/>
          <w:sz w:val="24"/>
          <w:szCs w:val="24"/>
          <w:lang w:val="es-ES_tradnl"/>
        </w:rPr>
      </w:pPr>
      <w:hyperlink r:id="rId11" w:anchor="ctx1" w:history="1">
        <w:r w:rsidR="00350904" w:rsidRPr="00036BBC">
          <w:rPr>
            <w:rStyle w:val="Hipervnculo"/>
            <w:rFonts w:ascii="Times New Roman" w:hAnsi="Times New Roman" w:cs="Times New Roman"/>
            <w:bCs/>
            <w:sz w:val="24"/>
            <w:szCs w:val="24"/>
            <w:lang w:val="es-ES_tradnl"/>
          </w:rPr>
          <w:t>Sentencia del Tribunal de Justicia (Sala Octava), de 2 de septiembre de 2021 (asunto C-5/20, Vodafone)</w:t>
        </w:r>
      </w:hyperlink>
      <w:r w:rsidR="00350904">
        <w:rPr>
          <w:rFonts w:ascii="Times New Roman" w:hAnsi="Times New Roman" w:cs="Times New Roman"/>
          <w:bCs/>
          <w:sz w:val="24"/>
          <w:szCs w:val="24"/>
          <w:lang w:val="es-ES_tradnl"/>
        </w:rPr>
        <w:t xml:space="preserve">. </w:t>
      </w:r>
      <w:r w:rsidR="00350904" w:rsidRPr="00350904">
        <w:rPr>
          <w:rFonts w:ascii="Times New Roman" w:hAnsi="Times New Roman" w:cs="Times New Roman"/>
          <w:bCs/>
          <w:sz w:val="24"/>
          <w:szCs w:val="24"/>
          <w:lang w:val="es-ES_tradnl"/>
        </w:rPr>
        <w:t>«Procedimiento prejudicial — Comunicaciones electrónicas — Reglamento (UE) 2015/2120 — Artículo 3 — Acceso a una Internet abierta — Artículo 3, apartado 1 — Derechos de los usuarios finales — Artículo 3, apartado 2 — Prohibición de acuerdos y prácticas comerciales que limiten el ejercicio de los derechos de los usuarios finales — Artículo 3, apartado 3 — Obligación de trato equitativo y no discriminatorio del tráfico — Posibilidad de aplicar medidas razonables de gestión del tráfico — Opción tarifaria adicional de “tarifa cero” — Limitación del anclaje a red»</w:t>
      </w:r>
      <w:r w:rsidR="00350904">
        <w:rPr>
          <w:rFonts w:ascii="Times New Roman" w:hAnsi="Times New Roman" w:cs="Times New Roman"/>
          <w:bCs/>
          <w:sz w:val="24"/>
          <w:szCs w:val="24"/>
          <w:lang w:val="es-ES_tradnl"/>
        </w:rPr>
        <w:t>.</w:t>
      </w:r>
    </w:p>
    <w:p w14:paraId="58C0C1B6" w14:textId="31612F61" w:rsidR="00BF1769" w:rsidRDefault="00036BBC" w:rsidP="00C275BB">
      <w:pPr>
        <w:spacing w:after="240"/>
        <w:jc w:val="both"/>
        <w:rPr>
          <w:rFonts w:ascii="Times New Roman" w:hAnsi="Times New Roman" w:cs="Times New Roman"/>
          <w:bCs/>
          <w:sz w:val="24"/>
          <w:szCs w:val="24"/>
          <w:lang w:val="es-ES_tradnl"/>
        </w:rPr>
      </w:pPr>
      <w:hyperlink r:id="rId12" w:history="1">
        <w:r w:rsidR="00BF1769" w:rsidRPr="00036BBC">
          <w:rPr>
            <w:rStyle w:val="Hipervnculo"/>
            <w:rFonts w:ascii="Times New Roman" w:hAnsi="Times New Roman" w:cs="Times New Roman"/>
            <w:bCs/>
            <w:sz w:val="24"/>
            <w:szCs w:val="24"/>
            <w:lang w:val="es-ES_tradnl"/>
          </w:rPr>
          <w:t xml:space="preserve">Sentencia del Tribunal de Justicia (Sala Octava), de 2 de septiembre de 2021 (asunto C-34/20, Telekom </w:t>
        </w:r>
        <w:proofErr w:type="spellStart"/>
        <w:r w:rsidR="00BF1769" w:rsidRPr="00036BBC">
          <w:rPr>
            <w:rStyle w:val="Hipervnculo"/>
            <w:rFonts w:ascii="Times New Roman" w:hAnsi="Times New Roman" w:cs="Times New Roman"/>
            <w:bCs/>
            <w:sz w:val="24"/>
            <w:szCs w:val="24"/>
            <w:lang w:val="es-ES_tradnl"/>
          </w:rPr>
          <w:t>Deutschland</w:t>
        </w:r>
        <w:proofErr w:type="spellEnd"/>
        <w:r w:rsidR="00BF1769" w:rsidRPr="00036BBC">
          <w:rPr>
            <w:rStyle w:val="Hipervnculo"/>
            <w:rFonts w:ascii="Times New Roman" w:hAnsi="Times New Roman" w:cs="Times New Roman"/>
            <w:bCs/>
            <w:sz w:val="24"/>
            <w:szCs w:val="24"/>
            <w:lang w:val="es-ES_tradnl"/>
          </w:rPr>
          <w:t>)</w:t>
        </w:r>
      </w:hyperlink>
      <w:r w:rsidR="00BF1769">
        <w:rPr>
          <w:rFonts w:ascii="Times New Roman" w:hAnsi="Times New Roman" w:cs="Times New Roman"/>
          <w:bCs/>
          <w:sz w:val="24"/>
          <w:szCs w:val="24"/>
          <w:lang w:val="es-ES_tradnl"/>
        </w:rPr>
        <w:t xml:space="preserve">. </w:t>
      </w:r>
      <w:r w:rsidR="00BF1769" w:rsidRPr="00BF1769">
        <w:rPr>
          <w:rFonts w:ascii="Times New Roman" w:hAnsi="Times New Roman" w:cs="Times New Roman"/>
          <w:bCs/>
          <w:sz w:val="24"/>
          <w:szCs w:val="24"/>
          <w:lang w:val="es-ES_tradnl"/>
        </w:rPr>
        <w:t xml:space="preserve">«Procedimiento prejudicial — Comunicaciones electrónicas — Reglamento (UE) 2015/2120 — Artículo 3 — Acceso a una Internet abierta — Artículo 3, apartado 1 — Derechos de los usuarios finales — Artículo 3, apartado 2 — Prohibición de acuerdos y prácticas comerciales que limiten el ejercicio de los derechos de los usuarios finales — Artículo 3, apartado 3 — Obligación de trato </w:t>
      </w:r>
      <w:r w:rsidR="00BF1769" w:rsidRPr="00BF1769">
        <w:rPr>
          <w:rFonts w:ascii="Times New Roman" w:hAnsi="Times New Roman" w:cs="Times New Roman"/>
          <w:bCs/>
          <w:sz w:val="24"/>
          <w:szCs w:val="24"/>
          <w:lang w:val="es-ES_tradnl"/>
        </w:rPr>
        <w:lastRenderedPageBreak/>
        <w:t>equitativo y no discriminatorio del tráfico — Posibilidad de aplicar medidas razonables de gestión del tráfico — Opción tarifaria adicional de “tarifa cero” — Limitación del ancho de banda»</w:t>
      </w:r>
      <w:r w:rsidR="00BF1769">
        <w:rPr>
          <w:rFonts w:ascii="Times New Roman" w:hAnsi="Times New Roman" w:cs="Times New Roman"/>
          <w:bCs/>
          <w:sz w:val="24"/>
          <w:szCs w:val="24"/>
          <w:lang w:val="es-ES_tradnl"/>
        </w:rPr>
        <w:t>.</w:t>
      </w:r>
    </w:p>
    <w:p w14:paraId="24BCFD51" w14:textId="3E2FC7CF" w:rsidR="00295F80" w:rsidRPr="00295F80" w:rsidRDefault="00036BBC" w:rsidP="00C275BB">
      <w:pPr>
        <w:spacing w:after="240"/>
        <w:jc w:val="both"/>
        <w:rPr>
          <w:rFonts w:ascii="Times New Roman" w:hAnsi="Times New Roman" w:cs="Times New Roman"/>
          <w:bCs/>
          <w:sz w:val="24"/>
          <w:szCs w:val="24"/>
          <w:lang w:val="es-ES_tradnl"/>
        </w:rPr>
      </w:pPr>
      <w:hyperlink r:id="rId13" w:history="1">
        <w:r w:rsidR="00295F80" w:rsidRPr="00036BBC">
          <w:rPr>
            <w:rStyle w:val="Hipervnculo"/>
            <w:rFonts w:ascii="Times New Roman" w:hAnsi="Times New Roman" w:cs="Times New Roman"/>
            <w:bCs/>
            <w:sz w:val="24"/>
            <w:szCs w:val="24"/>
            <w:lang w:val="es-ES_tradnl"/>
          </w:rPr>
          <w:t xml:space="preserve">Sentencia del Tribunal de Justicia (Sala Sexta), de 9 de septiembre de 2021 (asuntos acumulados C-33/20, C-155/20 </w:t>
        </w:r>
        <w:r w:rsidR="00350904" w:rsidRPr="00036BBC">
          <w:rPr>
            <w:rStyle w:val="Hipervnculo"/>
            <w:rFonts w:ascii="Times New Roman" w:hAnsi="Times New Roman" w:cs="Times New Roman"/>
            <w:bCs/>
            <w:sz w:val="24"/>
            <w:szCs w:val="24"/>
            <w:lang w:val="es-ES_tradnl"/>
          </w:rPr>
          <w:t>y C-187/20, Volkswagen Bank</w:t>
        </w:r>
        <w:r w:rsidR="00295F80" w:rsidRPr="00036BBC">
          <w:rPr>
            <w:rStyle w:val="Hipervnculo"/>
            <w:rFonts w:ascii="Times New Roman" w:hAnsi="Times New Roman" w:cs="Times New Roman"/>
            <w:bCs/>
            <w:sz w:val="24"/>
            <w:szCs w:val="24"/>
            <w:lang w:val="es-ES_tradnl"/>
          </w:rPr>
          <w:t>)</w:t>
        </w:r>
      </w:hyperlink>
      <w:r w:rsidR="00295F80">
        <w:rPr>
          <w:rFonts w:ascii="Times New Roman" w:hAnsi="Times New Roman" w:cs="Times New Roman"/>
          <w:bCs/>
          <w:sz w:val="24"/>
          <w:szCs w:val="24"/>
          <w:lang w:val="es-ES_tradnl"/>
        </w:rPr>
        <w:t xml:space="preserve">. </w:t>
      </w:r>
      <w:r w:rsidR="00295F80" w:rsidRPr="00295F80">
        <w:rPr>
          <w:rFonts w:ascii="Times New Roman" w:hAnsi="Times New Roman" w:cs="Times New Roman"/>
          <w:bCs/>
          <w:sz w:val="24"/>
          <w:szCs w:val="24"/>
          <w:lang w:val="es-ES_tradnl"/>
        </w:rPr>
        <w:t>«Procedimiento prejudicial — Protección de los consumidores — Directiva 2008/48/CE — Crédito al consumo — Artículo 10, apartado 2  — Datos que deben especificarse en el contrato — Obligación de especificar el tipo de crédito, la duración del contrato de crédito, el tipo de interés de demora y los procedimientos de ajuste del tipo de interés de demora aplicable en el momento de la celebración del contrato de crédito — Modificación del tipo de interés de demora según el cambio del tipo de interés básico determinado por el banco central de un Estado miembro — Compensación debida en caso de reembolso anticipado del préstamo — Obligación de precisar el método de cálculo de la modificación del tipo de interés de demora y de la compensación — Inexistencia de obligación de especificar las posibilidades de resolución del contrato de crédito establecidas en la normativa nacional, pero no previstas por la Directiva 2008/48 — Artículo 14, apartado 1 — Derecho de desistimiento ejercido por el consumidor basado en la falta de información obligatoria con arreglo al artículo 10, apartado 2 — Ejercicio fuera de plazo — Prohibición de que el prestamista pueda invocar una excepción de caducidad o de abuso de Derecho»</w:t>
      </w:r>
      <w:r w:rsidR="00295F80">
        <w:rPr>
          <w:rFonts w:ascii="Times New Roman" w:hAnsi="Times New Roman" w:cs="Times New Roman"/>
          <w:bCs/>
          <w:sz w:val="24"/>
          <w:szCs w:val="24"/>
          <w:lang w:val="es-ES_tradnl"/>
        </w:rPr>
        <w:t>.</w:t>
      </w:r>
    </w:p>
    <w:p w14:paraId="088D0966" w14:textId="5CF93ED8" w:rsidR="00295F80" w:rsidRPr="00FC1DFB" w:rsidRDefault="00036BBC" w:rsidP="00C275BB">
      <w:pPr>
        <w:spacing w:after="240"/>
        <w:jc w:val="both"/>
        <w:rPr>
          <w:rFonts w:ascii="Times New Roman" w:hAnsi="Times New Roman" w:cs="Times New Roman"/>
          <w:bCs/>
          <w:sz w:val="24"/>
          <w:szCs w:val="24"/>
          <w:lang w:val="es-ES_tradnl"/>
        </w:rPr>
      </w:pPr>
      <w:hyperlink r:id="rId14" w:history="1">
        <w:r w:rsidR="00295F80" w:rsidRPr="00036BBC">
          <w:rPr>
            <w:rStyle w:val="Hipervnculo"/>
            <w:rFonts w:ascii="Times New Roman" w:hAnsi="Times New Roman" w:cs="Times New Roman"/>
            <w:bCs/>
            <w:sz w:val="24"/>
            <w:szCs w:val="24"/>
            <w:lang w:val="es-ES_tradnl"/>
          </w:rPr>
          <w:t xml:space="preserve">Sentencia del Tribunal de Justicia (Sala Sexta), de 30 de septiembre de 2021 (asunto C-296/20, </w:t>
        </w:r>
        <w:proofErr w:type="spellStart"/>
        <w:r w:rsidR="00295F80" w:rsidRPr="00036BBC">
          <w:rPr>
            <w:rStyle w:val="Hipervnculo"/>
            <w:rFonts w:ascii="Times New Roman" w:hAnsi="Times New Roman" w:cs="Times New Roman"/>
            <w:bCs/>
            <w:sz w:val="24"/>
            <w:szCs w:val="24"/>
            <w:lang w:val="es-ES_tradnl"/>
          </w:rPr>
          <w:t>Commerzbank</w:t>
        </w:r>
        <w:proofErr w:type="spellEnd"/>
        <w:r w:rsidR="00295F80" w:rsidRPr="00036BBC">
          <w:rPr>
            <w:rStyle w:val="Hipervnculo"/>
            <w:rFonts w:ascii="Times New Roman" w:hAnsi="Times New Roman" w:cs="Times New Roman"/>
            <w:bCs/>
            <w:sz w:val="24"/>
            <w:szCs w:val="24"/>
            <w:lang w:val="es-ES_tradnl"/>
          </w:rPr>
          <w:t xml:space="preserve"> AG)</w:t>
        </w:r>
      </w:hyperlink>
      <w:r w:rsidR="00295F80" w:rsidRPr="00295F80">
        <w:rPr>
          <w:rFonts w:ascii="Times New Roman" w:hAnsi="Times New Roman" w:cs="Times New Roman"/>
          <w:bCs/>
          <w:sz w:val="24"/>
          <w:szCs w:val="24"/>
          <w:lang w:val="es-ES_tradnl"/>
        </w:rPr>
        <w:t>. «Procedimiento prejudicial — Cooperación judicial en materia civil — Competencia judicial, reconocimiento y ejecución de resoluciones judiciales — Materia civil y mercantil — Convenio de Lugano II — Artículo 15, apartado 1, letra c) — Competencia en materia de contratos celebrados por los consumidores — Traslado del domicilio del consumidor a otro Estado vinculado por el Convenio»</w:t>
      </w:r>
      <w:r w:rsidR="00295F80">
        <w:rPr>
          <w:rFonts w:ascii="Times New Roman" w:hAnsi="Times New Roman" w:cs="Times New Roman"/>
          <w:bCs/>
          <w:sz w:val="24"/>
          <w:szCs w:val="24"/>
          <w:lang w:val="es-ES_tradnl"/>
        </w:rPr>
        <w:t>.</w:t>
      </w:r>
    </w:p>
    <w:p w14:paraId="650700E2" w14:textId="09E91EDF" w:rsidR="00C275BB" w:rsidRDefault="00036BBC" w:rsidP="00C275BB">
      <w:pPr>
        <w:spacing w:after="240"/>
        <w:jc w:val="both"/>
        <w:rPr>
          <w:rFonts w:ascii="Times New Roman" w:hAnsi="Times New Roman" w:cs="Times New Roman"/>
          <w:bCs/>
          <w:sz w:val="24"/>
          <w:szCs w:val="24"/>
          <w:lang w:val="es-ES_tradnl"/>
        </w:rPr>
      </w:pPr>
      <w:hyperlink r:id="rId15" w:anchor="ctx1" w:history="1">
        <w:r w:rsidR="00C275BB" w:rsidRPr="00036BBC">
          <w:rPr>
            <w:rStyle w:val="Hipervnculo"/>
            <w:rFonts w:ascii="Times New Roman" w:hAnsi="Times New Roman" w:cs="Times New Roman"/>
            <w:bCs/>
            <w:sz w:val="24"/>
            <w:szCs w:val="24"/>
          </w:rPr>
          <w:t xml:space="preserve">Sentencia del Tribunal de Justicia (Sala Novena), de 6 de octubre de 2021 (asunto C-613/20, </w:t>
        </w:r>
        <w:proofErr w:type="spellStart"/>
        <w:r w:rsidR="00C275BB" w:rsidRPr="00036BBC">
          <w:rPr>
            <w:rStyle w:val="Hipervnculo"/>
            <w:rFonts w:ascii="Times New Roman" w:hAnsi="Times New Roman" w:cs="Times New Roman"/>
            <w:bCs/>
            <w:sz w:val="24"/>
            <w:szCs w:val="24"/>
          </w:rPr>
          <w:t>Eurowings</w:t>
        </w:r>
        <w:proofErr w:type="spellEnd"/>
        <w:r w:rsidR="00C275BB" w:rsidRPr="00036BBC">
          <w:rPr>
            <w:rStyle w:val="Hipervnculo"/>
            <w:rFonts w:ascii="Times New Roman" w:hAnsi="Times New Roman" w:cs="Times New Roman"/>
            <w:bCs/>
            <w:sz w:val="24"/>
            <w:szCs w:val="24"/>
          </w:rPr>
          <w:t>)</w:t>
        </w:r>
      </w:hyperlink>
      <w:r w:rsidR="00C275BB">
        <w:rPr>
          <w:rFonts w:ascii="Times New Roman" w:hAnsi="Times New Roman" w:cs="Times New Roman"/>
          <w:bCs/>
          <w:sz w:val="24"/>
          <w:szCs w:val="24"/>
        </w:rPr>
        <w:t xml:space="preserve">. </w:t>
      </w:r>
      <w:r w:rsidR="00C275BB" w:rsidRPr="00C275BB">
        <w:rPr>
          <w:rFonts w:ascii="Times New Roman" w:hAnsi="Times New Roman" w:cs="Times New Roman"/>
          <w:bCs/>
          <w:sz w:val="24"/>
          <w:szCs w:val="24"/>
          <w:lang w:val="es-ES_tradnl"/>
        </w:rPr>
        <w:t>«Procedimiento prejudicial — Transportes aéreos — Reglamento (CE) n.º 261/2004 — Artículo 5, apartado 3 — Normas comunes sobre compensación y asistencia a los pasajeros aéreos en caso de cancelación o gran retraso de los vuelos — Exención de la obligación de compensación — Concepto de “circunstancias extraordinarias” — Huelga del personal de la compañía aérea — Huelga del personal de una filial por solidaridad con el personal de la sociedad matriz»</w:t>
      </w:r>
      <w:r w:rsidR="00C275BB">
        <w:rPr>
          <w:rFonts w:ascii="Times New Roman" w:hAnsi="Times New Roman" w:cs="Times New Roman"/>
          <w:bCs/>
          <w:sz w:val="24"/>
          <w:szCs w:val="24"/>
          <w:lang w:val="es-ES_tradnl"/>
        </w:rPr>
        <w:t>.</w:t>
      </w:r>
    </w:p>
    <w:p w14:paraId="4C1C4A60" w14:textId="77777777" w:rsidR="0048273A" w:rsidRPr="0048273A" w:rsidRDefault="0048273A" w:rsidP="002B1E17">
      <w:pPr>
        <w:spacing w:after="240"/>
        <w:jc w:val="both"/>
        <w:rPr>
          <w:rFonts w:ascii="Times New Roman" w:hAnsi="Times New Roman" w:cs="Times New Roman"/>
          <w:sz w:val="24"/>
          <w:szCs w:val="24"/>
        </w:rPr>
      </w:pPr>
    </w:p>
    <w:p w14:paraId="2F486A1A" w14:textId="255652A8" w:rsidR="002B1E17" w:rsidRPr="002B1E17" w:rsidRDefault="00324CCA" w:rsidP="002B1E17">
      <w:pPr>
        <w:spacing w:after="240"/>
        <w:jc w:val="center"/>
        <w:rPr>
          <w:rFonts w:ascii="Times New Roman" w:hAnsi="Times New Roman" w:cs="Times New Roman"/>
          <w:b/>
          <w:bCs/>
          <w:sz w:val="24"/>
          <w:szCs w:val="24"/>
        </w:rPr>
      </w:pPr>
      <w:r>
        <w:rPr>
          <w:noProof/>
        </w:rPr>
        <w:pict w14:anchorId="74AB4E9D">
          <v:rect id="_x0000_i1030" alt="" style="width:425.2pt;height:.05pt;mso-width-percent:0;mso-height-percent:0;mso-width-percent:0;mso-height-percent:0" o:hralign="center" o:hrstd="t" o:hr="t" fillcolor="#a0a0a0" stroked="f"/>
        </w:pict>
      </w:r>
    </w:p>
    <w:p w14:paraId="579A09AB" w14:textId="77777777" w:rsidR="008B032C" w:rsidRDefault="008B032C" w:rsidP="002B1E17">
      <w:pPr>
        <w:spacing w:after="240"/>
        <w:jc w:val="center"/>
        <w:rPr>
          <w:rFonts w:ascii="Times New Roman" w:hAnsi="Times New Roman" w:cs="Times New Roman"/>
          <w:b/>
          <w:bCs/>
          <w:sz w:val="24"/>
          <w:szCs w:val="24"/>
        </w:rPr>
      </w:pPr>
    </w:p>
    <w:p w14:paraId="1C0BABBA" w14:textId="77777777" w:rsidR="009479F9" w:rsidRDefault="009479F9" w:rsidP="002B1E17">
      <w:pPr>
        <w:spacing w:after="240"/>
        <w:jc w:val="center"/>
        <w:rPr>
          <w:rFonts w:ascii="Times New Roman" w:hAnsi="Times New Roman" w:cs="Times New Roman"/>
          <w:b/>
          <w:bCs/>
          <w:sz w:val="24"/>
          <w:szCs w:val="24"/>
        </w:rPr>
      </w:pPr>
    </w:p>
    <w:p w14:paraId="081B2DCF" w14:textId="6C7792B4" w:rsid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lastRenderedPageBreak/>
        <w:t>TRIBUNAL CONSTITUCIONAL</w:t>
      </w:r>
    </w:p>
    <w:p w14:paraId="4243E373" w14:textId="3771B9CC" w:rsidR="008B032C" w:rsidRDefault="008B032C" w:rsidP="008B032C">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Sentencias </w:t>
      </w:r>
    </w:p>
    <w:p w14:paraId="1305EDCC" w14:textId="2CC6E96C" w:rsidR="00C426D9" w:rsidRDefault="009E6308" w:rsidP="0072347E">
      <w:pPr>
        <w:spacing w:after="240"/>
        <w:jc w:val="both"/>
        <w:rPr>
          <w:rFonts w:ascii="Times New Roman" w:hAnsi="Times New Roman" w:cs="Times New Roman"/>
          <w:bCs/>
          <w:sz w:val="24"/>
          <w:szCs w:val="24"/>
        </w:rPr>
      </w:pPr>
      <w:hyperlink r:id="rId16" w:history="1">
        <w:r w:rsidR="00C426D9" w:rsidRPr="009E6308">
          <w:rPr>
            <w:rStyle w:val="Hipervnculo"/>
            <w:rFonts w:ascii="Times New Roman" w:hAnsi="Times New Roman" w:cs="Times New Roman"/>
            <w:bCs/>
            <w:sz w:val="24"/>
            <w:szCs w:val="24"/>
          </w:rPr>
          <w:t>Pleno. Sentencia 148/2021, de 14 de julio de 2021</w:t>
        </w:r>
      </w:hyperlink>
      <w:r w:rsidR="00C426D9">
        <w:rPr>
          <w:rFonts w:ascii="Times New Roman" w:hAnsi="Times New Roman" w:cs="Times New Roman"/>
          <w:bCs/>
          <w:sz w:val="24"/>
          <w:szCs w:val="24"/>
        </w:rPr>
        <w:t xml:space="preserve">. </w:t>
      </w:r>
      <w:r w:rsidR="00C426D9" w:rsidRPr="002B1E17">
        <w:rPr>
          <w:rFonts w:ascii="Times New Roman" w:hAnsi="Times New Roman" w:cs="Times New Roman"/>
          <w:sz w:val="24"/>
          <w:szCs w:val="24"/>
        </w:rPr>
        <w:t>«</w:t>
      </w:r>
      <w:r w:rsidR="00C426D9" w:rsidRPr="00C426D9">
        <w:rPr>
          <w:rFonts w:ascii="Times New Roman" w:hAnsi="Times New Roman" w:cs="Times New Roman"/>
          <w:bCs/>
          <w:sz w:val="24"/>
          <w:szCs w:val="24"/>
        </w:rPr>
        <w:t xml:space="preserve">Recurso de inconstitucionalidad 2054-2020. Interpuesto por </w:t>
      </w:r>
      <w:proofErr w:type="spellStart"/>
      <w:r w:rsidR="00C426D9" w:rsidRPr="00C426D9">
        <w:rPr>
          <w:rFonts w:ascii="Times New Roman" w:hAnsi="Times New Roman" w:cs="Times New Roman"/>
          <w:bCs/>
          <w:sz w:val="24"/>
          <w:szCs w:val="24"/>
        </w:rPr>
        <w:t>más</w:t>
      </w:r>
      <w:proofErr w:type="spellEnd"/>
      <w:r w:rsidR="00C426D9" w:rsidRPr="00C426D9">
        <w:rPr>
          <w:rFonts w:ascii="Times New Roman" w:hAnsi="Times New Roman" w:cs="Times New Roman"/>
          <w:bCs/>
          <w:sz w:val="24"/>
          <w:szCs w:val="24"/>
        </w:rPr>
        <w:t xml:space="preserve"> de cincuenta diputados del Grupo Parlamentario Vox del Congreso de los Diputados en </w:t>
      </w:r>
      <w:proofErr w:type="spellStart"/>
      <w:r w:rsidR="00C426D9" w:rsidRPr="00C426D9">
        <w:rPr>
          <w:rFonts w:ascii="Times New Roman" w:hAnsi="Times New Roman" w:cs="Times New Roman"/>
          <w:bCs/>
          <w:sz w:val="24"/>
          <w:szCs w:val="24"/>
        </w:rPr>
        <w:t>relación</w:t>
      </w:r>
      <w:proofErr w:type="spellEnd"/>
      <w:r w:rsidR="00C426D9" w:rsidRPr="00C426D9">
        <w:rPr>
          <w:rFonts w:ascii="Times New Roman" w:hAnsi="Times New Roman" w:cs="Times New Roman"/>
          <w:bCs/>
          <w:sz w:val="24"/>
          <w:szCs w:val="24"/>
        </w:rPr>
        <w:t xml:space="preserve"> con diversos preceptos del Real Decreto 463/2020, de 14 de marzo, por el que se declaró el estado de alarma para la </w:t>
      </w:r>
      <w:proofErr w:type="spellStart"/>
      <w:r w:rsidR="00C426D9" w:rsidRPr="00C426D9">
        <w:rPr>
          <w:rFonts w:ascii="Times New Roman" w:hAnsi="Times New Roman" w:cs="Times New Roman"/>
          <w:bCs/>
          <w:sz w:val="24"/>
          <w:szCs w:val="24"/>
        </w:rPr>
        <w:t>gestión</w:t>
      </w:r>
      <w:proofErr w:type="spellEnd"/>
      <w:r w:rsidR="00C426D9" w:rsidRPr="00C426D9">
        <w:rPr>
          <w:rFonts w:ascii="Times New Roman" w:hAnsi="Times New Roman" w:cs="Times New Roman"/>
          <w:bCs/>
          <w:sz w:val="24"/>
          <w:szCs w:val="24"/>
        </w:rPr>
        <w:t xml:space="preserve"> de la </w:t>
      </w:r>
      <w:proofErr w:type="spellStart"/>
      <w:r w:rsidR="00C426D9" w:rsidRPr="00C426D9">
        <w:rPr>
          <w:rFonts w:ascii="Times New Roman" w:hAnsi="Times New Roman" w:cs="Times New Roman"/>
          <w:bCs/>
          <w:sz w:val="24"/>
          <w:szCs w:val="24"/>
        </w:rPr>
        <w:t>situación</w:t>
      </w:r>
      <w:proofErr w:type="spellEnd"/>
      <w:r w:rsidR="00C426D9" w:rsidRPr="00C426D9">
        <w:rPr>
          <w:rFonts w:ascii="Times New Roman" w:hAnsi="Times New Roman" w:cs="Times New Roman"/>
          <w:bCs/>
          <w:sz w:val="24"/>
          <w:szCs w:val="24"/>
        </w:rPr>
        <w:t xml:space="preserve"> de crisis sanitaria ocasionada por el COVID-19; el Real Decreto 465/2020, de 17 de marzo, por el que se modificó el anterior; los Reales Decretos 476/2020, de 27 de marzo, 487/2020, de 10 de abril, y 492/2020, de 24 de abril, por los que se prorrogó el estado de alarma declarado por el Real Decreto 463/2020, y la Orden SND/298/2020, de 29 de marzo, por la que se establecieron medidas excepcionales en </w:t>
      </w:r>
      <w:proofErr w:type="spellStart"/>
      <w:r w:rsidR="00C426D9" w:rsidRPr="00C426D9">
        <w:rPr>
          <w:rFonts w:ascii="Times New Roman" w:hAnsi="Times New Roman" w:cs="Times New Roman"/>
          <w:bCs/>
          <w:sz w:val="24"/>
          <w:szCs w:val="24"/>
        </w:rPr>
        <w:t>relación</w:t>
      </w:r>
      <w:proofErr w:type="spellEnd"/>
      <w:r w:rsidR="00C426D9" w:rsidRPr="00C426D9">
        <w:rPr>
          <w:rFonts w:ascii="Times New Roman" w:hAnsi="Times New Roman" w:cs="Times New Roman"/>
          <w:bCs/>
          <w:sz w:val="24"/>
          <w:szCs w:val="24"/>
        </w:rPr>
        <w:t xml:space="preserve"> con los velatorios y ceremonias </w:t>
      </w:r>
      <w:proofErr w:type="spellStart"/>
      <w:r w:rsidR="00C426D9" w:rsidRPr="00C426D9">
        <w:rPr>
          <w:rFonts w:ascii="Times New Roman" w:hAnsi="Times New Roman" w:cs="Times New Roman"/>
          <w:bCs/>
          <w:sz w:val="24"/>
          <w:szCs w:val="24"/>
        </w:rPr>
        <w:t>fúnebres</w:t>
      </w:r>
      <w:proofErr w:type="spellEnd"/>
      <w:r w:rsidR="00C426D9" w:rsidRPr="00C426D9">
        <w:rPr>
          <w:rFonts w:ascii="Times New Roman" w:hAnsi="Times New Roman" w:cs="Times New Roman"/>
          <w:bCs/>
          <w:sz w:val="24"/>
          <w:szCs w:val="24"/>
        </w:rPr>
        <w:t xml:space="preserve"> para limitar la </w:t>
      </w:r>
      <w:proofErr w:type="spellStart"/>
      <w:r w:rsidR="00C426D9" w:rsidRPr="00C426D9">
        <w:rPr>
          <w:rFonts w:ascii="Times New Roman" w:hAnsi="Times New Roman" w:cs="Times New Roman"/>
          <w:bCs/>
          <w:sz w:val="24"/>
          <w:szCs w:val="24"/>
        </w:rPr>
        <w:t>propagación</w:t>
      </w:r>
      <w:proofErr w:type="spellEnd"/>
      <w:r w:rsidR="00C426D9" w:rsidRPr="00C426D9">
        <w:rPr>
          <w:rFonts w:ascii="Times New Roman" w:hAnsi="Times New Roman" w:cs="Times New Roman"/>
          <w:bCs/>
          <w:sz w:val="24"/>
          <w:szCs w:val="24"/>
        </w:rPr>
        <w:t xml:space="preserve"> y el contagio por el COVID-19. Estado de alarma: nulidad parcial de los preceptos que restringen la libertad de </w:t>
      </w:r>
      <w:proofErr w:type="spellStart"/>
      <w:r w:rsidR="00C426D9" w:rsidRPr="00C426D9">
        <w:rPr>
          <w:rFonts w:ascii="Times New Roman" w:hAnsi="Times New Roman" w:cs="Times New Roman"/>
          <w:bCs/>
          <w:sz w:val="24"/>
          <w:szCs w:val="24"/>
        </w:rPr>
        <w:t>circulación</w:t>
      </w:r>
      <w:proofErr w:type="spellEnd"/>
      <w:r w:rsidR="00C426D9" w:rsidRPr="00C426D9">
        <w:rPr>
          <w:rFonts w:ascii="Times New Roman" w:hAnsi="Times New Roman" w:cs="Times New Roman"/>
          <w:bCs/>
          <w:sz w:val="24"/>
          <w:szCs w:val="24"/>
        </w:rPr>
        <w:t xml:space="preserve"> y habilitan al ministro de Sanidad para variar las medidas de </w:t>
      </w:r>
      <w:proofErr w:type="spellStart"/>
      <w:r w:rsidR="00C426D9" w:rsidRPr="00C426D9">
        <w:rPr>
          <w:rFonts w:ascii="Times New Roman" w:hAnsi="Times New Roman" w:cs="Times New Roman"/>
          <w:bCs/>
          <w:sz w:val="24"/>
          <w:szCs w:val="24"/>
        </w:rPr>
        <w:t>contención</w:t>
      </w:r>
      <w:proofErr w:type="spellEnd"/>
      <w:r w:rsidR="00C426D9" w:rsidRPr="00C426D9">
        <w:rPr>
          <w:rFonts w:ascii="Times New Roman" w:hAnsi="Times New Roman" w:cs="Times New Roman"/>
          <w:bCs/>
          <w:sz w:val="24"/>
          <w:szCs w:val="24"/>
        </w:rPr>
        <w:t xml:space="preserve"> en establecimientos y actividades </w:t>
      </w:r>
      <w:proofErr w:type="spellStart"/>
      <w:r w:rsidR="00C426D9" w:rsidRPr="00C426D9">
        <w:rPr>
          <w:rFonts w:ascii="Times New Roman" w:hAnsi="Times New Roman" w:cs="Times New Roman"/>
          <w:bCs/>
          <w:sz w:val="24"/>
          <w:szCs w:val="24"/>
        </w:rPr>
        <w:t>económicas</w:t>
      </w:r>
      <w:proofErr w:type="spellEnd"/>
      <w:r w:rsidR="00C426D9" w:rsidRPr="00C426D9">
        <w:rPr>
          <w:rFonts w:ascii="Times New Roman" w:hAnsi="Times New Roman" w:cs="Times New Roman"/>
          <w:bCs/>
          <w:sz w:val="24"/>
          <w:szCs w:val="24"/>
        </w:rPr>
        <w:t xml:space="preserve">; </w:t>
      </w:r>
      <w:proofErr w:type="spellStart"/>
      <w:r w:rsidR="00C426D9" w:rsidRPr="00C426D9">
        <w:rPr>
          <w:rFonts w:ascii="Times New Roman" w:hAnsi="Times New Roman" w:cs="Times New Roman"/>
          <w:bCs/>
          <w:sz w:val="24"/>
          <w:szCs w:val="24"/>
        </w:rPr>
        <w:t>inadmisión</w:t>
      </w:r>
      <w:proofErr w:type="spellEnd"/>
      <w:r w:rsidR="00C426D9" w:rsidRPr="00C426D9">
        <w:rPr>
          <w:rFonts w:ascii="Times New Roman" w:hAnsi="Times New Roman" w:cs="Times New Roman"/>
          <w:bCs/>
          <w:sz w:val="24"/>
          <w:szCs w:val="24"/>
        </w:rPr>
        <w:t xml:space="preserve"> del recurso en </w:t>
      </w:r>
      <w:proofErr w:type="spellStart"/>
      <w:r w:rsidR="00C426D9" w:rsidRPr="00C426D9">
        <w:rPr>
          <w:rFonts w:ascii="Times New Roman" w:hAnsi="Times New Roman" w:cs="Times New Roman"/>
          <w:bCs/>
          <w:sz w:val="24"/>
          <w:szCs w:val="24"/>
        </w:rPr>
        <w:t>relación</w:t>
      </w:r>
      <w:proofErr w:type="spellEnd"/>
      <w:r w:rsidR="00C426D9" w:rsidRPr="00C426D9">
        <w:rPr>
          <w:rFonts w:ascii="Times New Roman" w:hAnsi="Times New Roman" w:cs="Times New Roman"/>
          <w:bCs/>
          <w:sz w:val="24"/>
          <w:szCs w:val="24"/>
        </w:rPr>
        <w:t xml:space="preserve"> con la orden ministerial. Votos particulares</w:t>
      </w:r>
      <w:r w:rsidR="00C426D9" w:rsidRPr="00C275BB">
        <w:rPr>
          <w:rFonts w:ascii="Times New Roman" w:hAnsi="Times New Roman" w:cs="Times New Roman"/>
          <w:bCs/>
          <w:sz w:val="24"/>
          <w:szCs w:val="24"/>
          <w:lang w:val="es-ES_tradnl"/>
        </w:rPr>
        <w:t>»</w:t>
      </w:r>
      <w:r w:rsidR="00C426D9">
        <w:rPr>
          <w:rFonts w:ascii="Times New Roman" w:hAnsi="Times New Roman" w:cs="Times New Roman"/>
          <w:bCs/>
          <w:sz w:val="24"/>
          <w:szCs w:val="24"/>
          <w:lang w:val="es-ES_tradnl"/>
        </w:rPr>
        <w:t>.</w:t>
      </w:r>
    </w:p>
    <w:p w14:paraId="15F36BCB" w14:textId="11CB7434" w:rsidR="0072347E" w:rsidRDefault="009E6308" w:rsidP="0072347E">
      <w:pPr>
        <w:spacing w:after="240"/>
        <w:jc w:val="both"/>
        <w:rPr>
          <w:rFonts w:ascii="Times New Roman" w:hAnsi="Times New Roman" w:cs="Times New Roman"/>
          <w:bCs/>
          <w:sz w:val="24"/>
          <w:szCs w:val="24"/>
          <w:lang w:val="es-ES_tradnl"/>
        </w:rPr>
      </w:pPr>
      <w:hyperlink r:id="rId17" w:history="1">
        <w:r w:rsidR="0072347E" w:rsidRPr="009E6308">
          <w:rPr>
            <w:rStyle w:val="Hipervnculo"/>
            <w:rFonts w:ascii="Times New Roman" w:hAnsi="Times New Roman" w:cs="Times New Roman"/>
            <w:bCs/>
            <w:sz w:val="24"/>
            <w:szCs w:val="24"/>
            <w:lang w:val="es-ES_tradnl"/>
          </w:rPr>
          <w:t>Sala Segunda. Sentencia 150/2021, de 13 de septiembre de 2021</w:t>
        </w:r>
      </w:hyperlink>
      <w:r w:rsidR="0072347E">
        <w:rPr>
          <w:rFonts w:ascii="Times New Roman" w:hAnsi="Times New Roman" w:cs="Times New Roman"/>
          <w:bCs/>
          <w:sz w:val="24"/>
          <w:szCs w:val="24"/>
          <w:lang w:val="es-ES_tradnl"/>
        </w:rPr>
        <w:t xml:space="preserve">. </w:t>
      </w:r>
      <w:r w:rsidR="0072347E" w:rsidRPr="002B1E17">
        <w:rPr>
          <w:rFonts w:ascii="Times New Roman" w:hAnsi="Times New Roman" w:cs="Times New Roman"/>
          <w:sz w:val="24"/>
          <w:szCs w:val="24"/>
        </w:rPr>
        <w:t>«</w:t>
      </w:r>
      <w:r w:rsidR="0072347E">
        <w:rPr>
          <w:rFonts w:ascii="Times New Roman" w:hAnsi="Times New Roman" w:cs="Times New Roman"/>
          <w:bCs/>
          <w:sz w:val="24"/>
          <w:szCs w:val="24"/>
          <w:lang w:val="es-ES_tradnl"/>
        </w:rPr>
        <w:t xml:space="preserve">Recurso de amparo 3866-2019, promovido por </w:t>
      </w:r>
      <w:r w:rsidR="0072347E" w:rsidRPr="0072347E">
        <w:rPr>
          <w:rFonts w:ascii="Times New Roman" w:hAnsi="Times New Roman" w:cs="Times New Roman"/>
          <w:bCs/>
          <w:sz w:val="24"/>
          <w:szCs w:val="24"/>
          <w:lang w:val="es-ES_tradnl"/>
        </w:rPr>
        <w:t xml:space="preserve">doña Norma del Consuelo López </w:t>
      </w:r>
      <w:proofErr w:type="spellStart"/>
      <w:r w:rsidR="0072347E" w:rsidRPr="0072347E">
        <w:rPr>
          <w:rFonts w:ascii="Times New Roman" w:hAnsi="Times New Roman" w:cs="Times New Roman"/>
          <w:bCs/>
          <w:sz w:val="24"/>
          <w:szCs w:val="24"/>
          <w:lang w:val="es-ES_tradnl"/>
        </w:rPr>
        <w:t>Collahuazo</w:t>
      </w:r>
      <w:proofErr w:type="spellEnd"/>
      <w:r w:rsidR="0072347E" w:rsidRPr="0072347E">
        <w:rPr>
          <w:rFonts w:ascii="Times New Roman" w:hAnsi="Times New Roman" w:cs="Times New Roman"/>
          <w:bCs/>
          <w:sz w:val="24"/>
          <w:szCs w:val="24"/>
          <w:lang w:val="es-ES_tradnl"/>
        </w:rPr>
        <w:t xml:space="preserve"> respecto de las resoluciones dictadas por un juzgado de primera instancia de Madrid en procedimiento de ejecución hipotecaria.</w:t>
      </w:r>
      <w:r w:rsidR="0072347E">
        <w:rPr>
          <w:rFonts w:ascii="Times New Roman" w:hAnsi="Times New Roman" w:cs="Times New Roman"/>
          <w:bCs/>
          <w:sz w:val="24"/>
          <w:szCs w:val="24"/>
          <w:lang w:val="es-ES_tradnl"/>
        </w:rPr>
        <w:t xml:space="preserve"> </w:t>
      </w:r>
      <w:r w:rsidR="0072347E" w:rsidRPr="0072347E">
        <w:rPr>
          <w:rFonts w:ascii="Times New Roman" w:hAnsi="Times New Roman" w:cs="Times New Roman"/>
          <w:bCs/>
          <w:sz w:val="24"/>
          <w:szCs w:val="24"/>
          <w:lang w:val="es-ES_tradnl"/>
        </w:rPr>
        <w:t>Vulneración del derecho a la tutela judicial efectiva (motivación): STC 31/2019 (ausencia de control judicial de las cláusulas abusivas que desconoce la primacía del Derecho de la Unión Europea y la jurisprudencia del Tribunal de Justicia). Voto particular</w:t>
      </w:r>
      <w:r w:rsidR="0072347E" w:rsidRPr="00C275BB">
        <w:rPr>
          <w:rFonts w:ascii="Times New Roman" w:hAnsi="Times New Roman" w:cs="Times New Roman"/>
          <w:bCs/>
          <w:sz w:val="24"/>
          <w:szCs w:val="24"/>
          <w:lang w:val="es-ES_tradnl"/>
        </w:rPr>
        <w:t>»</w:t>
      </w:r>
      <w:r w:rsidR="0072347E">
        <w:rPr>
          <w:rFonts w:ascii="Times New Roman" w:hAnsi="Times New Roman" w:cs="Times New Roman"/>
          <w:bCs/>
          <w:sz w:val="24"/>
          <w:szCs w:val="24"/>
          <w:lang w:val="es-ES_tradnl"/>
        </w:rPr>
        <w:t>.</w:t>
      </w:r>
    </w:p>
    <w:p w14:paraId="518F01BD" w14:textId="523048AE" w:rsidR="00C426D9" w:rsidRDefault="009E6308" w:rsidP="00C426D9">
      <w:pPr>
        <w:spacing w:after="240"/>
        <w:jc w:val="both"/>
        <w:rPr>
          <w:rFonts w:ascii="Times New Roman" w:hAnsi="Times New Roman" w:cs="Times New Roman"/>
          <w:bCs/>
          <w:sz w:val="24"/>
          <w:szCs w:val="24"/>
          <w:lang w:val="es-ES_tradnl"/>
        </w:rPr>
      </w:pPr>
      <w:hyperlink r:id="rId18" w:history="1">
        <w:r w:rsidR="00C426D9" w:rsidRPr="009E6308">
          <w:rPr>
            <w:rStyle w:val="Hipervnculo"/>
            <w:rFonts w:ascii="Times New Roman" w:hAnsi="Times New Roman" w:cs="Times New Roman"/>
            <w:bCs/>
            <w:sz w:val="24"/>
            <w:szCs w:val="24"/>
            <w:lang w:val="es-ES_tradnl"/>
          </w:rPr>
          <w:t>Sala Segunda. Sentencia 154/2021, de 13 de septiembre de 2021</w:t>
        </w:r>
      </w:hyperlink>
      <w:r w:rsidR="00C426D9">
        <w:rPr>
          <w:rFonts w:ascii="Times New Roman" w:hAnsi="Times New Roman" w:cs="Times New Roman"/>
          <w:bCs/>
          <w:sz w:val="24"/>
          <w:szCs w:val="24"/>
          <w:lang w:val="es-ES_tradnl"/>
        </w:rPr>
        <w:t xml:space="preserve">. </w:t>
      </w:r>
      <w:r w:rsidR="00C426D9" w:rsidRPr="002B1E17">
        <w:rPr>
          <w:rFonts w:ascii="Times New Roman" w:hAnsi="Times New Roman" w:cs="Times New Roman"/>
          <w:sz w:val="24"/>
          <w:szCs w:val="24"/>
        </w:rPr>
        <w:t>«</w:t>
      </w:r>
      <w:r w:rsidR="00C426D9">
        <w:rPr>
          <w:rFonts w:ascii="Times New Roman" w:hAnsi="Times New Roman" w:cs="Times New Roman"/>
          <w:sz w:val="24"/>
          <w:szCs w:val="24"/>
        </w:rPr>
        <w:t xml:space="preserve">Recurso de amparo 39-2020, promovido por </w:t>
      </w:r>
      <w:r w:rsidR="00C426D9" w:rsidRPr="00C426D9">
        <w:rPr>
          <w:rFonts w:ascii="Times New Roman" w:hAnsi="Times New Roman" w:cs="Times New Roman"/>
          <w:sz w:val="24"/>
          <w:szCs w:val="24"/>
          <w:lang w:val="es-ES_tradnl"/>
        </w:rPr>
        <w:t>doña Juana Girona Benítez respecto de las resoluciones dictadas por un juzgado de primera instancia de Barcelona en procedimiento de ejecución hipotecaria.</w:t>
      </w:r>
      <w:r w:rsidR="00C426D9">
        <w:rPr>
          <w:rFonts w:ascii="Times New Roman" w:hAnsi="Times New Roman" w:cs="Times New Roman"/>
          <w:sz w:val="24"/>
          <w:szCs w:val="24"/>
          <w:lang w:val="es-ES_tradnl"/>
        </w:rPr>
        <w:t xml:space="preserve"> </w:t>
      </w:r>
      <w:r w:rsidR="00C426D9" w:rsidRPr="00C426D9">
        <w:rPr>
          <w:rFonts w:ascii="Times New Roman" w:hAnsi="Times New Roman" w:cs="Times New Roman"/>
          <w:sz w:val="24"/>
          <w:szCs w:val="24"/>
          <w:lang w:val="es-ES_tradnl"/>
        </w:rPr>
        <w:t>Vulneración del derecho a la tutela judicial efectiva (motivación): STC 31/2019 (ausencia de control judicial de las cláusulas abusivas que desconoce la primacía del Derecho de la Unión Europea y la jurisprudencia del Tribuna</w:t>
      </w:r>
      <w:r w:rsidR="00C426D9">
        <w:rPr>
          <w:rFonts w:ascii="Times New Roman" w:hAnsi="Times New Roman" w:cs="Times New Roman"/>
          <w:sz w:val="24"/>
          <w:szCs w:val="24"/>
          <w:lang w:val="es-ES_tradnl"/>
        </w:rPr>
        <w:t>l de Justicia). Voto particular</w:t>
      </w:r>
      <w:r w:rsidR="00C426D9" w:rsidRPr="00C275BB">
        <w:rPr>
          <w:rFonts w:ascii="Times New Roman" w:hAnsi="Times New Roman" w:cs="Times New Roman"/>
          <w:bCs/>
          <w:sz w:val="24"/>
          <w:szCs w:val="24"/>
          <w:lang w:val="es-ES_tradnl"/>
        </w:rPr>
        <w:t>»</w:t>
      </w:r>
      <w:r w:rsidR="00C426D9">
        <w:rPr>
          <w:rFonts w:ascii="Times New Roman" w:hAnsi="Times New Roman" w:cs="Times New Roman"/>
          <w:bCs/>
          <w:sz w:val="24"/>
          <w:szCs w:val="24"/>
          <w:lang w:val="es-ES_tradnl"/>
        </w:rPr>
        <w:t>.</w:t>
      </w:r>
    </w:p>
    <w:p w14:paraId="52BE9FC4" w14:textId="113E5323" w:rsidR="0072347E" w:rsidRPr="00B60EA5" w:rsidRDefault="009E6308" w:rsidP="0072347E">
      <w:pPr>
        <w:spacing w:after="240"/>
        <w:jc w:val="both"/>
        <w:rPr>
          <w:rFonts w:ascii="Times New Roman" w:hAnsi="Times New Roman" w:cs="Times New Roman"/>
          <w:bCs/>
          <w:sz w:val="24"/>
          <w:szCs w:val="24"/>
          <w:lang w:val="es-ES_tradnl"/>
        </w:rPr>
      </w:pPr>
      <w:hyperlink r:id="rId19" w:history="1">
        <w:r w:rsidR="000C29EB" w:rsidRPr="009E6308">
          <w:rPr>
            <w:rStyle w:val="Hipervnculo"/>
            <w:rFonts w:ascii="Times New Roman" w:hAnsi="Times New Roman" w:cs="Times New Roman"/>
            <w:bCs/>
            <w:sz w:val="24"/>
            <w:szCs w:val="24"/>
          </w:rPr>
          <w:t>Pleno. Sentencia 156/2021, de 16 de septiembre de 2021</w:t>
        </w:r>
      </w:hyperlink>
      <w:r w:rsidR="000C29EB">
        <w:rPr>
          <w:rFonts w:ascii="Times New Roman" w:hAnsi="Times New Roman" w:cs="Times New Roman"/>
          <w:bCs/>
          <w:sz w:val="24"/>
          <w:szCs w:val="24"/>
        </w:rPr>
        <w:t xml:space="preserve">. </w:t>
      </w:r>
      <w:r w:rsidR="000C29EB" w:rsidRPr="002B1E17">
        <w:rPr>
          <w:rFonts w:ascii="Times New Roman" w:hAnsi="Times New Roman" w:cs="Times New Roman"/>
          <w:sz w:val="24"/>
          <w:szCs w:val="24"/>
        </w:rPr>
        <w:t>«</w:t>
      </w:r>
      <w:r w:rsidR="000C29EB" w:rsidRPr="00CA6B57">
        <w:rPr>
          <w:rFonts w:ascii="Times New Roman" w:hAnsi="Times New Roman" w:cs="Times New Roman"/>
          <w:sz w:val="24"/>
          <w:szCs w:val="24"/>
        </w:rPr>
        <w:t>R</w:t>
      </w:r>
      <w:r w:rsidR="000C29EB">
        <w:rPr>
          <w:rFonts w:ascii="Times New Roman" w:hAnsi="Times New Roman" w:cs="Times New Roman"/>
          <w:sz w:val="24"/>
          <w:szCs w:val="24"/>
        </w:rPr>
        <w:t xml:space="preserve">ecurso de inconstitucionalidad 1960-2017, interpuesto por más </w:t>
      </w:r>
      <w:r w:rsidR="000C29EB" w:rsidRPr="0072347E">
        <w:rPr>
          <w:rFonts w:ascii="Times New Roman" w:hAnsi="Times New Roman" w:cs="Times New Roman"/>
          <w:sz w:val="24"/>
          <w:szCs w:val="24"/>
          <w:lang w:val="es-ES_tradnl"/>
        </w:rPr>
        <w:t xml:space="preserve">de cincuenta diputados del Grupo Parlamentario Confederal de Unidos Podemos-En </w:t>
      </w:r>
      <w:proofErr w:type="spellStart"/>
      <w:r w:rsidR="000C29EB" w:rsidRPr="0072347E">
        <w:rPr>
          <w:rFonts w:ascii="Times New Roman" w:hAnsi="Times New Roman" w:cs="Times New Roman"/>
          <w:sz w:val="24"/>
          <w:szCs w:val="24"/>
          <w:lang w:val="es-ES_tradnl"/>
        </w:rPr>
        <w:t>Comú</w:t>
      </w:r>
      <w:proofErr w:type="spellEnd"/>
      <w:r w:rsidR="000C29EB" w:rsidRPr="0072347E">
        <w:rPr>
          <w:rFonts w:ascii="Times New Roman" w:hAnsi="Times New Roman" w:cs="Times New Roman"/>
          <w:sz w:val="24"/>
          <w:szCs w:val="24"/>
          <w:lang w:val="es-ES_tradnl"/>
        </w:rPr>
        <w:t xml:space="preserve"> </w:t>
      </w:r>
      <w:proofErr w:type="spellStart"/>
      <w:r w:rsidR="000C29EB" w:rsidRPr="0072347E">
        <w:rPr>
          <w:rFonts w:ascii="Times New Roman" w:hAnsi="Times New Roman" w:cs="Times New Roman"/>
          <w:sz w:val="24"/>
          <w:szCs w:val="24"/>
          <w:lang w:val="es-ES_tradnl"/>
        </w:rPr>
        <w:t>Podem</w:t>
      </w:r>
      <w:proofErr w:type="spellEnd"/>
      <w:r w:rsidR="000C29EB" w:rsidRPr="0072347E">
        <w:rPr>
          <w:rFonts w:ascii="Times New Roman" w:hAnsi="Times New Roman" w:cs="Times New Roman"/>
          <w:sz w:val="24"/>
          <w:szCs w:val="24"/>
          <w:lang w:val="es-ES_tradnl"/>
        </w:rPr>
        <w:t xml:space="preserve">-En Marea, respecto del Real Decreto-ley 1/2017, de 20 de enero, de medidas urgentes de protección de consumidores en materia de cláusulas suelo. Límites materiales de los decretos leyes: nulidad de los preceptos legales que excluyen a las personas jurídicas del ámbito de aplicación de la norma y regulan el régimen de imposición de costas cuando el consumidor no hubiera acudido al procedimiento extrajudicial de reclamación previa ante la entidad de crédito; interpretación conforme con la Constitución del precepto </w:t>
      </w:r>
      <w:r w:rsidR="000C29EB" w:rsidRPr="0072347E">
        <w:rPr>
          <w:rFonts w:ascii="Times New Roman" w:hAnsi="Times New Roman" w:cs="Times New Roman"/>
          <w:sz w:val="24"/>
          <w:szCs w:val="24"/>
          <w:lang w:val="es-ES_tradnl"/>
        </w:rPr>
        <w:lastRenderedPageBreak/>
        <w:t xml:space="preserve">legal que limita los supuestos de imposición de costas a las entidades de crédito. Voto </w:t>
      </w:r>
      <w:r w:rsidR="000C29EB">
        <w:rPr>
          <w:rFonts w:ascii="Times New Roman" w:hAnsi="Times New Roman" w:cs="Times New Roman"/>
          <w:sz w:val="24"/>
          <w:szCs w:val="24"/>
          <w:lang w:val="es-ES_tradnl"/>
        </w:rPr>
        <w:t>particular</w:t>
      </w:r>
      <w:r w:rsidR="000C29EB" w:rsidRPr="00C275BB">
        <w:rPr>
          <w:rFonts w:ascii="Times New Roman" w:hAnsi="Times New Roman" w:cs="Times New Roman"/>
          <w:bCs/>
          <w:sz w:val="24"/>
          <w:szCs w:val="24"/>
          <w:lang w:val="es-ES_tradnl"/>
        </w:rPr>
        <w:t>»</w:t>
      </w:r>
      <w:r w:rsidR="000C29EB">
        <w:rPr>
          <w:rFonts w:ascii="Times New Roman" w:hAnsi="Times New Roman" w:cs="Times New Roman"/>
          <w:bCs/>
          <w:sz w:val="24"/>
          <w:szCs w:val="24"/>
          <w:lang w:val="es-ES_tradnl"/>
        </w:rPr>
        <w:t>.</w:t>
      </w:r>
    </w:p>
    <w:p w14:paraId="514C07E6" w14:textId="4B71CCBF" w:rsidR="002B1E17" w:rsidRPr="002B1E17" w:rsidRDefault="00324CCA" w:rsidP="002B1E17">
      <w:pPr>
        <w:spacing w:after="240"/>
        <w:jc w:val="center"/>
        <w:rPr>
          <w:rFonts w:ascii="Times New Roman" w:hAnsi="Times New Roman" w:cs="Times New Roman"/>
          <w:b/>
          <w:bCs/>
          <w:sz w:val="24"/>
          <w:szCs w:val="24"/>
        </w:rPr>
      </w:pPr>
      <w:r>
        <w:rPr>
          <w:noProof/>
        </w:rPr>
        <w:pict w14:anchorId="498F1DEF">
          <v:rect id="_x0000_i1029" alt="" style="width:425.2pt;height:.05pt;mso-width-percent:0;mso-height-percent:0;mso-width-percent:0;mso-height-percent:0" o:hralign="center" o:hrstd="t" o:hr="t" fillcolor="#a0a0a0" stroked="f"/>
        </w:pict>
      </w:r>
    </w:p>
    <w:p w14:paraId="128DA054" w14:textId="77777777" w:rsidR="00C47765" w:rsidRDefault="00C47765" w:rsidP="002B1E17">
      <w:pPr>
        <w:spacing w:after="240"/>
        <w:jc w:val="center"/>
        <w:rPr>
          <w:rFonts w:ascii="Times New Roman" w:hAnsi="Times New Roman" w:cs="Times New Roman"/>
          <w:b/>
          <w:bCs/>
          <w:sz w:val="24"/>
          <w:szCs w:val="24"/>
        </w:rPr>
      </w:pPr>
    </w:p>
    <w:p w14:paraId="6CD7E1B6" w14:textId="43A08F62" w:rsidR="002B1E17" w:rsidRP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t>TRIBUNAL SUPREMO</w:t>
      </w:r>
      <w:r w:rsidR="00C47765">
        <w:rPr>
          <w:rFonts w:ascii="Times New Roman" w:hAnsi="Times New Roman" w:cs="Times New Roman"/>
          <w:b/>
          <w:bCs/>
          <w:sz w:val="24"/>
          <w:szCs w:val="24"/>
        </w:rPr>
        <w:t xml:space="preserve"> (CENDOJ – Selección)</w:t>
      </w:r>
    </w:p>
    <w:p w14:paraId="20C1650F" w14:textId="6B911769" w:rsidR="00C87AA6" w:rsidRPr="00102EA3" w:rsidRDefault="00C87AA6" w:rsidP="008D4ACD">
      <w:pPr>
        <w:spacing w:after="240"/>
        <w:jc w:val="both"/>
        <w:rPr>
          <w:rFonts w:ascii="Times New Roman" w:hAnsi="Times New Roman" w:cs="Times New Roman"/>
          <w:b/>
          <w:bCs/>
          <w:sz w:val="13"/>
          <w:szCs w:val="13"/>
        </w:rPr>
      </w:pPr>
    </w:p>
    <w:p w14:paraId="20F3A6F3" w14:textId="4775A632" w:rsidR="009E6308" w:rsidRDefault="009E6308" w:rsidP="00992FE4">
      <w:pPr>
        <w:spacing w:after="240"/>
        <w:jc w:val="both"/>
        <w:rPr>
          <w:rFonts w:ascii="Times New Roman" w:hAnsi="Times New Roman" w:cs="Times New Roman"/>
          <w:b/>
          <w:bCs/>
          <w:sz w:val="24"/>
          <w:szCs w:val="24"/>
        </w:rPr>
      </w:pPr>
      <w:r w:rsidRPr="009E6308">
        <w:rPr>
          <w:rFonts w:ascii="Times New Roman" w:hAnsi="Times New Roman" w:cs="Times New Roman"/>
          <w:b/>
          <w:bCs/>
          <w:sz w:val="24"/>
          <w:szCs w:val="24"/>
        </w:rPr>
        <w:t>Préstamos con garantía hipotecaria. Cláusulas abusivas</w:t>
      </w:r>
    </w:p>
    <w:p w14:paraId="0511FEF2" w14:textId="5D2D3CED" w:rsidR="00036CB1" w:rsidRDefault="009A0FDF" w:rsidP="00036CB1">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G</w:t>
      </w:r>
      <w:r w:rsidR="00036CB1">
        <w:rPr>
          <w:rFonts w:ascii="Times New Roman" w:hAnsi="Times New Roman" w:cs="Times New Roman"/>
          <w:b/>
          <w:bCs/>
          <w:sz w:val="24"/>
          <w:szCs w:val="24"/>
        </w:rPr>
        <w:t>astos hipotecarios</w:t>
      </w:r>
      <w:r w:rsidR="00375149">
        <w:rPr>
          <w:rFonts w:ascii="Times New Roman" w:hAnsi="Times New Roman" w:cs="Times New Roman"/>
          <w:b/>
          <w:bCs/>
          <w:sz w:val="24"/>
          <w:szCs w:val="24"/>
        </w:rPr>
        <w:t xml:space="preserve"> </w:t>
      </w:r>
    </w:p>
    <w:p w14:paraId="699DD54D" w14:textId="6415A0AC" w:rsidR="00B0403C" w:rsidRPr="00B0403C" w:rsidRDefault="00CB6B3B" w:rsidP="00B0403C">
      <w:pPr>
        <w:spacing w:after="240"/>
        <w:jc w:val="both"/>
        <w:rPr>
          <w:rFonts w:ascii="Times New Roman" w:hAnsi="Times New Roman" w:cs="Times New Roman"/>
          <w:sz w:val="24"/>
          <w:szCs w:val="24"/>
          <w:lang w:val="es-ES_tradnl"/>
        </w:rPr>
      </w:pPr>
      <w:hyperlink r:id="rId20" w:history="1">
        <w:r w:rsidR="00B0403C" w:rsidRPr="00CB6B3B">
          <w:rPr>
            <w:rStyle w:val="Hipervnculo"/>
            <w:rFonts w:ascii="Times New Roman" w:hAnsi="Times New Roman" w:cs="Times New Roman"/>
            <w:sz w:val="24"/>
            <w:szCs w:val="24"/>
          </w:rPr>
          <w:t>ATS, Sala Primera, de 22 de julio de 2021. Nº de recurso: 1799/2020</w:t>
        </w:r>
      </w:hyperlink>
      <w:r w:rsidR="00B0403C" w:rsidRPr="00B0403C">
        <w:rPr>
          <w:rFonts w:ascii="Times New Roman" w:hAnsi="Times New Roman" w:cs="Times New Roman"/>
          <w:sz w:val="24"/>
          <w:szCs w:val="24"/>
        </w:rPr>
        <w:t>. “</w:t>
      </w:r>
      <w:r w:rsidR="00B0403C" w:rsidRPr="00B0403C">
        <w:rPr>
          <w:rFonts w:ascii="Times New Roman" w:hAnsi="Times New Roman" w:cs="Times New Roman"/>
          <w:sz w:val="24"/>
          <w:szCs w:val="24"/>
          <w:lang w:val="es-ES_tradnl"/>
        </w:rPr>
        <w:t xml:space="preserve">Auto: Cuestión prejudicial ante el TJUE sobre el comienzo del plazo de prescripción de la acción de restitución de las cantidades pagadas por el consumidor como consecuencia de una cláusula nula sobre gastos hipotecarios”. </w:t>
      </w:r>
    </w:p>
    <w:p w14:paraId="1EF1C42C" w14:textId="6A7AD75F" w:rsidR="00036CB1" w:rsidRDefault="00CB6B3B" w:rsidP="00036CB1">
      <w:pPr>
        <w:spacing w:after="240"/>
        <w:jc w:val="both"/>
        <w:rPr>
          <w:rFonts w:ascii="Times New Roman" w:hAnsi="Times New Roman" w:cs="Times New Roman"/>
          <w:sz w:val="24"/>
          <w:szCs w:val="24"/>
          <w:lang w:val="es-ES_tradnl"/>
        </w:rPr>
      </w:pPr>
      <w:hyperlink r:id="rId21" w:history="1">
        <w:r w:rsidR="00036CB1" w:rsidRPr="00CB6B3B">
          <w:rPr>
            <w:rStyle w:val="Hipervnculo"/>
            <w:rFonts w:ascii="Times New Roman" w:hAnsi="Times New Roman" w:cs="Times New Roman"/>
            <w:sz w:val="24"/>
            <w:szCs w:val="24"/>
          </w:rPr>
          <w:t>STS, Sala Primera, 567/2021, de 26 de julio de 2021</w:t>
        </w:r>
      </w:hyperlink>
      <w:r w:rsidR="00036CB1">
        <w:rPr>
          <w:rFonts w:ascii="Times New Roman" w:hAnsi="Times New Roman" w:cs="Times New Roman"/>
          <w:sz w:val="24"/>
          <w:szCs w:val="24"/>
        </w:rPr>
        <w:t>. “</w:t>
      </w:r>
      <w:r w:rsidR="00036CB1" w:rsidRPr="00992538">
        <w:rPr>
          <w:rFonts w:ascii="Times New Roman" w:hAnsi="Times New Roman" w:cs="Times New Roman"/>
          <w:sz w:val="24"/>
          <w:szCs w:val="24"/>
          <w:lang w:val="es-ES_tradnl"/>
        </w:rPr>
        <w:t>Acción de nulidad de condición general de imposición de gastos al consumidor en préstamo con garantía hipotecaria. Sujeto pasivo del Impuesto</w:t>
      </w:r>
      <w:r w:rsidR="00036CB1">
        <w:rPr>
          <w:rFonts w:ascii="Times New Roman" w:hAnsi="Times New Roman" w:cs="Times New Roman"/>
          <w:sz w:val="24"/>
          <w:szCs w:val="24"/>
          <w:lang w:val="es-ES_tradnl"/>
        </w:rPr>
        <w:t xml:space="preserve"> de Actos Jurídicos Documentados”. </w:t>
      </w:r>
    </w:p>
    <w:p w14:paraId="3BFF7D70" w14:textId="6FAE99B9" w:rsidR="00036CB1" w:rsidRDefault="00CB6B3B" w:rsidP="00036CB1">
      <w:pPr>
        <w:spacing w:after="240"/>
        <w:jc w:val="both"/>
        <w:rPr>
          <w:rFonts w:ascii="Times New Roman" w:hAnsi="Times New Roman" w:cs="Times New Roman"/>
          <w:sz w:val="24"/>
          <w:szCs w:val="24"/>
          <w:lang w:val="es-ES_tradnl"/>
        </w:rPr>
      </w:pPr>
      <w:hyperlink r:id="rId22" w:history="1">
        <w:r w:rsidR="00036CB1" w:rsidRPr="00CB6B3B">
          <w:rPr>
            <w:rStyle w:val="Hipervnculo"/>
            <w:rFonts w:ascii="Times New Roman" w:hAnsi="Times New Roman" w:cs="Times New Roman"/>
            <w:sz w:val="24"/>
            <w:szCs w:val="24"/>
            <w:lang w:val="es-ES_tradnl"/>
          </w:rPr>
          <w:t>STS, Sala Primera, 568/2021, de 26 de julio de 2021</w:t>
        </w:r>
      </w:hyperlink>
      <w:r w:rsidR="00036CB1">
        <w:rPr>
          <w:rFonts w:ascii="Times New Roman" w:hAnsi="Times New Roman" w:cs="Times New Roman"/>
          <w:sz w:val="24"/>
          <w:szCs w:val="24"/>
          <w:lang w:val="es-ES_tradnl"/>
        </w:rPr>
        <w:t>. “</w:t>
      </w:r>
      <w:r w:rsidR="00036CB1" w:rsidRPr="00992538">
        <w:rPr>
          <w:rFonts w:ascii="Times New Roman" w:hAnsi="Times New Roman" w:cs="Times New Roman"/>
          <w:sz w:val="24"/>
          <w:szCs w:val="24"/>
          <w:lang w:val="es-ES_tradnl"/>
        </w:rPr>
        <w:t>Acción de nulidad de condición general de imposición de gastos al consumidor en préstamo con garantía hipotecaria. Sujeto pasivo del Impuesto de Actos Jurídico</w:t>
      </w:r>
      <w:r w:rsidR="00036CB1">
        <w:rPr>
          <w:rFonts w:ascii="Times New Roman" w:hAnsi="Times New Roman" w:cs="Times New Roman"/>
          <w:sz w:val="24"/>
          <w:szCs w:val="24"/>
          <w:lang w:val="es-ES_tradnl"/>
        </w:rPr>
        <w:t xml:space="preserve">s Documentados”. </w:t>
      </w:r>
    </w:p>
    <w:p w14:paraId="537C0708" w14:textId="4C80A550" w:rsidR="00036CB1" w:rsidRPr="00992538" w:rsidRDefault="00CB6B3B" w:rsidP="00036CB1">
      <w:pPr>
        <w:spacing w:after="240"/>
        <w:jc w:val="both"/>
        <w:rPr>
          <w:rFonts w:ascii="Times New Roman" w:hAnsi="Times New Roman" w:cs="Times New Roman"/>
          <w:sz w:val="24"/>
          <w:szCs w:val="24"/>
          <w:lang w:val="es-ES_tradnl"/>
        </w:rPr>
      </w:pPr>
      <w:hyperlink r:id="rId23" w:history="1">
        <w:r w:rsidR="00036CB1" w:rsidRPr="00CB6B3B">
          <w:rPr>
            <w:rStyle w:val="Hipervnculo"/>
            <w:rFonts w:ascii="Times New Roman" w:hAnsi="Times New Roman" w:cs="Times New Roman"/>
            <w:sz w:val="24"/>
            <w:szCs w:val="24"/>
            <w:lang w:val="es-ES_tradnl"/>
          </w:rPr>
          <w:t>STS, Sala Primera, 569/2021, de 26 de julio de 2021</w:t>
        </w:r>
      </w:hyperlink>
      <w:r w:rsidR="00036CB1">
        <w:rPr>
          <w:rFonts w:ascii="Times New Roman" w:hAnsi="Times New Roman" w:cs="Times New Roman"/>
          <w:sz w:val="24"/>
          <w:szCs w:val="24"/>
          <w:lang w:val="es-ES_tradnl"/>
        </w:rPr>
        <w:t>. “</w:t>
      </w:r>
      <w:r w:rsidR="00036CB1" w:rsidRPr="00A63896">
        <w:rPr>
          <w:rFonts w:ascii="Times New Roman" w:hAnsi="Times New Roman" w:cs="Times New Roman"/>
          <w:sz w:val="24"/>
          <w:szCs w:val="24"/>
          <w:lang w:val="es-ES_tradnl"/>
        </w:rPr>
        <w:t xml:space="preserve">Acción de nulidad de condición general de imposición de gastos al consumidor en préstamo con garantía hipotecaria. Gastos de notaría y sujeto pasivo del Impuesto </w:t>
      </w:r>
      <w:r w:rsidR="00036CB1">
        <w:rPr>
          <w:rFonts w:ascii="Times New Roman" w:hAnsi="Times New Roman" w:cs="Times New Roman"/>
          <w:sz w:val="24"/>
          <w:szCs w:val="24"/>
          <w:lang w:val="es-ES_tradnl"/>
        </w:rPr>
        <w:t xml:space="preserve">de Actos Jurídicos Documentados”. </w:t>
      </w:r>
    </w:p>
    <w:p w14:paraId="09AA7AB5" w14:textId="0DD934E2" w:rsidR="00036CB1" w:rsidRDefault="00CB6B3B" w:rsidP="00036CB1">
      <w:pPr>
        <w:spacing w:after="240"/>
        <w:jc w:val="both"/>
        <w:rPr>
          <w:rFonts w:ascii="Times New Roman" w:hAnsi="Times New Roman" w:cs="Times New Roman"/>
          <w:sz w:val="24"/>
          <w:szCs w:val="24"/>
          <w:lang w:val="es-ES_tradnl"/>
        </w:rPr>
      </w:pPr>
      <w:hyperlink r:id="rId24" w:history="1">
        <w:r w:rsidR="00036CB1" w:rsidRPr="00CB6B3B">
          <w:rPr>
            <w:rStyle w:val="Hipervnculo"/>
            <w:rFonts w:ascii="Times New Roman" w:hAnsi="Times New Roman" w:cs="Times New Roman"/>
            <w:sz w:val="24"/>
            <w:szCs w:val="24"/>
          </w:rPr>
          <w:t>STS, Sala Primera, 571/2021, de 26 de julio de 2021</w:t>
        </w:r>
      </w:hyperlink>
      <w:r w:rsidR="00036CB1">
        <w:rPr>
          <w:rFonts w:ascii="Times New Roman" w:hAnsi="Times New Roman" w:cs="Times New Roman"/>
          <w:sz w:val="24"/>
          <w:szCs w:val="24"/>
        </w:rPr>
        <w:t>. “</w:t>
      </w:r>
      <w:r w:rsidR="00036CB1" w:rsidRPr="00992538">
        <w:rPr>
          <w:rFonts w:ascii="Times New Roman" w:hAnsi="Times New Roman" w:cs="Times New Roman"/>
          <w:sz w:val="24"/>
          <w:szCs w:val="24"/>
          <w:lang w:val="es-ES_tradnl"/>
        </w:rPr>
        <w:t>Préstamo hipotecario con consumidores (anterior a la Ley 5/2019). Nulidad de la cláusula de imposición de gastos al consumidor. Distribución de los gastos (notariales y tributarios) tras la declaración de abusivid</w:t>
      </w:r>
      <w:r w:rsidR="00036CB1">
        <w:rPr>
          <w:rFonts w:ascii="Times New Roman" w:hAnsi="Times New Roman" w:cs="Times New Roman"/>
          <w:sz w:val="24"/>
          <w:szCs w:val="24"/>
          <w:lang w:val="es-ES_tradnl"/>
        </w:rPr>
        <w:t xml:space="preserve">ad. Costas de primera instancia”. </w:t>
      </w:r>
    </w:p>
    <w:p w14:paraId="6C322B99" w14:textId="4BDCCB69" w:rsidR="00036CB1" w:rsidRPr="00992538" w:rsidRDefault="00CB6B3B" w:rsidP="00036CB1">
      <w:pPr>
        <w:spacing w:after="240"/>
        <w:jc w:val="both"/>
        <w:rPr>
          <w:rFonts w:ascii="Times New Roman" w:hAnsi="Times New Roman" w:cs="Times New Roman"/>
          <w:sz w:val="24"/>
          <w:szCs w:val="24"/>
          <w:lang w:val="es-ES_tradnl"/>
        </w:rPr>
      </w:pPr>
      <w:hyperlink r:id="rId25" w:history="1">
        <w:r w:rsidR="00036CB1" w:rsidRPr="00CB6B3B">
          <w:rPr>
            <w:rStyle w:val="Hipervnculo"/>
            <w:rFonts w:ascii="Times New Roman" w:hAnsi="Times New Roman" w:cs="Times New Roman"/>
            <w:sz w:val="24"/>
            <w:szCs w:val="24"/>
            <w:lang w:val="es-ES_tradnl"/>
          </w:rPr>
          <w:t>STS, Sala Primera, 572/2021, de 26 de julio de 2021</w:t>
        </w:r>
      </w:hyperlink>
      <w:r w:rsidR="00036CB1">
        <w:rPr>
          <w:rFonts w:ascii="Times New Roman" w:hAnsi="Times New Roman" w:cs="Times New Roman"/>
          <w:sz w:val="24"/>
          <w:szCs w:val="24"/>
          <w:lang w:val="es-ES_tradnl"/>
        </w:rPr>
        <w:t>. “</w:t>
      </w:r>
      <w:r w:rsidR="00036CB1" w:rsidRPr="00A63896">
        <w:rPr>
          <w:rFonts w:ascii="Times New Roman" w:hAnsi="Times New Roman" w:cs="Times New Roman"/>
          <w:sz w:val="24"/>
          <w:szCs w:val="24"/>
          <w:lang w:val="es-ES_tradnl"/>
        </w:rPr>
        <w:t>Préstamo hipotecario con consumidores (anterior a la Ley 5/2019 y al RDL 17/2018). Nulidad de la cláusula de imposición de gastos al consumidor (notariales y tributarios). Doctrina jurisprudencial sobre dis</w:t>
      </w:r>
      <w:r w:rsidR="00036CB1">
        <w:rPr>
          <w:rFonts w:ascii="Times New Roman" w:hAnsi="Times New Roman" w:cs="Times New Roman"/>
          <w:sz w:val="24"/>
          <w:szCs w:val="24"/>
          <w:lang w:val="es-ES_tradnl"/>
        </w:rPr>
        <w:t xml:space="preserve">tribución de gastos e impuestos”. </w:t>
      </w:r>
    </w:p>
    <w:p w14:paraId="5BBF6F1D" w14:textId="1B2B714D" w:rsidR="00036CB1" w:rsidRDefault="00CB6B3B" w:rsidP="00036CB1">
      <w:pPr>
        <w:spacing w:after="240"/>
        <w:jc w:val="both"/>
        <w:rPr>
          <w:rFonts w:ascii="Times New Roman" w:hAnsi="Times New Roman" w:cs="Times New Roman"/>
          <w:sz w:val="24"/>
          <w:szCs w:val="24"/>
          <w:lang w:val="es-ES_tradnl"/>
        </w:rPr>
      </w:pPr>
      <w:hyperlink r:id="rId26" w:history="1">
        <w:r w:rsidR="00036CB1" w:rsidRPr="00CB6B3B">
          <w:rPr>
            <w:rStyle w:val="Hipervnculo"/>
            <w:rFonts w:ascii="Times New Roman" w:hAnsi="Times New Roman" w:cs="Times New Roman"/>
            <w:sz w:val="24"/>
            <w:szCs w:val="24"/>
          </w:rPr>
          <w:t>STS, Sala Primera, 580/2021, de 27 de julio de 2021</w:t>
        </w:r>
      </w:hyperlink>
      <w:r w:rsidR="00036CB1">
        <w:rPr>
          <w:rFonts w:ascii="Times New Roman" w:hAnsi="Times New Roman" w:cs="Times New Roman"/>
          <w:sz w:val="24"/>
          <w:szCs w:val="24"/>
        </w:rPr>
        <w:t>. “</w:t>
      </w:r>
      <w:r w:rsidR="00036CB1" w:rsidRPr="00F9146F">
        <w:rPr>
          <w:rFonts w:ascii="Times New Roman" w:hAnsi="Times New Roman" w:cs="Times New Roman"/>
          <w:sz w:val="24"/>
          <w:szCs w:val="24"/>
          <w:lang w:val="es-ES_tradnl"/>
        </w:rPr>
        <w:t>Préstamo hipotecario con consumidores (anterior a la Ley 5/2019). Nulidad de la cláusula de imposición de gastos al consumidor</w:t>
      </w:r>
      <w:r w:rsidR="00036CB1">
        <w:rPr>
          <w:rFonts w:ascii="Times New Roman" w:hAnsi="Times New Roman" w:cs="Times New Roman"/>
          <w:sz w:val="24"/>
          <w:szCs w:val="24"/>
          <w:lang w:val="es-ES_tradnl"/>
        </w:rPr>
        <w:t xml:space="preserve"> </w:t>
      </w:r>
      <w:r w:rsidR="00036CB1" w:rsidRPr="00F9146F">
        <w:rPr>
          <w:rFonts w:ascii="Times New Roman" w:hAnsi="Times New Roman" w:cs="Times New Roman"/>
          <w:sz w:val="24"/>
          <w:szCs w:val="24"/>
          <w:lang w:val="es-ES_tradnl"/>
        </w:rPr>
        <w:t>por abusividad. Distribución de los gastos (Impuesto sobre Actos Jurídicos Documen</w:t>
      </w:r>
      <w:r w:rsidR="00036CB1">
        <w:rPr>
          <w:rFonts w:ascii="Times New Roman" w:hAnsi="Times New Roman" w:cs="Times New Roman"/>
          <w:sz w:val="24"/>
          <w:szCs w:val="24"/>
          <w:lang w:val="es-ES_tradnl"/>
        </w:rPr>
        <w:t xml:space="preserve">tados; anterior al RDL 17/2018)”. </w:t>
      </w:r>
    </w:p>
    <w:p w14:paraId="5A167FFA" w14:textId="2B872FB5" w:rsidR="00036CB1" w:rsidRDefault="00375149" w:rsidP="00036CB1">
      <w:pPr>
        <w:spacing w:after="240"/>
        <w:jc w:val="both"/>
        <w:rPr>
          <w:rFonts w:ascii="Times New Roman" w:hAnsi="Times New Roman" w:cs="Times New Roman"/>
          <w:sz w:val="24"/>
          <w:szCs w:val="24"/>
          <w:lang w:val="es-ES_tradnl"/>
        </w:rPr>
      </w:pPr>
      <w:hyperlink r:id="rId27" w:history="1">
        <w:r w:rsidR="00036CB1" w:rsidRPr="00375149">
          <w:rPr>
            <w:rStyle w:val="Hipervnculo"/>
            <w:rFonts w:ascii="Times New Roman" w:hAnsi="Times New Roman" w:cs="Times New Roman"/>
            <w:sz w:val="24"/>
            <w:szCs w:val="24"/>
            <w:lang w:val="es-ES_tradnl"/>
          </w:rPr>
          <w:t>STS, Sala Primera, 581/2021, de 27 de julio de 2021</w:t>
        </w:r>
      </w:hyperlink>
      <w:r w:rsidR="00036CB1">
        <w:rPr>
          <w:rFonts w:ascii="Times New Roman" w:hAnsi="Times New Roman" w:cs="Times New Roman"/>
          <w:sz w:val="24"/>
          <w:szCs w:val="24"/>
          <w:lang w:val="es-ES_tradnl"/>
        </w:rPr>
        <w:t>. “</w:t>
      </w:r>
      <w:r w:rsidR="00036CB1" w:rsidRPr="00F9146F">
        <w:rPr>
          <w:rFonts w:ascii="Times New Roman" w:hAnsi="Times New Roman" w:cs="Times New Roman"/>
          <w:sz w:val="24"/>
          <w:szCs w:val="24"/>
          <w:lang w:val="es-ES_tradnl"/>
        </w:rPr>
        <w:t>Acción de nulidad de condición general de imposición de gastos al consumidor en préstamo con garantía hipotecari</w:t>
      </w:r>
      <w:r w:rsidR="00036CB1">
        <w:rPr>
          <w:rFonts w:ascii="Times New Roman" w:hAnsi="Times New Roman" w:cs="Times New Roman"/>
          <w:sz w:val="24"/>
          <w:szCs w:val="24"/>
          <w:lang w:val="es-ES_tradnl"/>
        </w:rPr>
        <w:t xml:space="preserve">a. Gastos de Notaría y gestoría”. </w:t>
      </w:r>
    </w:p>
    <w:p w14:paraId="2C388EDC" w14:textId="722883E4" w:rsidR="00036CB1" w:rsidRDefault="00375149" w:rsidP="00036CB1">
      <w:pPr>
        <w:spacing w:after="240"/>
        <w:jc w:val="both"/>
        <w:rPr>
          <w:rFonts w:ascii="Times New Roman" w:hAnsi="Times New Roman" w:cs="Times New Roman"/>
          <w:sz w:val="24"/>
          <w:szCs w:val="24"/>
          <w:lang w:val="es-ES_tradnl"/>
        </w:rPr>
      </w:pPr>
      <w:hyperlink r:id="rId28" w:history="1">
        <w:r w:rsidR="00036CB1" w:rsidRPr="00375149">
          <w:rPr>
            <w:rStyle w:val="Hipervnculo"/>
            <w:rFonts w:ascii="Times New Roman" w:hAnsi="Times New Roman" w:cs="Times New Roman"/>
            <w:sz w:val="24"/>
            <w:szCs w:val="24"/>
            <w:lang w:val="es-ES_tradnl"/>
          </w:rPr>
          <w:t>STS, Sala Primera, 583/2021, de 27 de julio de 2021</w:t>
        </w:r>
      </w:hyperlink>
      <w:r w:rsidR="00036CB1">
        <w:rPr>
          <w:rFonts w:ascii="Times New Roman" w:hAnsi="Times New Roman" w:cs="Times New Roman"/>
          <w:sz w:val="24"/>
          <w:szCs w:val="24"/>
          <w:lang w:val="es-ES_tradnl"/>
        </w:rPr>
        <w:t>. “</w:t>
      </w:r>
      <w:r w:rsidR="00036CB1" w:rsidRPr="00F9146F">
        <w:rPr>
          <w:rFonts w:ascii="Times New Roman" w:hAnsi="Times New Roman" w:cs="Times New Roman"/>
          <w:sz w:val="24"/>
          <w:szCs w:val="24"/>
          <w:lang w:val="es-ES_tradnl"/>
        </w:rPr>
        <w:t>Nulidad de condición general de imposición de gastos</w:t>
      </w:r>
      <w:r w:rsidR="00766984">
        <w:rPr>
          <w:rFonts w:ascii="Times New Roman" w:hAnsi="Times New Roman" w:cs="Times New Roman"/>
          <w:sz w:val="24"/>
          <w:szCs w:val="24"/>
          <w:lang w:val="es-ES_tradnl"/>
        </w:rPr>
        <w:t xml:space="preserve"> </w:t>
      </w:r>
      <w:r w:rsidR="00036CB1" w:rsidRPr="00F9146F">
        <w:rPr>
          <w:rFonts w:ascii="Times New Roman" w:hAnsi="Times New Roman" w:cs="Times New Roman"/>
          <w:sz w:val="24"/>
          <w:szCs w:val="24"/>
          <w:lang w:val="es-ES_tradnl"/>
        </w:rPr>
        <w:t>al consumidor en préstamo con garantía hipotecario. Desestimación del recurso de casación po</w:t>
      </w:r>
      <w:r w:rsidR="00036CB1">
        <w:rPr>
          <w:rFonts w:ascii="Times New Roman" w:hAnsi="Times New Roman" w:cs="Times New Roman"/>
          <w:sz w:val="24"/>
          <w:szCs w:val="24"/>
          <w:lang w:val="es-ES_tradnl"/>
        </w:rPr>
        <w:t xml:space="preserve">r concurrir causa de inadmisión”. </w:t>
      </w:r>
    </w:p>
    <w:p w14:paraId="048C8A25" w14:textId="4456A00E" w:rsidR="00036CB1" w:rsidRPr="00036CB1" w:rsidRDefault="00375149" w:rsidP="00036CB1">
      <w:pPr>
        <w:spacing w:after="240"/>
        <w:jc w:val="both"/>
        <w:rPr>
          <w:rFonts w:ascii="Times New Roman" w:hAnsi="Times New Roman" w:cs="Times New Roman"/>
          <w:sz w:val="24"/>
          <w:szCs w:val="24"/>
          <w:lang w:val="es-ES_tradnl"/>
        </w:rPr>
      </w:pPr>
      <w:hyperlink r:id="rId29" w:history="1">
        <w:r w:rsidR="00036CB1" w:rsidRPr="00375149">
          <w:rPr>
            <w:rStyle w:val="Hipervnculo"/>
            <w:rFonts w:ascii="Times New Roman" w:hAnsi="Times New Roman" w:cs="Times New Roman"/>
            <w:sz w:val="24"/>
            <w:szCs w:val="24"/>
            <w:lang w:val="es-ES_tradnl"/>
          </w:rPr>
          <w:t>STS, Sala Primera, 585/2021, de 27 de julio de 2021</w:t>
        </w:r>
      </w:hyperlink>
      <w:r w:rsidR="00036CB1">
        <w:rPr>
          <w:rFonts w:ascii="Times New Roman" w:hAnsi="Times New Roman" w:cs="Times New Roman"/>
          <w:sz w:val="24"/>
          <w:szCs w:val="24"/>
          <w:lang w:val="es-ES_tradnl"/>
        </w:rPr>
        <w:t>. “</w:t>
      </w:r>
      <w:r w:rsidR="00036CB1" w:rsidRPr="00F9146F">
        <w:rPr>
          <w:rFonts w:ascii="Times New Roman" w:hAnsi="Times New Roman" w:cs="Times New Roman"/>
          <w:sz w:val="24"/>
          <w:szCs w:val="24"/>
          <w:lang w:val="es-ES_tradnl"/>
        </w:rPr>
        <w:t>Acción de nulidad de condición general de imposición de gastos al consumidor en préstamo con garantía hipotecaria. Gastos de notaría y tasación. Desestimación por inadmisibilidad del recur</w:t>
      </w:r>
      <w:r w:rsidR="00036CB1">
        <w:rPr>
          <w:rFonts w:ascii="Times New Roman" w:hAnsi="Times New Roman" w:cs="Times New Roman"/>
          <w:sz w:val="24"/>
          <w:szCs w:val="24"/>
          <w:lang w:val="es-ES_tradnl"/>
        </w:rPr>
        <w:t xml:space="preserve">so”. </w:t>
      </w:r>
    </w:p>
    <w:p w14:paraId="0775B8E4" w14:textId="30ADD19B" w:rsidR="009E6308" w:rsidRDefault="009E6308" w:rsidP="009E6308">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control de transparencia</w:t>
      </w:r>
    </w:p>
    <w:p w14:paraId="2B49FAF5" w14:textId="1C99C01F" w:rsidR="00036CB1" w:rsidRPr="00806B2B" w:rsidRDefault="00E73D4B" w:rsidP="00036CB1">
      <w:pPr>
        <w:spacing w:after="240"/>
        <w:jc w:val="both"/>
        <w:rPr>
          <w:rFonts w:ascii="Times New Roman" w:hAnsi="Times New Roman" w:cs="Times New Roman"/>
          <w:sz w:val="24"/>
          <w:szCs w:val="24"/>
          <w:lang w:val="es-ES_tradnl"/>
        </w:rPr>
      </w:pPr>
      <w:hyperlink r:id="rId30" w:history="1">
        <w:r w:rsidR="00036CB1" w:rsidRPr="00E73D4B">
          <w:rPr>
            <w:rStyle w:val="Hipervnculo"/>
            <w:rFonts w:ascii="Times New Roman" w:hAnsi="Times New Roman" w:cs="Times New Roman"/>
            <w:sz w:val="24"/>
            <w:szCs w:val="24"/>
          </w:rPr>
          <w:t>STS, Sala Primera, 640/2021, de 28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Condiciones generales de la contratación. Nulidad de cláusulas abusivas. Cláusula que fija un límite inferior a la variabilidad del interés. Se reitera la jurisprudencia sobre el control de transparencia y la relevancia de la información precontractual. En este caso, a tenor de los hechos acreditados en la instancia, con antelación suficiente, los prestatarios fueron objeto de una información precontractual suficiente para conocer la carga económica y jurídica del límit</w:t>
      </w:r>
      <w:r w:rsidR="00036CB1">
        <w:rPr>
          <w:rFonts w:ascii="Times New Roman" w:hAnsi="Times New Roman" w:cs="Times New Roman"/>
          <w:sz w:val="24"/>
          <w:szCs w:val="24"/>
          <w:lang w:val="es-ES_tradnl"/>
        </w:rPr>
        <w:t xml:space="preserve">e a la variabilidad del interés”. </w:t>
      </w:r>
    </w:p>
    <w:p w14:paraId="071EF6CD" w14:textId="775B4614" w:rsidR="00036CB1" w:rsidRPr="00036CB1" w:rsidRDefault="00E73D4B" w:rsidP="00036CB1">
      <w:pPr>
        <w:spacing w:after="240"/>
        <w:jc w:val="both"/>
        <w:rPr>
          <w:rFonts w:ascii="Times New Roman" w:hAnsi="Times New Roman" w:cs="Times New Roman"/>
          <w:sz w:val="24"/>
          <w:szCs w:val="24"/>
          <w:lang w:val="es-ES_tradnl"/>
        </w:rPr>
      </w:pPr>
      <w:hyperlink r:id="rId31" w:history="1">
        <w:r w:rsidR="00036CB1" w:rsidRPr="00E73D4B">
          <w:rPr>
            <w:rStyle w:val="Hipervnculo"/>
            <w:rFonts w:ascii="Times New Roman" w:hAnsi="Times New Roman" w:cs="Times New Roman"/>
            <w:sz w:val="24"/>
            <w:szCs w:val="24"/>
          </w:rPr>
          <w:t>STS, Sala Primera, 641/2021, de 28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 xml:space="preserve">Nulidad de cláusula suelo. Control de transparencia. Trascendencia de la sentencia que estima una acción colectiva en los litigios en que se </w:t>
      </w:r>
      <w:r w:rsidR="00036CB1">
        <w:rPr>
          <w:rFonts w:ascii="Times New Roman" w:hAnsi="Times New Roman" w:cs="Times New Roman"/>
          <w:sz w:val="24"/>
          <w:szCs w:val="24"/>
          <w:lang w:val="es-ES_tradnl"/>
        </w:rPr>
        <w:t xml:space="preserve">ejercitan acciones individuales”. </w:t>
      </w:r>
    </w:p>
    <w:p w14:paraId="707C282C" w14:textId="49EECBD2" w:rsidR="009E6308" w:rsidRDefault="009E6308" w:rsidP="009E6308">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novación y renuncia de acciones</w:t>
      </w:r>
    </w:p>
    <w:p w14:paraId="4FB139C1" w14:textId="0187BB04" w:rsidR="00036CB1" w:rsidRPr="00036CB1" w:rsidRDefault="00E34339" w:rsidP="00036CB1">
      <w:pPr>
        <w:spacing w:after="240"/>
        <w:jc w:val="both"/>
        <w:rPr>
          <w:rFonts w:ascii="Times New Roman" w:hAnsi="Times New Roman" w:cs="Times New Roman"/>
          <w:sz w:val="24"/>
          <w:szCs w:val="24"/>
          <w:lang w:val="es-ES_tradnl"/>
        </w:rPr>
      </w:pPr>
      <w:hyperlink r:id="rId32" w:history="1">
        <w:r w:rsidR="00036CB1" w:rsidRPr="00E34339">
          <w:rPr>
            <w:rStyle w:val="Hipervnculo"/>
            <w:rFonts w:ascii="Times New Roman" w:hAnsi="Times New Roman" w:cs="Times New Roman"/>
            <w:sz w:val="24"/>
            <w:szCs w:val="24"/>
            <w:lang w:val="es-ES_tradnl"/>
          </w:rPr>
          <w:t>STS, Sala Primera, 535/2021, de 15 de julio de 2021</w:t>
        </w:r>
      </w:hyperlink>
      <w:r w:rsidR="00036CB1" w:rsidRPr="00036CB1">
        <w:rPr>
          <w:rFonts w:ascii="Times New Roman" w:hAnsi="Times New Roman" w:cs="Times New Roman"/>
          <w:sz w:val="24"/>
          <w:szCs w:val="24"/>
          <w:lang w:val="es-ES_tradnl"/>
        </w:rPr>
        <w:t xml:space="preserve">. “Acuerdo de novación de interés remuneratorio de préstamo hipotecario. Abusividad de cláusula de renuncia de acciones”. </w:t>
      </w:r>
    </w:p>
    <w:p w14:paraId="5D018E95" w14:textId="5E733B69" w:rsidR="00036CB1" w:rsidRPr="00036CB1" w:rsidRDefault="00E34339" w:rsidP="00036CB1">
      <w:pPr>
        <w:spacing w:after="240"/>
        <w:jc w:val="both"/>
        <w:rPr>
          <w:rFonts w:ascii="Times New Roman" w:hAnsi="Times New Roman" w:cs="Times New Roman"/>
          <w:sz w:val="24"/>
          <w:szCs w:val="24"/>
          <w:lang w:val="es-ES_tradnl"/>
        </w:rPr>
      </w:pPr>
      <w:hyperlink r:id="rId33" w:history="1">
        <w:r w:rsidR="00036CB1" w:rsidRPr="00E34339">
          <w:rPr>
            <w:rStyle w:val="Hipervnculo"/>
            <w:rFonts w:ascii="Times New Roman" w:hAnsi="Times New Roman" w:cs="Times New Roman"/>
            <w:sz w:val="24"/>
            <w:szCs w:val="24"/>
            <w:lang w:val="es-ES_tradnl"/>
          </w:rPr>
          <w:t>STS, Sala Primera, 536/2021, de 15 de julio de 2021</w:t>
        </w:r>
      </w:hyperlink>
      <w:r w:rsidR="00036CB1" w:rsidRPr="00036CB1">
        <w:rPr>
          <w:rFonts w:ascii="Times New Roman" w:hAnsi="Times New Roman" w:cs="Times New Roman"/>
          <w:sz w:val="24"/>
          <w:szCs w:val="24"/>
          <w:lang w:val="es-ES_tradnl"/>
        </w:rPr>
        <w:t xml:space="preserve">. “Cláusula suelo. Acuerdo posterior que modifica a la baja la cláusula e incluye una renuncia de acciones genérica. Validez del acuerdo novatorio porque supera el control de transparencia. Nulidad de la cláusula de renuncia de acciones. Costas”. </w:t>
      </w:r>
    </w:p>
    <w:p w14:paraId="1FC7D26E" w14:textId="23BC1175" w:rsidR="00036CB1" w:rsidRPr="00036CB1" w:rsidRDefault="00E34339" w:rsidP="00036CB1">
      <w:pPr>
        <w:spacing w:after="240"/>
        <w:jc w:val="both"/>
        <w:rPr>
          <w:rFonts w:ascii="Times New Roman" w:hAnsi="Times New Roman" w:cs="Times New Roman"/>
          <w:sz w:val="24"/>
          <w:szCs w:val="24"/>
          <w:lang w:val="es-ES_tradnl"/>
        </w:rPr>
      </w:pPr>
      <w:hyperlink r:id="rId34" w:history="1">
        <w:r w:rsidR="00036CB1" w:rsidRPr="00E34339">
          <w:rPr>
            <w:rStyle w:val="Hipervnculo"/>
            <w:rFonts w:ascii="Times New Roman" w:hAnsi="Times New Roman" w:cs="Times New Roman"/>
            <w:sz w:val="24"/>
            <w:szCs w:val="24"/>
            <w:lang w:val="es-ES_tradnl"/>
          </w:rPr>
          <w:t>STS, Sala Primera, 537/2021, de 15 de julio de 2021</w:t>
        </w:r>
      </w:hyperlink>
      <w:r w:rsidR="00036CB1" w:rsidRPr="00036CB1">
        <w:rPr>
          <w:rFonts w:ascii="Times New Roman" w:hAnsi="Times New Roman" w:cs="Times New Roman"/>
          <w:sz w:val="24"/>
          <w:szCs w:val="24"/>
          <w:lang w:val="es-ES_tradnl"/>
        </w:rPr>
        <w:t xml:space="preserve">. “Condiciones generales de la contratación. Cláusula suelo. Novación no negociada individualmente. Exigencia de transparencia”. </w:t>
      </w:r>
    </w:p>
    <w:p w14:paraId="4FE099CE" w14:textId="25CC5586" w:rsidR="00036CB1" w:rsidRPr="00036CB1" w:rsidRDefault="00E34339" w:rsidP="00036CB1">
      <w:pPr>
        <w:spacing w:after="240"/>
        <w:jc w:val="both"/>
        <w:rPr>
          <w:rFonts w:ascii="Times New Roman" w:hAnsi="Times New Roman" w:cs="Times New Roman"/>
          <w:sz w:val="24"/>
          <w:szCs w:val="24"/>
          <w:lang w:val="es-ES_tradnl"/>
        </w:rPr>
      </w:pPr>
      <w:hyperlink r:id="rId35" w:history="1">
        <w:r w:rsidR="00036CB1" w:rsidRPr="00E34339">
          <w:rPr>
            <w:rStyle w:val="Hipervnculo"/>
            <w:rFonts w:ascii="Times New Roman" w:hAnsi="Times New Roman" w:cs="Times New Roman"/>
            <w:sz w:val="24"/>
            <w:szCs w:val="24"/>
            <w:lang w:val="es-ES_tradnl"/>
          </w:rPr>
          <w:t>STS, Sala Primera, 538/2021, de 15 de julio de 2021</w:t>
        </w:r>
      </w:hyperlink>
      <w:r w:rsidR="00036CB1" w:rsidRPr="00036CB1">
        <w:rPr>
          <w:rFonts w:ascii="Times New Roman" w:hAnsi="Times New Roman" w:cs="Times New Roman"/>
          <w:sz w:val="24"/>
          <w:szCs w:val="24"/>
          <w:lang w:val="es-ES_tradnl"/>
        </w:rPr>
        <w:t xml:space="preserve">. “Validez de cláusula suelo inserta en contrato privado de novación y nulidad de la renuncia al ejercicio de las acciones”. </w:t>
      </w:r>
    </w:p>
    <w:p w14:paraId="7679577D" w14:textId="5AE2AF89" w:rsidR="00036CB1" w:rsidRPr="00036CB1" w:rsidRDefault="00E34339" w:rsidP="00036CB1">
      <w:pPr>
        <w:spacing w:after="240"/>
        <w:jc w:val="both"/>
        <w:rPr>
          <w:rFonts w:ascii="Times New Roman" w:hAnsi="Times New Roman" w:cs="Times New Roman"/>
          <w:sz w:val="24"/>
          <w:szCs w:val="24"/>
          <w:lang w:val="es-ES_tradnl"/>
        </w:rPr>
      </w:pPr>
      <w:hyperlink r:id="rId36" w:history="1">
        <w:r w:rsidR="00036CB1" w:rsidRPr="00E34339">
          <w:rPr>
            <w:rStyle w:val="Hipervnculo"/>
            <w:rFonts w:ascii="Times New Roman" w:hAnsi="Times New Roman" w:cs="Times New Roman"/>
            <w:sz w:val="24"/>
            <w:szCs w:val="24"/>
            <w:lang w:val="es-ES_tradnl"/>
          </w:rPr>
          <w:t>STS, Sala Primera, 539/2021, de 15 de julio de 2021</w:t>
        </w:r>
      </w:hyperlink>
      <w:r w:rsidR="00036CB1" w:rsidRPr="00036CB1">
        <w:rPr>
          <w:rFonts w:ascii="Times New Roman" w:hAnsi="Times New Roman" w:cs="Times New Roman"/>
          <w:sz w:val="24"/>
          <w:szCs w:val="24"/>
          <w:lang w:val="es-ES_tradnl"/>
        </w:rPr>
        <w:t xml:space="preserve">. “Cláusula suelo. Acuerdo posterior que modifica a la baja la cláusula e incluye una renuncia de acciones genérica. </w:t>
      </w:r>
      <w:r w:rsidR="00036CB1" w:rsidRPr="00036CB1">
        <w:rPr>
          <w:rFonts w:ascii="Times New Roman" w:hAnsi="Times New Roman" w:cs="Times New Roman"/>
          <w:sz w:val="24"/>
          <w:szCs w:val="24"/>
          <w:lang w:val="es-ES_tradnl"/>
        </w:rPr>
        <w:lastRenderedPageBreak/>
        <w:t xml:space="preserve">Validez del acuerdo novatorio porque supera el control de transparencia. Nulidad de la cláusula de renuncia de acciones. Costas”. </w:t>
      </w:r>
    </w:p>
    <w:p w14:paraId="281E4694" w14:textId="17E66D58" w:rsidR="00036CB1" w:rsidRPr="00036CB1" w:rsidRDefault="00137D74" w:rsidP="00036CB1">
      <w:pPr>
        <w:spacing w:after="240"/>
        <w:jc w:val="both"/>
        <w:rPr>
          <w:rFonts w:ascii="Times New Roman" w:hAnsi="Times New Roman" w:cs="Times New Roman"/>
          <w:sz w:val="24"/>
          <w:szCs w:val="24"/>
          <w:lang w:val="es-ES_tradnl"/>
        </w:rPr>
      </w:pPr>
      <w:hyperlink r:id="rId37" w:history="1">
        <w:r w:rsidR="00036CB1" w:rsidRPr="00137D74">
          <w:rPr>
            <w:rStyle w:val="Hipervnculo"/>
            <w:rFonts w:ascii="Times New Roman" w:hAnsi="Times New Roman" w:cs="Times New Roman"/>
            <w:sz w:val="24"/>
            <w:szCs w:val="24"/>
            <w:lang w:val="es-ES_tradnl"/>
          </w:rPr>
          <w:t>STS, Sala Primera, 540/2021, de 15 de julio de 2021</w:t>
        </w:r>
      </w:hyperlink>
      <w:r w:rsidR="00036CB1" w:rsidRPr="00036CB1">
        <w:rPr>
          <w:rFonts w:ascii="Times New Roman" w:hAnsi="Times New Roman" w:cs="Times New Roman"/>
          <w:sz w:val="24"/>
          <w:szCs w:val="24"/>
          <w:lang w:val="es-ES_tradnl"/>
        </w:rPr>
        <w:t xml:space="preserve">. “Cláusula suelo. Acuerdo posterior que modifica a la baja la cláusula e incluye una renuncia de acciones genérica. Validez del acuerdo novatorio porque supera el control de transparencia. Nulidad de la cláusula de renuncia de acciones. Costas”. </w:t>
      </w:r>
    </w:p>
    <w:p w14:paraId="2C867276" w14:textId="2FF35775" w:rsidR="00036CB1" w:rsidRPr="00036CB1" w:rsidRDefault="00137D74" w:rsidP="00036CB1">
      <w:pPr>
        <w:spacing w:after="240"/>
        <w:jc w:val="both"/>
        <w:rPr>
          <w:rFonts w:ascii="Times New Roman" w:hAnsi="Times New Roman" w:cs="Times New Roman"/>
          <w:sz w:val="24"/>
          <w:szCs w:val="24"/>
          <w:lang w:val="es-ES_tradnl"/>
        </w:rPr>
      </w:pPr>
      <w:hyperlink r:id="rId38" w:history="1">
        <w:r w:rsidR="00036CB1" w:rsidRPr="00137D74">
          <w:rPr>
            <w:rStyle w:val="Hipervnculo"/>
            <w:rFonts w:ascii="Times New Roman" w:hAnsi="Times New Roman" w:cs="Times New Roman"/>
            <w:sz w:val="24"/>
            <w:szCs w:val="24"/>
            <w:lang w:val="es-ES_tradnl"/>
          </w:rPr>
          <w:t>STS, Sala Primera, 558/2021, de 22 de julio de 2021</w:t>
        </w:r>
      </w:hyperlink>
      <w:r w:rsidR="00036CB1" w:rsidRPr="00036CB1">
        <w:rPr>
          <w:rFonts w:ascii="Times New Roman" w:hAnsi="Times New Roman" w:cs="Times New Roman"/>
          <w:sz w:val="24"/>
          <w:szCs w:val="24"/>
          <w:lang w:val="es-ES_tradnl"/>
        </w:rPr>
        <w:t xml:space="preserve">. “Acuerdo novatorio que suprime cláusula suelo en préstamo hipotecario. Falta de transparencia de la cláusula de renuncia total de acciones”. </w:t>
      </w:r>
    </w:p>
    <w:p w14:paraId="3CE1D26A" w14:textId="44DE635E" w:rsidR="00036CB1" w:rsidRPr="00036CB1" w:rsidRDefault="00137D74" w:rsidP="00036CB1">
      <w:pPr>
        <w:spacing w:after="240"/>
        <w:jc w:val="both"/>
        <w:rPr>
          <w:rFonts w:ascii="Times New Roman" w:hAnsi="Times New Roman" w:cs="Times New Roman"/>
          <w:sz w:val="24"/>
          <w:szCs w:val="24"/>
          <w:lang w:val="es-ES_tradnl"/>
        </w:rPr>
      </w:pPr>
      <w:hyperlink r:id="rId39" w:history="1">
        <w:r w:rsidR="00036CB1" w:rsidRPr="00137D74">
          <w:rPr>
            <w:rStyle w:val="Hipervnculo"/>
            <w:rFonts w:ascii="Times New Roman" w:hAnsi="Times New Roman" w:cs="Times New Roman"/>
            <w:sz w:val="24"/>
            <w:szCs w:val="24"/>
          </w:rPr>
          <w:t>STS, Sala Primera, 622/2021, de 22 de septiembre de 2021</w:t>
        </w:r>
      </w:hyperlink>
      <w:r w:rsidR="00036CB1" w:rsidRPr="00036CB1">
        <w:rPr>
          <w:rFonts w:ascii="Times New Roman" w:hAnsi="Times New Roman" w:cs="Times New Roman"/>
          <w:sz w:val="24"/>
          <w:szCs w:val="24"/>
        </w:rPr>
        <w:t>. “</w:t>
      </w:r>
      <w:r w:rsidR="00036CB1" w:rsidRPr="00036CB1">
        <w:rPr>
          <w:rFonts w:ascii="Times New Roman" w:hAnsi="Times New Roman" w:cs="Times New Roman"/>
          <w:sz w:val="24"/>
          <w:szCs w:val="24"/>
          <w:lang w:val="es-ES_tradnl"/>
        </w:rPr>
        <w:t xml:space="preserve">Transacción. Sustitución de interés variable con cláusula suelo por interés fijo. Renuncia de acciones. Control de transparencia. Reiteración de doctrina”. </w:t>
      </w:r>
    </w:p>
    <w:p w14:paraId="690E1DB7" w14:textId="774AD820" w:rsidR="00036CB1" w:rsidRDefault="00137D74" w:rsidP="00036CB1">
      <w:pPr>
        <w:spacing w:after="240"/>
        <w:jc w:val="both"/>
        <w:rPr>
          <w:rFonts w:ascii="Times New Roman" w:hAnsi="Times New Roman" w:cs="Times New Roman"/>
          <w:sz w:val="24"/>
          <w:szCs w:val="24"/>
          <w:lang w:val="es-ES_tradnl"/>
        </w:rPr>
      </w:pPr>
      <w:hyperlink r:id="rId40" w:history="1">
        <w:r w:rsidR="00036CB1" w:rsidRPr="00137D74">
          <w:rPr>
            <w:rStyle w:val="Hipervnculo"/>
            <w:rFonts w:ascii="Times New Roman" w:hAnsi="Times New Roman" w:cs="Times New Roman"/>
            <w:sz w:val="24"/>
            <w:szCs w:val="24"/>
            <w:lang w:val="es-ES_tradnl"/>
          </w:rPr>
          <w:t>STS, Sala Primera, 624/2021, de 22 de septiembre de 2021</w:t>
        </w:r>
      </w:hyperlink>
      <w:r w:rsidR="00036CB1" w:rsidRPr="00036CB1">
        <w:rPr>
          <w:rFonts w:ascii="Times New Roman" w:hAnsi="Times New Roman" w:cs="Times New Roman"/>
          <w:sz w:val="24"/>
          <w:szCs w:val="24"/>
          <w:lang w:val="es-ES_tradnl"/>
        </w:rPr>
        <w:t xml:space="preserve">. “Transacción. Eliminación de la cláusula suelo y renuncia de acciones. Control de transparencia. Reiteración de doctrina”. </w:t>
      </w:r>
    </w:p>
    <w:p w14:paraId="5932C087" w14:textId="0269F1CD" w:rsidR="00036CB1" w:rsidRPr="00806B2B" w:rsidRDefault="00137D74" w:rsidP="00036CB1">
      <w:pPr>
        <w:spacing w:after="240"/>
        <w:jc w:val="both"/>
        <w:rPr>
          <w:rFonts w:ascii="Times New Roman" w:hAnsi="Times New Roman" w:cs="Times New Roman"/>
          <w:sz w:val="24"/>
          <w:szCs w:val="24"/>
          <w:lang w:val="es-ES_tradnl"/>
        </w:rPr>
      </w:pPr>
      <w:hyperlink r:id="rId41" w:history="1">
        <w:r w:rsidR="00036CB1" w:rsidRPr="00137D74">
          <w:rPr>
            <w:rStyle w:val="Hipervnculo"/>
            <w:rFonts w:ascii="Times New Roman" w:hAnsi="Times New Roman" w:cs="Times New Roman"/>
            <w:sz w:val="24"/>
            <w:szCs w:val="24"/>
          </w:rPr>
          <w:t>STS, Sala Primera, 632/2021, de 27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Novación de cláusula suelo y renuncia de ac</w:t>
      </w:r>
      <w:r w:rsidR="00036CB1">
        <w:rPr>
          <w:rFonts w:ascii="Times New Roman" w:hAnsi="Times New Roman" w:cs="Times New Roman"/>
          <w:sz w:val="24"/>
          <w:szCs w:val="24"/>
          <w:lang w:val="es-ES_tradnl"/>
        </w:rPr>
        <w:t xml:space="preserve">ciones. Reiteración de doctrina”. </w:t>
      </w:r>
    </w:p>
    <w:p w14:paraId="0B10ED89" w14:textId="293E6477" w:rsidR="00036CB1" w:rsidRDefault="00137D74" w:rsidP="00036CB1">
      <w:pPr>
        <w:spacing w:after="240"/>
        <w:jc w:val="both"/>
        <w:rPr>
          <w:rFonts w:ascii="Times New Roman" w:hAnsi="Times New Roman" w:cs="Times New Roman"/>
          <w:sz w:val="24"/>
          <w:szCs w:val="24"/>
          <w:lang w:val="es-ES_tradnl"/>
        </w:rPr>
      </w:pPr>
      <w:hyperlink r:id="rId42" w:history="1">
        <w:r w:rsidR="00036CB1" w:rsidRPr="00137D74">
          <w:rPr>
            <w:rStyle w:val="Hipervnculo"/>
            <w:rFonts w:ascii="Times New Roman" w:hAnsi="Times New Roman" w:cs="Times New Roman"/>
            <w:sz w:val="24"/>
            <w:szCs w:val="24"/>
          </w:rPr>
          <w:t>STS, Sala Primera, 633/2021, de 27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Novación de cláusula suelo y renuncia de acciones. Reite</w:t>
      </w:r>
      <w:r w:rsidR="00036CB1">
        <w:rPr>
          <w:rFonts w:ascii="Times New Roman" w:hAnsi="Times New Roman" w:cs="Times New Roman"/>
          <w:sz w:val="24"/>
          <w:szCs w:val="24"/>
          <w:lang w:val="es-ES_tradnl"/>
        </w:rPr>
        <w:t xml:space="preserve">ración de doctrina”. </w:t>
      </w:r>
    </w:p>
    <w:p w14:paraId="2375693A" w14:textId="733E7488" w:rsidR="00036CB1" w:rsidRDefault="00137D74" w:rsidP="00036CB1">
      <w:pPr>
        <w:spacing w:after="240"/>
        <w:jc w:val="both"/>
        <w:rPr>
          <w:rFonts w:ascii="Times New Roman" w:hAnsi="Times New Roman" w:cs="Times New Roman"/>
          <w:sz w:val="24"/>
          <w:szCs w:val="24"/>
          <w:lang w:val="es-ES_tradnl"/>
        </w:rPr>
      </w:pPr>
      <w:hyperlink r:id="rId43" w:history="1">
        <w:r w:rsidR="00036CB1" w:rsidRPr="00137D74">
          <w:rPr>
            <w:rStyle w:val="Hipervnculo"/>
            <w:rFonts w:ascii="Times New Roman" w:hAnsi="Times New Roman" w:cs="Times New Roman"/>
            <w:sz w:val="24"/>
            <w:szCs w:val="24"/>
            <w:lang w:val="es-ES_tradnl"/>
          </w:rPr>
          <w:t>STS, Sala Primera, 634/2021, de 27 de septiembre de 2021</w:t>
        </w:r>
      </w:hyperlink>
      <w:r w:rsidR="00036CB1">
        <w:rPr>
          <w:rFonts w:ascii="Times New Roman" w:hAnsi="Times New Roman" w:cs="Times New Roman"/>
          <w:sz w:val="24"/>
          <w:szCs w:val="24"/>
          <w:lang w:val="es-ES_tradnl"/>
        </w:rPr>
        <w:t>. “</w:t>
      </w:r>
      <w:r w:rsidR="00036CB1" w:rsidRPr="00806B2B">
        <w:rPr>
          <w:rFonts w:ascii="Times New Roman" w:hAnsi="Times New Roman" w:cs="Times New Roman"/>
          <w:sz w:val="24"/>
          <w:szCs w:val="24"/>
          <w:lang w:val="es-ES_tradnl"/>
        </w:rPr>
        <w:t>Novación de cláusula suelo. Acuerdo posterior que modifica a la baja la cláusula e incluye una renuncia de acciones genérica. Validez del acuerdo novatorio porque supera el c</w:t>
      </w:r>
      <w:r w:rsidR="00036CB1">
        <w:rPr>
          <w:rFonts w:ascii="Times New Roman" w:hAnsi="Times New Roman" w:cs="Times New Roman"/>
          <w:sz w:val="24"/>
          <w:szCs w:val="24"/>
          <w:lang w:val="es-ES_tradnl"/>
        </w:rPr>
        <w:t xml:space="preserve">ontrol de transparencia. Costas”. </w:t>
      </w:r>
    </w:p>
    <w:p w14:paraId="2CDDEF51" w14:textId="7C60CF59" w:rsidR="00036CB1" w:rsidRDefault="00137D74" w:rsidP="00036CB1">
      <w:pPr>
        <w:spacing w:after="240"/>
        <w:jc w:val="both"/>
        <w:rPr>
          <w:rFonts w:ascii="Times New Roman" w:hAnsi="Times New Roman" w:cs="Times New Roman"/>
          <w:sz w:val="24"/>
          <w:szCs w:val="24"/>
          <w:lang w:val="es-ES_tradnl"/>
        </w:rPr>
      </w:pPr>
      <w:hyperlink r:id="rId44" w:history="1">
        <w:r w:rsidR="00036CB1" w:rsidRPr="00137D74">
          <w:rPr>
            <w:rStyle w:val="Hipervnculo"/>
            <w:rFonts w:ascii="Times New Roman" w:hAnsi="Times New Roman" w:cs="Times New Roman"/>
            <w:sz w:val="24"/>
            <w:szCs w:val="24"/>
            <w:lang w:val="es-ES_tradnl"/>
          </w:rPr>
          <w:t>STS, Sala Primera, 635/2021, de 27 de septiembre de 2021</w:t>
        </w:r>
      </w:hyperlink>
      <w:r w:rsidR="00036CB1">
        <w:rPr>
          <w:rFonts w:ascii="Times New Roman" w:hAnsi="Times New Roman" w:cs="Times New Roman"/>
          <w:sz w:val="24"/>
          <w:szCs w:val="24"/>
          <w:lang w:val="es-ES_tradnl"/>
        </w:rPr>
        <w:t>. “</w:t>
      </w:r>
      <w:r w:rsidR="00036CB1" w:rsidRPr="00806B2B">
        <w:rPr>
          <w:rFonts w:ascii="Times New Roman" w:hAnsi="Times New Roman" w:cs="Times New Roman"/>
          <w:sz w:val="24"/>
          <w:szCs w:val="24"/>
          <w:lang w:val="es-ES_tradnl"/>
        </w:rPr>
        <w:t>Préstamo hipotecario con consumidores. Novación de cláusula suelo y renuncia de acciones en acuerdo transaccional. Novación de la cláusula abusiva (transparencia). Cláusula de renuncia que no se limita a las acciones relati</w:t>
      </w:r>
      <w:r w:rsidR="00036CB1">
        <w:rPr>
          <w:rFonts w:ascii="Times New Roman" w:hAnsi="Times New Roman" w:cs="Times New Roman"/>
          <w:sz w:val="24"/>
          <w:szCs w:val="24"/>
          <w:lang w:val="es-ES_tradnl"/>
        </w:rPr>
        <w:t xml:space="preserve">vas a la cláusula suelo. Costas”. </w:t>
      </w:r>
    </w:p>
    <w:p w14:paraId="3B3F85E6" w14:textId="18B4B803" w:rsidR="00036CB1" w:rsidRDefault="009A0FDF" w:rsidP="00036CB1">
      <w:pPr>
        <w:spacing w:after="240"/>
        <w:jc w:val="both"/>
        <w:rPr>
          <w:rFonts w:ascii="Times New Roman" w:hAnsi="Times New Roman" w:cs="Times New Roman"/>
          <w:sz w:val="24"/>
          <w:szCs w:val="24"/>
        </w:rPr>
      </w:pPr>
      <w:hyperlink r:id="rId45" w:history="1">
        <w:r w:rsidR="00036CB1" w:rsidRPr="009A0FDF">
          <w:rPr>
            <w:rStyle w:val="Hipervnculo"/>
            <w:rFonts w:ascii="Times New Roman" w:hAnsi="Times New Roman" w:cs="Times New Roman"/>
            <w:sz w:val="24"/>
            <w:szCs w:val="24"/>
          </w:rPr>
          <w:t>STS, Sala Primera, 643/2021, de 28 de septiembre de 2021</w:t>
        </w:r>
      </w:hyperlink>
      <w:r w:rsidR="00036CB1">
        <w:rPr>
          <w:rFonts w:ascii="Times New Roman" w:hAnsi="Times New Roman" w:cs="Times New Roman"/>
          <w:sz w:val="24"/>
          <w:szCs w:val="24"/>
        </w:rPr>
        <w:t xml:space="preserve">. “Transacción. Sustitución de interés variable con cláusula suelo por interés fijo. Renuncia de acciones. Control de transparencia. Reiteración de doctrina”. </w:t>
      </w:r>
    </w:p>
    <w:p w14:paraId="0F00AEFC" w14:textId="1B6A0214" w:rsidR="00036CB1" w:rsidRPr="00806B2B" w:rsidRDefault="00E73D4B" w:rsidP="00036CB1">
      <w:pPr>
        <w:spacing w:after="240"/>
        <w:jc w:val="both"/>
        <w:rPr>
          <w:rFonts w:ascii="Times New Roman" w:hAnsi="Times New Roman" w:cs="Times New Roman"/>
          <w:sz w:val="24"/>
          <w:szCs w:val="24"/>
          <w:lang w:val="es-ES_tradnl"/>
        </w:rPr>
      </w:pPr>
      <w:hyperlink r:id="rId46" w:history="1">
        <w:r w:rsidR="00036CB1" w:rsidRPr="00E73D4B">
          <w:rPr>
            <w:rStyle w:val="Hipervnculo"/>
            <w:rFonts w:ascii="Times New Roman" w:hAnsi="Times New Roman" w:cs="Times New Roman"/>
            <w:sz w:val="24"/>
            <w:szCs w:val="24"/>
          </w:rPr>
          <w:t>STS, Sala Primera, 644/2021, de 28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Transacción. Sustitución de interés variable con cláusula suelo por interés fijo. Renuncia de acciones. Control de transparencia. Reiter</w:t>
      </w:r>
      <w:r w:rsidR="00036CB1">
        <w:rPr>
          <w:rFonts w:ascii="Times New Roman" w:hAnsi="Times New Roman" w:cs="Times New Roman"/>
          <w:sz w:val="24"/>
          <w:szCs w:val="24"/>
          <w:lang w:val="es-ES_tradnl"/>
        </w:rPr>
        <w:t xml:space="preserve">ación de doctrina”. </w:t>
      </w:r>
    </w:p>
    <w:p w14:paraId="2845B8A3" w14:textId="0856C79F" w:rsidR="00036CB1" w:rsidRDefault="009A0FDF" w:rsidP="00036CB1">
      <w:pPr>
        <w:spacing w:after="240"/>
        <w:jc w:val="both"/>
        <w:rPr>
          <w:rFonts w:ascii="Times New Roman" w:hAnsi="Times New Roman" w:cs="Times New Roman"/>
          <w:sz w:val="24"/>
          <w:szCs w:val="24"/>
        </w:rPr>
      </w:pPr>
      <w:hyperlink r:id="rId47" w:history="1">
        <w:r w:rsidR="00036CB1" w:rsidRPr="009A0FDF">
          <w:rPr>
            <w:rStyle w:val="Hipervnculo"/>
            <w:rFonts w:ascii="Times New Roman" w:hAnsi="Times New Roman" w:cs="Times New Roman"/>
            <w:sz w:val="24"/>
            <w:szCs w:val="24"/>
          </w:rPr>
          <w:t>STS, Sala Primera, 645/2021, de 28 de septiembre de 2021</w:t>
        </w:r>
      </w:hyperlink>
      <w:r w:rsidR="00036CB1">
        <w:rPr>
          <w:rFonts w:ascii="Times New Roman" w:hAnsi="Times New Roman" w:cs="Times New Roman"/>
          <w:sz w:val="24"/>
          <w:szCs w:val="24"/>
        </w:rPr>
        <w:t xml:space="preserve">. “Novación de cláusula suelo y renuncia de acciones. Reiteración de doctrina”. </w:t>
      </w:r>
    </w:p>
    <w:p w14:paraId="15C91CCF" w14:textId="66082DE0" w:rsidR="00036CB1" w:rsidRDefault="00E73D4B" w:rsidP="00036CB1">
      <w:pPr>
        <w:spacing w:after="240"/>
        <w:jc w:val="both"/>
        <w:rPr>
          <w:rFonts w:ascii="Times New Roman" w:hAnsi="Times New Roman" w:cs="Times New Roman"/>
          <w:sz w:val="24"/>
          <w:szCs w:val="24"/>
          <w:lang w:val="es-ES_tradnl"/>
        </w:rPr>
      </w:pPr>
      <w:hyperlink r:id="rId48" w:history="1">
        <w:r w:rsidR="00036CB1" w:rsidRPr="00E73D4B">
          <w:rPr>
            <w:rStyle w:val="Hipervnculo"/>
            <w:rFonts w:ascii="Times New Roman" w:hAnsi="Times New Roman" w:cs="Times New Roman"/>
            <w:sz w:val="24"/>
            <w:szCs w:val="24"/>
          </w:rPr>
          <w:t>STS, Sala Primera, 646/2021, de 28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 xml:space="preserve">Novación de cláusula suelo y renuncia de acciones. Reiteración </w:t>
      </w:r>
      <w:r w:rsidR="00036CB1">
        <w:rPr>
          <w:rFonts w:ascii="Times New Roman" w:hAnsi="Times New Roman" w:cs="Times New Roman"/>
          <w:sz w:val="24"/>
          <w:szCs w:val="24"/>
          <w:lang w:val="es-ES_tradnl"/>
        </w:rPr>
        <w:t xml:space="preserve">de doctrina”. </w:t>
      </w:r>
    </w:p>
    <w:p w14:paraId="5F62F1A3" w14:textId="039484A5" w:rsidR="00036CB1" w:rsidRPr="00806B2B" w:rsidRDefault="00E73D4B" w:rsidP="00036CB1">
      <w:pPr>
        <w:spacing w:after="240"/>
        <w:jc w:val="both"/>
        <w:rPr>
          <w:rFonts w:ascii="Times New Roman" w:hAnsi="Times New Roman" w:cs="Times New Roman"/>
          <w:sz w:val="24"/>
          <w:szCs w:val="24"/>
          <w:lang w:val="es-ES_tradnl"/>
        </w:rPr>
      </w:pPr>
      <w:hyperlink r:id="rId49" w:history="1">
        <w:r w:rsidR="00036CB1" w:rsidRPr="00E73D4B">
          <w:rPr>
            <w:rStyle w:val="Hipervnculo"/>
            <w:rFonts w:ascii="Times New Roman" w:hAnsi="Times New Roman" w:cs="Times New Roman"/>
            <w:sz w:val="24"/>
            <w:szCs w:val="24"/>
            <w:lang w:val="es-ES_tradnl"/>
          </w:rPr>
          <w:t>STS, Sala Primera, 647/2021, de 28 de septiembre de 2021</w:t>
        </w:r>
      </w:hyperlink>
      <w:r w:rsidR="00036CB1">
        <w:rPr>
          <w:rFonts w:ascii="Times New Roman" w:hAnsi="Times New Roman" w:cs="Times New Roman"/>
          <w:sz w:val="24"/>
          <w:szCs w:val="24"/>
          <w:lang w:val="es-ES_tradnl"/>
        </w:rPr>
        <w:t>. “N</w:t>
      </w:r>
      <w:r w:rsidR="00036CB1" w:rsidRPr="00806B2B">
        <w:rPr>
          <w:rFonts w:ascii="Times New Roman" w:hAnsi="Times New Roman" w:cs="Times New Roman"/>
          <w:sz w:val="24"/>
          <w:szCs w:val="24"/>
          <w:lang w:val="es-ES_tradnl"/>
        </w:rPr>
        <w:t>ovación de cláusula suelo y renuncia de ac</w:t>
      </w:r>
      <w:r w:rsidR="00036CB1">
        <w:rPr>
          <w:rFonts w:ascii="Times New Roman" w:hAnsi="Times New Roman" w:cs="Times New Roman"/>
          <w:sz w:val="24"/>
          <w:szCs w:val="24"/>
          <w:lang w:val="es-ES_tradnl"/>
        </w:rPr>
        <w:t xml:space="preserve">ciones. Reiteración de doctrina”. </w:t>
      </w:r>
    </w:p>
    <w:p w14:paraId="71DCDC25" w14:textId="5397E3A8" w:rsidR="00036CB1" w:rsidRDefault="00716BDF" w:rsidP="00036CB1">
      <w:pPr>
        <w:spacing w:after="240"/>
        <w:jc w:val="both"/>
        <w:rPr>
          <w:rFonts w:ascii="Times New Roman" w:hAnsi="Times New Roman" w:cs="Times New Roman"/>
          <w:sz w:val="24"/>
          <w:szCs w:val="24"/>
        </w:rPr>
      </w:pPr>
      <w:hyperlink r:id="rId50" w:history="1">
        <w:r w:rsidR="00036CB1" w:rsidRPr="00716BDF">
          <w:rPr>
            <w:rStyle w:val="Hipervnculo"/>
            <w:rFonts w:ascii="Times New Roman" w:hAnsi="Times New Roman" w:cs="Times New Roman"/>
            <w:sz w:val="24"/>
            <w:szCs w:val="24"/>
          </w:rPr>
          <w:t>STS, Sala Primera, 648/2021, de 28 de septiembre de 2021</w:t>
        </w:r>
      </w:hyperlink>
      <w:r w:rsidR="00036CB1">
        <w:rPr>
          <w:rFonts w:ascii="Times New Roman" w:hAnsi="Times New Roman" w:cs="Times New Roman"/>
          <w:sz w:val="24"/>
          <w:szCs w:val="24"/>
        </w:rPr>
        <w:t xml:space="preserve">. “Novación de cláusula suelo y renuncia de acciones. Reiteración de doctrina”. </w:t>
      </w:r>
    </w:p>
    <w:p w14:paraId="31984FF0" w14:textId="2C94DC89" w:rsidR="00036CB1" w:rsidRPr="00036CB1" w:rsidRDefault="00E73D4B" w:rsidP="00036CB1">
      <w:pPr>
        <w:spacing w:after="240"/>
        <w:jc w:val="both"/>
        <w:rPr>
          <w:rFonts w:ascii="Times New Roman" w:hAnsi="Times New Roman" w:cs="Times New Roman"/>
          <w:sz w:val="24"/>
          <w:szCs w:val="24"/>
          <w:lang w:val="es-ES_tradnl"/>
        </w:rPr>
      </w:pPr>
      <w:hyperlink r:id="rId51" w:history="1">
        <w:r w:rsidR="00036CB1" w:rsidRPr="00E73D4B">
          <w:rPr>
            <w:rStyle w:val="Hipervnculo"/>
            <w:rFonts w:ascii="Times New Roman" w:hAnsi="Times New Roman" w:cs="Times New Roman"/>
            <w:sz w:val="24"/>
            <w:szCs w:val="24"/>
          </w:rPr>
          <w:t>STS, Sala Primera, 649/2021, de 28 de septiembre de 2021</w:t>
        </w:r>
      </w:hyperlink>
      <w:r w:rsidR="00036CB1">
        <w:rPr>
          <w:rFonts w:ascii="Times New Roman" w:hAnsi="Times New Roman" w:cs="Times New Roman"/>
          <w:sz w:val="24"/>
          <w:szCs w:val="24"/>
        </w:rPr>
        <w:t>. “</w:t>
      </w:r>
      <w:r w:rsidR="00036CB1" w:rsidRPr="00806B2B">
        <w:rPr>
          <w:rFonts w:ascii="Times New Roman" w:hAnsi="Times New Roman" w:cs="Times New Roman"/>
          <w:sz w:val="24"/>
          <w:szCs w:val="24"/>
          <w:lang w:val="es-ES_tradnl"/>
        </w:rPr>
        <w:t>Novación de cláusula suelo y renuncia de ac</w:t>
      </w:r>
      <w:r w:rsidR="00036CB1">
        <w:rPr>
          <w:rFonts w:ascii="Times New Roman" w:hAnsi="Times New Roman" w:cs="Times New Roman"/>
          <w:sz w:val="24"/>
          <w:szCs w:val="24"/>
          <w:lang w:val="es-ES_tradnl"/>
        </w:rPr>
        <w:t xml:space="preserve">ciones. Reiteración de doctrina”. </w:t>
      </w:r>
    </w:p>
    <w:p w14:paraId="4E1DEFD2" w14:textId="1CA5E608" w:rsidR="009E6308" w:rsidRDefault="009E6308" w:rsidP="009E6308">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Cláusulas abusivas y costas procesales </w:t>
      </w:r>
    </w:p>
    <w:p w14:paraId="026BCD23" w14:textId="5CECC18E" w:rsidR="00036CB1" w:rsidRDefault="00137D74" w:rsidP="00036CB1">
      <w:pPr>
        <w:spacing w:after="240"/>
        <w:jc w:val="both"/>
        <w:rPr>
          <w:rFonts w:ascii="Times New Roman" w:hAnsi="Times New Roman" w:cs="Times New Roman"/>
          <w:sz w:val="24"/>
          <w:szCs w:val="24"/>
          <w:lang w:val="es-ES_tradnl"/>
        </w:rPr>
      </w:pPr>
      <w:hyperlink r:id="rId52" w:history="1">
        <w:r w:rsidR="00036CB1" w:rsidRPr="00137D74">
          <w:rPr>
            <w:rStyle w:val="Hipervnculo"/>
            <w:rFonts w:ascii="Times New Roman" w:hAnsi="Times New Roman" w:cs="Times New Roman"/>
            <w:sz w:val="24"/>
            <w:szCs w:val="24"/>
          </w:rPr>
          <w:t>STS, Sala Primera, 612/2021, de 20 de septiembre de 2021</w:t>
        </w:r>
      </w:hyperlink>
      <w:r w:rsidR="00036CB1">
        <w:rPr>
          <w:rFonts w:ascii="Times New Roman" w:hAnsi="Times New Roman" w:cs="Times New Roman"/>
          <w:sz w:val="24"/>
          <w:szCs w:val="24"/>
        </w:rPr>
        <w:t>. “</w:t>
      </w:r>
      <w:r w:rsidR="00036CB1" w:rsidRPr="00E66B8F">
        <w:rPr>
          <w:rFonts w:ascii="Times New Roman" w:hAnsi="Times New Roman" w:cs="Times New Roman"/>
          <w:sz w:val="24"/>
          <w:szCs w:val="24"/>
          <w:lang w:val="es-ES_tradnl"/>
        </w:rPr>
        <w:t>Condiciones generales de la contratación. Condena en costas a la entidad pese a la estimación parcial de la demanda interpuesta por el consumidor. Principio de e</w:t>
      </w:r>
      <w:r w:rsidR="00036CB1">
        <w:rPr>
          <w:rFonts w:ascii="Times New Roman" w:hAnsi="Times New Roman" w:cs="Times New Roman"/>
          <w:sz w:val="24"/>
          <w:szCs w:val="24"/>
          <w:lang w:val="es-ES_tradnl"/>
        </w:rPr>
        <w:t xml:space="preserve">fectividad del Derecho de la UE”. </w:t>
      </w:r>
    </w:p>
    <w:p w14:paraId="7CA9650B" w14:textId="2B6C4E40" w:rsidR="00036CB1" w:rsidRPr="00E66B8F" w:rsidRDefault="00137D74" w:rsidP="00036CB1">
      <w:pPr>
        <w:spacing w:after="240"/>
        <w:jc w:val="both"/>
        <w:rPr>
          <w:rFonts w:ascii="Times New Roman" w:hAnsi="Times New Roman" w:cs="Times New Roman"/>
          <w:sz w:val="24"/>
          <w:szCs w:val="24"/>
          <w:lang w:val="es-ES_tradnl"/>
        </w:rPr>
      </w:pPr>
      <w:hyperlink r:id="rId53" w:history="1">
        <w:r w:rsidR="00036CB1" w:rsidRPr="00137D74">
          <w:rPr>
            <w:rStyle w:val="Hipervnculo"/>
            <w:rFonts w:ascii="Times New Roman" w:hAnsi="Times New Roman" w:cs="Times New Roman"/>
            <w:sz w:val="24"/>
            <w:szCs w:val="24"/>
            <w:lang w:val="es-ES_tradnl"/>
          </w:rPr>
          <w:t>STS, Sala Primera, 613/2021, de 20 de septiembre de 2021</w:t>
        </w:r>
      </w:hyperlink>
      <w:r w:rsidR="00036CB1">
        <w:rPr>
          <w:rFonts w:ascii="Times New Roman" w:hAnsi="Times New Roman" w:cs="Times New Roman"/>
          <w:sz w:val="24"/>
          <w:szCs w:val="24"/>
          <w:lang w:val="es-ES_tradnl"/>
        </w:rPr>
        <w:t>. “</w:t>
      </w:r>
      <w:r w:rsidR="00036CB1" w:rsidRPr="00E66B8F">
        <w:rPr>
          <w:rFonts w:ascii="Times New Roman" w:hAnsi="Times New Roman" w:cs="Times New Roman"/>
          <w:sz w:val="24"/>
          <w:szCs w:val="24"/>
          <w:lang w:val="es-ES_tradnl"/>
        </w:rPr>
        <w:t>Costas procesales y principio de efectividad. Imposición al banco condenado</w:t>
      </w:r>
      <w:r w:rsidR="00036CB1">
        <w:rPr>
          <w:rFonts w:ascii="Times New Roman" w:hAnsi="Times New Roman" w:cs="Times New Roman"/>
          <w:sz w:val="24"/>
          <w:szCs w:val="24"/>
          <w:lang w:val="es-ES_tradnl"/>
        </w:rPr>
        <w:t xml:space="preserve">. Reiteración de jurisprudencia”. </w:t>
      </w:r>
    </w:p>
    <w:p w14:paraId="09965315" w14:textId="1B035D96" w:rsidR="00036CB1" w:rsidRPr="0004700D" w:rsidRDefault="00137D74" w:rsidP="00036CB1">
      <w:pPr>
        <w:spacing w:after="240"/>
        <w:jc w:val="both"/>
        <w:rPr>
          <w:rFonts w:ascii="Times New Roman" w:hAnsi="Times New Roman" w:cs="Times New Roman"/>
          <w:sz w:val="24"/>
          <w:szCs w:val="24"/>
          <w:lang w:val="es-ES_tradnl"/>
        </w:rPr>
      </w:pPr>
      <w:hyperlink r:id="rId54" w:history="1">
        <w:r w:rsidR="00036CB1" w:rsidRPr="00137D74">
          <w:rPr>
            <w:rStyle w:val="Hipervnculo"/>
            <w:rFonts w:ascii="Times New Roman" w:hAnsi="Times New Roman" w:cs="Times New Roman"/>
            <w:sz w:val="24"/>
            <w:szCs w:val="24"/>
          </w:rPr>
          <w:t>STS, Sala Primera, 620/2021, de 22 de septiembre de 2021</w:t>
        </w:r>
      </w:hyperlink>
      <w:r w:rsidR="00036CB1">
        <w:rPr>
          <w:rFonts w:ascii="Times New Roman" w:hAnsi="Times New Roman" w:cs="Times New Roman"/>
          <w:sz w:val="24"/>
          <w:szCs w:val="24"/>
        </w:rPr>
        <w:t>. “</w:t>
      </w:r>
      <w:r w:rsidR="00036CB1" w:rsidRPr="0004700D">
        <w:rPr>
          <w:rFonts w:ascii="Times New Roman" w:hAnsi="Times New Roman" w:cs="Times New Roman"/>
          <w:sz w:val="24"/>
          <w:szCs w:val="24"/>
          <w:lang w:val="es-ES_tradnl"/>
        </w:rPr>
        <w:t>Préstamo hipotecario con consumidores. Cláusula suelo. Allanamiento del banco demandado. No imposición de costas: no es contrario al principio de efectividad del Derecho de la UE (ofrecimiento previo del banco de lo mismo que después le fue re</w:t>
      </w:r>
      <w:r w:rsidR="00036CB1">
        <w:rPr>
          <w:rFonts w:ascii="Times New Roman" w:hAnsi="Times New Roman" w:cs="Times New Roman"/>
          <w:sz w:val="24"/>
          <w:szCs w:val="24"/>
          <w:lang w:val="es-ES_tradnl"/>
        </w:rPr>
        <w:t xml:space="preserve">clamado)”. </w:t>
      </w:r>
    </w:p>
    <w:p w14:paraId="66FE0F63" w14:textId="7352E161" w:rsidR="00036CB1" w:rsidRDefault="00137D74" w:rsidP="00036CB1">
      <w:pPr>
        <w:spacing w:after="240"/>
        <w:jc w:val="both"/>
        <w:rPr>
          <w:rFonts w:ascii="Times New Roman" w:hAnsi="Times New Roman" w:cs="Times New Roman"/>
          <w:sz w:val="24"/>
          <w:szCs w:val="24"/>
          <w:lang w:val="es-ES_tradnl"/>
        </w:rPr>
      </w:pPr>
      <w:hyperlink r:id="rId55" w:history="1">
        <w:r w:rsidR="00036CB1" w:rsidRPr="00137D74">
          <w:rPr>
            <w:rStyle w:val="Hipervnculo"/>
            <w:rFonts w:ascii="Times New Roman" w:hAnsi="Times New Roman" w:cs="Times New Roman"/>
            <w:sz w:val="24"/>
            <w:szCs w:val="24"/>
          </w:rPr>
          <w:t>STS, Sala Primera, 621/2021, de 22 de septiembre de 2021</w:t>
        </w:r>
      </w:hyperlink>
      <w:r w:rsidR="00036CB1">
        <w:rPr>
          <w:rFonts w:ascii="Times New Roman" w:hAnsi="Times New Roman" w:cs="Times New Roman"/>
          <w:sz w:val="24"/>
          <w:szCs w:val="24"/>
        </w:rPr>
        <w:t>. “</w:t>
      </w:r>
      <w:r w:rsidR="00036CB1" w:rsidRPr="0004700D">
        <w:rPr>
          <w:rFonts w:ascii="Times New Roman" w:hAnsi="Times New Roman" w:cs="Times New Roman"/>
          <w:sz w:val="24"/>
          <w:szCs w:val="24"/>
          <w:lang w:val="es-ES_tradnl"/>
        </w:rPr>
        <w:t>Nulidad de cláusula suelo. Allanamiento del banco demandado. Imposición de costas al banco al haber transcurrido más de tres meses desde el requerimiento extrajudicial y</w:t>
      </w:r>
      <w:r w:rsidR="00036CB1">
        <w:rPr>
          <w:rFonts w:ascii="Times New Roman" w:hAnsi="Times New Roman" w:cs="Times New Roman"/>
          <w:sz w:val="24"/>
          <w:szCs w:val="24"/>
          <w:lang w:val="es-ES_tradnl"/>
        </w:rPr>
        <w:t xml:space="preserve"> la interposición de la demanda”.</w:t>
      </w:r>
    </w:p>
    <w:p w14:paraId="41471A64" w14:textId="4C57B3D5" w:rsidR="00036CB1" w:rsidRPr="00806B2B" w:rsidRDefault="00137D74" w:rsidP="00036CB1">
      <w:pPr>
        <w:spacing w:after="240"/>
        <w:jc w:val="both"/>
        <w:rPr>
          <w:rFonts w:ascii="Times New Roman" w:hAnsi="Times New Roman" w:cs="Times New Roman"/>
          <w:sz w:val="24"/>
          <w:szCs w:val="24"/>
          <w:lang w:val="es-ES_tradnl"/>
        </w:rPr>
      </w:pPr>
      <w:hyperlink r:id="rId56" w:history="1">
        <w:r w:rsidR="00036CB1" w:rsidRPr="00137D74">
          <w:rPr>
            <w:rStyle w:val="Hipervnculo"/>
            <w:rFonts w:ascii="Times New Roman" w:hAnsi="Times New Roman" w:cs="Times New Roman"/>
            <w:sz w:val="24"/>
            <w:szCs w:val="24"/>
            <w:lang w:val="es-ES_tradnl"/>
          </w:rPr>
          <w:t>STS, Sala Primera, 625/2021, de 22 de septiembre de 2021</w:t>
        </w:r>
      </w:hyperlink>
      <w:r w:rsidR="00036CB1">
        <w:rPr>
          <w:rFonts w:ascii="Times New Roman" w:hAnsi="Times New Roman" w:cs="Times New Roman"/>
          <w:sz w:val="24"/>
          <w:szCs w:val="24"/>
          <w:lang w:val="es-ES_tradnl"/>
        </w:rPr>
        <w:t>. “</w:t>
      </w:r>
      <w:r w:rsidR="00036CB1" w:rsidRPr="0004700D">
        <w:rPr>
          <w:rFonts w:ascii="Times New Roman" w:hAnsi="Times New Roman" w:cs="Times New Roman"/>
          <w:sz w:val="24"/>
          <w:szCs w:val="24"/>
          <w:lang w:val="es-ES_tradnl"/>
        </w:rPr>
        <w:t>Cláusula de gastos. Nulidad por abusividad. Atribución del pago de los gastos notariales. Condena en costas de la primera instancia; aplicación del principio de efectividad. Se imponen a la e</w:t>
      </w:r>
      <w:r w:rsidR="00036CB1">
        <w:rPr>
          <w:rFonts w:ascii="Times New Roman" w:hAnsi="Times New Roman" w:cs="Times New Roman"/>
          <w:sz w:val="24"/>
          <w:szCs w:val="24"/>
          <w:lang w:val="es-ES_tradnl"/>
        </w:rPr>
        <w:t xml:space="preserve">ntidad demandada”. </w:t>
      </w:r>
    </w:p>
    <w:p w14:paraId="237693DB" w14:textId="03B41FF8" w:rsidR="009E6308" w:rsidRDefault="009E6308" w:rsidP="009E6308">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Préstamos con garantía hipotecaria. </w:t>
      </w:r>
      <w:proofErr w:type="spellStart"/>
      <w:r>
        <w:rPr>
          <w:rFonts w:ascii="Times New Roman" w:hAnsi="Times New Roman" w:cs="Times New Roman"/>
          <w:b/>
          <w:bCs/>
          <w:sz w:val="24"/>
          <w:szCs w:val="24"/>
        </w:rPr>
        <w:t>Multidivisas</w:t>
      </w:r>
      <w:proofErr w:type="spellEnd"/>
    </w:p>
    <w:p w14:paraId="1B537C91" w14:textId="2D5506EC" w:rsidR="00B0403C" w:rsidRDefault="00B60EA5" w:rsidP="00B0403C">
      <w:pPr>
        <w:spacing w:after="240"/>
        <w:jc w:val="both"/>
        <w:rPr>
          <w:rFonts w:ascii="Times New Roman" w:hAnsi="Times New Roman" w:cs="Times New Roman"/>
          <w:sz w:val="24"/>
          <w:szCs w:val="24"/>
          <w:lang w:val="es-ES_tradnl"/>
        </w:rPr>
      </w:pPr>
      <w:hyperlink r:id="rId57" w:history="1">
        <w:r w:rsidR="00B0403C" w:rsidRPr="00B60EA5">
          <w:rPr>
            <w:rStyle w:val="Hipervnculo"/>
            <w:rFonts w:ascii="Times New Roman" w:hAnsi="Times New Roman" w:cs="Times New Roman"/>
            <w:sz w:val="24"/>
            <w:szCs w:val="24"/>
            <w:lang w:val="es-ES_tradnl"/>
          </w:rPr>
          <w:t>STS, Sala Primera, 553/2021, de 20 de julio de 2021</w:t>
        </w:r>
      </w:hyperlink>
      <w:r w:rsidR="00B0403C">
        <w:rPr>
          <w:rFonts w:ascii="Times New Roman" w:hAnsi="Times New Roman" w:cs="Times New Roman"/>
          <w:sz w:val="24"/>
          <w:szCs w:val="24"/>
          <w:lang w:val="es-ES_tradnl"/>
        </w:rPr>
        <w:t>. “</w:t>
      </w:r>
      <w:r w:rsidR="00B0403C" w:rsidRPr="00F1056F">
        <w:rPr>
          <w:rFonts w:ascii="Times New Roman" w:hAnsi="Times New Roman" w:cs="Times New Roman"/>
          <w:sz w:val="24"/>
          <w:szCs w:val="24"/>
          <w:lang w:val="es-ES_tradnl"/>
        </w:rPr>
        <w:t>Préstamo multidivisa. No es admisible en casación un motivo fundado en el control de incorporación cuando tal acción no fue planteada en la demanda. De acuerdo con los hechos probados, el clausulado multidivisa sup</w:t>
      </w:r>
      <w:r w:rsidR="00B0403C">
        <w:rPr>
          <w:rFonts w:ascii="Times New Roman" w:hAnsi="Times New Roman" w:cs="Times New Roman"/>
          <w:sz w:val="24"/>
          <w:szCs w:val="24"/>
          <w:lang w:val="es-ES_tradnl"/>
        </w:rPr>
        <w:t xml:space="preserve">era el control de transparencia”. </w:t>
      </w:r>
    </w:p>
    <w:p w14:paraId="67F8206A" w14:textId="77777777" w:rsidR="0029550E" w:rsidRDefault="0029550E" w:rsidP="009E6308">
      <w:pPr>
        <w:spacing w:after="240"/>
        <w:jc w:val="both"/>
        <w:rPr>
          <w:rFonts w:ascii="Times New Roman" w:hAnsi="Times New Roman" w:cs="Times New Roman"/>
          <w:b/>
          <w:bCs/>
          <w:sz w:val="24"/>
          <w:szCs w:val="24"/>
        </w:rPr>
      </w:pPr>
    </w:p>
    <w:p w14:paraId="6E672003" w14:textId="77777777" w:rsidR="0029550E" w:rsidRDefault="0029550E" w:rsidP="009E6308">
      <w:pPr>
        <w:spacing w:after="240"/>
        <w:jc w:val="both"/>
        <w:rPr>
          <w:rFonts w:ascii="Times New Roman" w:hAnsi="Times New Roman" w:cs="Times New Roman"/>
          <w:b/>
          <w:bCs/>
          <w:sz w:val="24"/>
          <w:szCs w:val="24"/>
        </w:rPr>
      </w:pPr>
    </w:p>
    <w:p w14:paraId="6C9DC84C" w14:textId="35007A78" w:rsidR="00036CB1" w:rsidRDefault="00036CB1" w:rsidP="009E6308">
      <w:p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Contratación de productos financieros </w:t>
      </w:r>
    </w:p>
    <w:p w14:paraId="09343FE6" w14:textId="024E3507" w:rsidR="00B0403C" w:rsidRDefault="00B60EA5" w:rsidP="00B0403C">
      <w:pPr>
        <w:spacing w:after="240"/>
        <w:jc w:val="both"/>
        <w:rPr>
          <w:rFonts w:ascii="Times New Roman" w:hAnsi="Times New Roman" w:cs="Times New Roman"/>
          <w:sz w:val="24"/>
          <w:szCs w:val="24"/>
          <w:lang w:val="es-ES_tradnl"/>
        </w:rPr>
      </w:pPr>
      <w:hyperlink r:id="rId58" w:history="1">
        <w:r w:rsidR="00B0403C" w:rsidRPr="00B60EA5">
          <w:rPr>
            <w:rStyle w:val="Hipervnculo"/>
            <w:rFonts w:ascii="Times New Roman" w:hAnsi="Times New Roman" w:cs="Times New Roman"/>
            <w:sz w:val="24"/>
            <w:szCs w:val="24"/>
            <w:lang w:val="es-ES_tradnl"/>
          </w:rPr>
          <w:t>STS, Sala Primera, 556/2021, de 21 de julio de 2021</w:t>
        </w:r>
      </w:hyperlink>
      <w:r w:rsidR="00B0403C">
        <w:rPr>
          <w:rFonts w:ascii="Times New Roman" w:hAnsi="Times New Roman" w:cs="Times New Roman"/>
          <w:sz w:val="24"/>
          <w:szCs w:val="24"/>
          <w:lang w:val="es-ES_tradnl"/>
        </w:rPr>
        <w:t>. “</w:t>
      </w:r>
      <w:r w:rsidR="00B0403C" w:rsidRPr="00F1056F">
        <w:rPr>
          <w:rFonts w:ascii="Times New Roman" w:hAnsi="Times New Roman" w:cs="Times New Roman"/>
          <w:sz w:val="24"/>
          <w:szCs w:val="24"/>
          <w:lang w:val="es-ES_tradnl"/>
        </w:rPr>
        <w:t xml:space="preserve">Aportaciones financieras subordinadas. Relatividad de los contratos. Falta de legitimación activa de la donataria de las aportaciones para el ejercicio de acciones contractuales de la </w:t>
      </w:r>
      <w:r w:rsidR="00B0403C">
        <w:rPr>
          <w:rFonts w:ascii="Times New Roman" w:hAnsi="Times New Roman" w:cs="Times New Roman"/>
          <w:sz w:val="24"/>
          <w:szCs w:val="24"/>
          <w:lang w:val="es-ES_tradnl"/>
        </w:rPr>
        <w:t xml:space="preserve">donante no ejercitadas por esta”. </w:t>
      </w:r>
    </w:p>
    <w:p w14:paraId="24270D41" w14:textId="1B12360E" w:rsidR="00B0403C" w:rsidRPr="00B0403C" w:rsidRDefault="00B60EA5" w:rsidP="009E6308">
      <w:pPr>
        <w:spacing w:after="240"/>
        <w:jc w:val="both"/>
        <w:rPr>
          <w:rFonts w:ascii="Times New Roman" w:hAnsi="Times New Roman" w:cs="Times New Roman"/>
          <w:sz w:val="24"/>
          <w:szCs w:val="24"/>
          <w:lang w:val="es-ES_tradnl"/>
        </w:rPr>
      </w:pPr>
      <w:hyperlink r:id="rId59" w:history="1">
        <w:r w:rsidR="00B0403C" w:rsidRPr="00B60EA5">
          <w:rPr>
            <w:rStyle w:val="Hipervnculo"/>
            <w:rFonts w:ascii="Times New Roman" w:hAnsi="Times New Roman" w:cs="Times New Roman"/>
            <w:sz w:val="24"/>
            <w:szCs w:val="24"/>
            <w:lang w:val="es-ES_tradnl"/>
          </w:rPr>
          <w:t>STS, Sala Primera, 562/2021, de 26 de julio de 2021</w:t>
        </w:r>
      </w:hyperlink>
      <w:r w:rsidR="00B0403C">
        <w:rPr>
          <w:rFonts w:ascii="Times New Roman" w:hAnsi="Times New Roman" w:cs="Times New Roman"/>
          <w:sz w:val="24"/>
          <w:szCs w:val="24"/>
          <w:lang w:val="es-ES_tradnl"/>
        </w:rPr>
        <w:t>. “</w:t>
      </w:r>
      <w:r w:rsidR="00B0403C" w:rsidRPr="00992538">
        <w:rPr>
          <w:rFonts w:ascii="Times New Roman" w:hAnsi="Times New Roman" w:cs="Times New Roman"/>
          <w:sz w:val="24"/>
          <w:szCs w:val="24"/>
          <w:lang w:val="es-ES_tradnl"/>
        </w:rPr>
        <w:t>Participaciones preferentes y deuda subordinada. Acción de indemnización de daños y perjuicios por incumplimiento de los deberes contractuales por la entidad financiera. La existencia del daño como presupuesto de la responsabilidad civil. D</w:t>
      </w:r>
      <w:r w:rsidR="00B0403C">
        <w:rPr>
          <w:rFonts w:ascii="Times New Roman" w:hAnsi="Times New Roman" w:cs="Times New Roman"/>
          <w:sz w:val="24"/>
          <w:szCs w:val="24"/>
          <w:lang w:val="es-ES_tradnl"/>
        </w:rPr>
        <w:t xml:space="preserve">eterminación”. </w:t>
      </w:r>
    </w:p>
    <w:p w14:paraId="00E8BBCB" w14:textId="0D0065D9" w:rsidR="00716BDF" w:rsidRDefault="00716BDF" w:rsidP="009E6308">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Compraventa de vivienda hipotecada </w:t>
      </w:r>
    </w:p>
    <w:p w14:paraId="18099C7C" w14:textId="74FFF697" w:rsidR="00716BDF" w:rsidRPr="00716BDF" w:rsidRDefault="00E73D4B" w:rsidP="009E6308">
      <w:pPr>
        <w:spacing w:after="240"/>
        <w:jc w:val="both"/>
        <w:rPr>
          <w:rFonts w:ascii="Times New Roman" w:hAnsi="Times New Roman" w:cs="Times New Roman"/>
          <w:color w:val="000000" w:themeColor="text1"/>
          <w:sz w:val="24"/>
          <w:szCs w:val="24"/>
          <w:lang w:val="es-ES_tradnl"/>
        </w:rPr>
      </w:pPr>
      <w:hyperlink r:id="rId60" w:history="1">
        <w:r w:rsidR="00716BDF" w:rsidRPr="00E73D4B">
          <w:rPr>
            <w:rStyle w:val="Hipervnculo"/>
            <w:rFonts w:ascii="Times New Roman" w:hAnsi="Times New Roman" w:cs="Times New Roman"/>
            <w:sz w:val="24"/>
            <w:szCs w:val="24"/>
            <w:lang w:val="es-ES_tradnl"/>
          </w:rPr>
          <w:t>STS, Sala Primera, 642/2021, de 28 de septiembre de 2021</w:t>
        </w:r>
      </w:hyperlink>
      <w:r w:rsidR="00716BDF" w:rsidRPr="00716BDF">
        <w:rPr>
          <w:rFonts w:ascii="Times New Roman" w:hAnsi="Times New Roman" w:cs="Times New Roman"/>
          <w:color w:val="000000" w:themeColor="text1"/>
          <w:sz w:val="24"/>
          <w:szCs w:val="24"/>
          <w:lang w:val="es-ES_tradnl"/>
        </w:rPr>
        <w:t xml:space="preserve">. “Compraventa de finca hipotecada no cancelada económicamente sin subrogación del comprador. Inexistencia de pago a favor de tercero. Inaplicabilidad de la figura de la </w:t>
      </w:r>
      <w:proofErr w:type="spellStart"/>
      <w:r w:rsidR="00716BDF" w:rsidRPr="00B60EA5">
        <w:rPr>
          <w:rFonts w:ascii="Times New Roman" w:hAnsi="Times New Roman" w:cs="Times New Roman"/>
          <w:i/>
          <w:iCs/>
          <w:color w:val="000000" w:themeColor="text1"/>
          <w:sz w:val="24"/>
          <w:szCs w:val="24"/>
          <w:lang w:val="es-ES_tradnl"/>
        </w:rPr>
        <w:t>adiectus</w:t>
      </w:r>
      <w:proofErr w:type="spellEnd"/>
      <w:r w:rsidR="00716BDF" w:rsidRPr="00B60EA5">
        <w:rPr>
          <w:rFonts w:ascii="Times New Roman" w:hAnsi="Times New Roman" w:cs="Times New Roman"/>
          <w:i/>
          <w:iCs/>
          <w:color w:val="000000" w:themeColor="text1"/>
          <w:sz w:val="24"/>
          <w:szCs w:val="24"/>
          <w:lang w:val="es-ES_tradnl"/>
        </w:rPr>
        <w:t xml:space="preserve"> </w:t>
      </w:r>
      <w:proofErr w:type="spellStart"/>
      <w:r w:rsidR="00716BDF" w:rsidRPr="00B60EA5">
        <w:rPr>
          <w:rFonts w:ascii="Times New Roman" w:hAnsi="Times New Roman" w:cs="Times New Roman"/>
          <w:i/>
          <w:iCs/>
          <w:color w:val="000000" w:themeColor="text1"/>
          <w:sz w:val="24"/>
          <w:szCs w:val="24"/>
          <w:lang w:val="es-ES_tradnl"/>
        </w:rPr>
        <w:t>solutionis</w:t>
      </w:r>
      <w:proofErr w:type="spellEnd"/>
      <w:r w:rsidR="00716BDF" w:rsidRPr="00B60EA5">
        <w:rPr>
          <w:rFonts w:ascii="Times New Roman" w:hAnsi="Times New Roman" w:cs="Times New Roman"/>
          <w:i/>
          <w:iCs/>
          <w:color w:val="000000" w:themeColor="text1"/>
          <w:sz w:val="24"/>
          <w:szCs w:val="24"/>
          <w:lang w:val="es-ES_tradnl"/>
        </w:rPr>
        <w:t xml:space="preserve"> gratia</w:t>
      </w:r>
      <w:r w:rsidR="00716BDF" w:rsidRPr="00716BDF">
        <w:rPr>
          <w:rFonts w:ascii="Times New Roman" w:hAnsi="Times New Roman" w:cs="Times New Roman"/>
          <w:color w:val="000000" w:themeColor="text1"/>
          <w:sz w:val="24"/>
          <w:szCs w:val="24"/>
          <w:lang w:val="es-ES_tradnl"/>
        </w:rPr>
        <w:t xml:space="preserve"> y del pago liberatorio del art. 1164 CC”. </w:t>
      </w:r>
    </w:p>
    <w:p w14:paraId="19D9A0A2" w14:textId="2632AB77" w:rsidR="00036CB1" w:rsidRPr="009E6308" w:rsidRDefault="00036CB1" w:rsidP="009E6308">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Compraventa de vivienda. Devolución de anticipos </w:t>
      </w:r>
    </w:p>
    <w:p w14:paraId="40226DE6" w14:textId="0B922A0A" w:rsidR="00B0403C" w:rsidRDefault="00B60EA5" w:rsidP="00B0403C">
      <w:pPr>
        <w:spacing w:after="240"/>
        <w:jc w:val="both"/>
        <w:rPr>
          <w:rFonts w:ascii="Times New Roman" w:hAnsi="Times New Roman" w:cs="Times New Roman"/>
          <w:sz w:val="24"/>
          <w:szCs w:val="24"/>
          <w:lang w:val="es-ES_tradnl"/>
        </w:rPr>
      </w:pPr>
      <w:hyperlink r:id="rId61" w:history="1">
        <w:r w:rsidR="00B0403C" w:rsidRPr="00B60EA5">
          <w:rPr>
            <w:rStyle w:val="Hipervnculo"/>
            <w:rFonts w:ascii="Times New Roman" w:hAnsi="Times New Roman" w:cs="Times New Roman"/>
            <w:sz w:val="24"/>
            <w:szCs w:val="24"/>
            <w:lang w:val="es-ES_tradnl"/>
          </w:rPr>
          <w:t>STS, Sala Primera, 546/2021, de 19 de julio de 2021</w:t>
        </w:r>
      </w:hyperlink>
      <w:r w:rsidR="00B0403C">
        <w:rPr>
          <w:rFonts w:ascii="Times New Roman" w:hAnsi="Times New Roman" w:cs="Times New Roman"/>
          <w:sz w:val="24"/>
          <w:szCs w:val="24"/>
          <w:lang w:val="es-ES_tradnl"/>
        </w:rPr>
        <w:t>. “</w:t>
      </w:r>
      <w:r w:rsidR="00B0403C" w:rsidRPr="00F1056F">
        <w:rPr>
          <w:rFonts w:ascii="Times New Roman" w:hAnsi="Times New Roman" w:cs="Times New Roman"/>
          <w:sz w:val="24"/>
          <w:szCs w:val="24"/>
          <w:lang w:val="es-ES_tradnl"/>
        </w:rPr>
        <w:t>Responsabilidad de la entidad avalista por las cantidades anticipadas por los comprador</w:t>
      </w:r>
      <w:r w:rsidR="00B0403C">
        <w:rPr>
          <w:rFonts w:ascii="Times New Roman" w:hAnsi="Times New Roman" w:cs="Times New Roman"/>
          <w:sz w:val="24"/>
          <w:szCs w:val="24"/>
          <w:lang w:val="es-ES_tradnl"/>
        </w:rPr>
        <w:t xml:space="preserve">es de viviendas en construcción”. </w:t>
      </w:r>
    </w:p>
    <w:p w14:paraId="03DED8F0" w14:textId="5BB10CDF" w:rsidR="00B0403C" w:rsidRDefault="00B60EA5" w:rsidP="00B0403C">
      <w:pPr>
        <w:spacing w:after="240"/>
        <w:jc w:val="both"/>
        <w:rPr>
          <w:rFonts w:ascii="Times New Roman" w:hAnsi="Times New Roman" w:cs="Times New Roman"/>
          <w:sz w:val="24"/>
          <w:szCs w:val="24"/>
          <w:lang w:val="es-ES_tradnl"/>
        </w:rPr>
      </w:pPr>
      <w:hyperlink r:id="rId62" w:history="1">
        <w:r w:rsidR="00B0403C" w:rsidRPr="00B60EA5">
          <w:rPr>
            <w:rStyle w:val="Hipervnculo"/>
            <w:rFonts w:ascii="Times New Roman" w:hAnsi="Times New Roman" w:cs="Times New Roman"/>
            <w:sz w:val="24"/>
            <w:szCs w:val="24"/>
            <w:lang w:val="es-ES_tradnl"/>
          </w:rPr>
          <w:t>STS, Sala Primera, 573/2021, de 26 de julio de 2021</w:t>
        </w:r>
      </w:hyperlink>
      <w:r w:rsidR="00B0403C">
        <w:rPr>
          <w:rFonts w:ascii="Times New Roman" w:hAnsi="Times New Roman" w:cs="Times New Roman"/>
          <w:sz w:val="24"/>
          <w:szCs w:val="24"/>
          <w:lang w:val="es-ES_tradnl"/>
        </w:rPr>
        <w:t>. “</w:t>
      </w:r>
      <w:r w:rsidR="00B0403C" w:rsidRPr="00992538">
        <w:rPr>
          <w:rFonts w:ascii="Times New Roman" w:hAnsi="Times New Roman" w:cs="Times New Roman"/>
          <w:sz w:val="24"/>
          <w:szCs w:val="24"/>
          <w:lang w:val="es-ES_tradnl"/>
        </w:rPr>
        <w:t>Ley 57/68. Restitución de cantidades anticipadas por los compradores de viviendas en construcción. Fina</w:t>
      </w:r>
      <w:r w:rsidR="00B0403C">
        <w:rPr>
          <w:rFonts w:ascii="Times New Roman" w:hAnsi="Times New Roman" w:cs="Times New Roman"/>
          <w:sz w:val="24"/>
          <w:szCs w:val="24"/>
          <w:lang w:val="es-ES_tradnl"/>
        </w:rPr>
        <w:t xml:space="preserve">lidad especulativa de la compra”. </w:t>
      </w:r>
    </w:p>
    <w:p w14:paraId="17353480" w14:textId="0F615273" w:rsidR="00B0403C" w:rsidRPr="00992538" w:rsidRDefault="00B60EA5" w:rsidP="00B0403C">
      <w:pPr>
        <w:spacing w:after="240"/>
        <w:jc w:val="both"/>
        <w:rPr>
          <w:rFonts w:ascii="Times New Roman" w:hAnsi="Times New Roman" w:cs="Times New Roman"/>
          <w:sz w:val="24"/>
          <w:szCs w:val="24"/>
          <w:lang w:val="es-ES_tradnl"/>
        </w:rPr>
      </w:pPr>
      <w:hyperlink r:id="rId63" w:history="1">
        <w:r w:rsidR="00B0403C" w:rsidRPr="00B60EA5">
          <w:rPr>
            <w:rStyle w:val="Hipervnculo"/>
            <w:rFonts w:ascii="Times New Roman" w:hAnsi="Times New Roman" w:cs="Times New Roman"/>
            <w:sz w:val="24"/>
            <w:szCs w:val="24"/>
            <w:lang w:val="es-ES_tradnl"/>
          </w:rPr>
          <w:t>STS, Sala Primera, 574/2021, de 26 de julio de 2021</w:t>
        </w:r>
      </w:hyperlink>
      <w:r w:rsidR="00B0403C">
        <w:rPr>
          <w:rFonts w:ascii="Times New Roman" w:hAnsi="Times New Roman" w:cs="Times New Roman"/>
          <w:sz w:val="24"/>
          <w:szCs w:val="24"/>
          <w:lang w:val="es-ES_tradnl"/>
        </w:rPr>
        <w:t>. “</w:t>
      </w:r>
      <w:r w:rsidR="00B0403C" w:rsidRPr="00A63896">
        <w:rPr>
          <w:rFonts w:ascii="Times New Roman" w:hAnsi="Times New Roman" w:cs="Times New Roman"/>
          <w:sz w:val="24"/>
          <w:szCs w:val="24"/>
          <w:lang w:val="es-ES_tradnl"/>
        </w:rPr>
        <w:t>Compraventa de viviendas para uso residencial. Ley 57/1968. La entidad de crédito que no es garante solo responde por las cantidades anticipadas que se ingresaran en una cuenta d</w:t>
      </w:r>
      <w:r w:rsidR="00B0403C">
        <w:rPr>
          <w:rFonts w:ascii="Times New Roman" w:hAnsi="Times New Roman" w:cs="Times New Roman"/>
          <w:sz w:val="24"/>
          <w:szCs w:val="24"/>
          <w:lang w:val="es-ES_tradnl"/>
        </w:rPr>
        <w:t xml:space="preserve">e la promotora en dicha entidad”. </w:t>
      </w:r>
    </w:p>
    <w:p w14:paraId="6F2BC6A6" w14:textId="38C0DF5C" w:rsidR="00B0403C" w:rsidRDefault="00B60EA5" w:rsidP="00B0403C">
      <w:pPr>
        <w:spacing w:after="240"/>
        <w:jc w:val="both"/>
        <w:rPr>
          <w:rFonts w:ascii="Times New Roman" w:hAnsi="Times New Roman" w:cs="Times New Roman"/>
          <w:sz w:val="24"/>
          <w:szCs w:val="24"/>
          <w:lang w:val="es-ES_tradnl"/>
        </w:rPr>
      </w:pPr>
      <w:hyperlink r:id="rId64" w:history="1">
        <w:r w:rsidR="00B0403C" w:rsidRPr="00B60EA5">
          <w:rPr>
            <w:rStyle w:val="Hipervnculo"/>
            <w:rFonts w:ascii="Times New Roman" w:hAnsi="Times New Roman" w:cs="Times New Roman"/>
            <w:sz w:val="24"/>
            <w:szCs w:val="24"/>
            <w:lang w:val="es-ES_tradnl"/>
          </w:rPr>
          <w:t>STS, Sala Primera, 595/2021, de 13 de septiembre de 2021</w:t>
        </w:r>
      </w:hyperlink>
      <w:r w:rsidR="00B0403C">
        <w:rPr>
          <w:rFonts w:ascii="Times New Roman" w:hAnsi="Times New Roman" w:cs="Times New Roman"/>
          <w:sz w:val="24"/>
          <w:szCs w:val="24"/>
          <w:lang w:val="es-ES_tradnl"/>
        </w:rPr>
        <w:t>. “</w:t>
      </w:r>
      <w:r w:rsidR="00B0403C" w:rsidRPr="00F9146F">
        <w:rPr>
          <w:rFonts w:ascii="Times New Roman" w:hAnsi="Times New Roman" w:cs="Times New Roman"/>
          <w:sz w:val="24"/>
          <w:szCs w:val="24"/>
          <w:lang w:val="es-ES_tradnl"/>
        </w:rPr>
        <w:t>Ley 57/1968. Póliza para garantizar la devolución de cantidades entregadas a cuenta. Responsabilidad de la avalista por el total de las cantidades anticipadas por pagos previstos en el contrato, aunque se hicieran en efect</w:t>
      </w:r>
      <w:r w:rsidR="00B0403C">
        <w:rPr>
          <w:rFonts w:ascii="Times New Roman" w:hAnsi="Times New Roman" w:cs="Times New Roman"/>
          <w:sz w:val="24"/>
          <w:szCs w:val="24"/>
          <w:lang w:val="es-ES_tradnl"/>
        </w:rPr>
        <w:t xml:space="preserve">ivo y no se ingresara en cuenta”. </w:t>
      </w:r>
    </w:p>
    <w:p w14:paraId="7D70B853" w14:textId="14341DF3" w:rsidR="00B0403C" w:rsidRDefault="00B60EA5" w:rsidP="00B0403C">
      <w:pPr>
        <w:spacing w:after="240"/>
        <w:jc w:val="both"/>
        <w:rPr>
          <w:rFonts w:ascii="Times New Roman" w:hAnsi="Times New Roman" w:cs="Times New Roman"/>
          <w:sz w:val="24"/>
          <w:szCs w:val="24"/>
          <w:lang w:val="es-ES_tradnl"/>
        </w:rPr>
      </w:pPr>
      <w:hyperlink r:id="rId65" w:history="1">
        <w:r w:rsidR="00B0403C" w:rsidRPr="00B60EA5">
          <w:rPr>
            <w:rStyle w:val="Hipervnculo"/>
            <w:rFonts w:ascii="Times New Roman" w:hAnsi="Times New Roman" w:cs="Times New Roman"/>
            <w:sz w:val="24"/>
            <w:szCs w:val="24"/>
            <w:lang w:val="es-ES_tradnl"/>
          </w:rPr>
          <w:t>STS, Sala Primera, 596/2021, de 13 de septiembre de 2021</w:t>
        </w:r>
      </w:hyperlink>
      <w:r w:rsidR="00B0403C">
        <w:rPr>
          <w:rFonts w:ascii="Times New Roman" w:hAnsi="Times New Roman" w:cs="Times New Roman"/>
          <w:sz w:val="24"/>
          <w:szCs w:val="24"/>
          <w:lang w:val="es-ES_tradnl"/>
        </w:rPr>
        <w:t>. “</w:t>
      </w:r>
      <w:r w:rsidR="00B0403C" w:rsidRPr="00F9146F">
        <w:rPr>
          <w:rFonts w:ascii="Times New Roman" w:hAnsi="Times New Roman" w:cs="Times New Roman"/>
          <w:sz w:val="24"/>
          <w:szCs w:val="24"/>
          <w:lang w:val="es-ES_tradnl"/>
        </w:rPr>
        <w:t>Ley 57/1968. Póliza colectiva para garantizar la devolución de las cantidades entregadas a cuenta. Falta de emisión de los certificados individuales. Responsabilidad de la entidad avalista por el total de las cantidad</w:t>
      </w:r>
      <w:r w:rsidR="00B0403C">
        <w:rPr>
          <w:rFonts w:ascii="Times New Roman" w:hAnsi="Times New Roman" w:cs="Times New Roman"/>
          <w:sz w:val="24"/>
          <w:szCs w:val="24"/>
          <w:lang w:val="es-ES_tradnl"/>
        </w:rPr>
        <w:t xml:space="preserve">es anticipadas por el comprador”. </w:t>
      </w:r>
    </w:p>
    <w:p w14:paraId="685C4940" w14:textId="6DEA19C7" w:rsidR="00B0403C" w:rsidRDefault="00B60EA5" w:rsidP="00B0403C">
      <w:pPr>
        <w:spacing w:after="240"/>
        <w:jc w:val="both"/>
        <w:rPr>
          <w:rFonts w:ascii="Times New Roman" w:hAnsi="Times New Roman" w:cs="Times New Roman"/>
          <w:sz w:val="24"/>
          <w:szCs w:val="24"/>
          <w:lang w:val="es-ES_tradnl"/>
        </w:rPr>
      </w:pPr>
      <w:hyperlink r:id="rId66" w:history="1">
        <w:r w:rsidR="00B0403C" w:rsidRPr="00B60EA5">
          <w:rPr>
            <w:rStyle w:val="Hipervnculo"/>
            <w:rFonts w:ascii="Times New Roman" w:hAnsi="Times New Roman" w:cs="Times New Roman"/>
            <w:sz w:val="24"/>
            <w:szCs w:val="24"/>
            <w:lang w:val="es-ES_tradnl"/>
          </w:rPr>
          <w:t>STS, Sala Primera, 598/2021, de 13 de septiembre de 2021</w:t>
        </w:r>
      </w:hyperlink>
      <w:r w:rsidR="00B0403C">
        <w:rPr>
          <w:rFonts w:ascii="Times New Roman" w:hAnsi="Times New Roman" w:cs="Times New Roman"/>
          <w:sz w:val="24"/>
          <w:szCs w:val="24"/>
          <w:lang w:val="es-ES_tradnl"/>
        </w:rPr>
        <w:t>. “</w:t>
      </w:r>
      <w:r w:rsidR="00B0403C" w:rsidRPr="00F9146F">
        <w:rPr>
          <w:rFonts w:ascii="Times New Roman" w:hAnsi="Times New Roman" w:cs="Times New Roman"/>
          <w:sz w:val="24"/>
          <w:szCs w:val="24"/>
          <w:lang w:val="es-ES_tradnl"/>
        </w:rPr>
        <w:t xml:space="preserve">Ley 57/1968. Póliza colectiva para garantizar la devolución de las cantidades entregadas a cuenta. Falta de </w:t>
      </w:r>
      <w:r w:rsidR="00B0403C" w:rsidRPr="00F9146F">
        <w:rPr>
          <w:rFonts w:ascii="Times New Roman" w:hAnsi="Times New Roman" w:cs="Times New Roman"/>
          <w:sz w:val="24"/>
          <w:szCs w:val="24"/>
          <w:lang w:val="es-ES_tradnl"/>
        </w:rPr>
        <w:lastRenderedPageBreak/>
        <w:t>emisión de certificados individuales. Responsabilidad de la entidad avalista por el total de las cantidades antic</w:t>
      </w:r>
      <w:r w:rsidR="00B0403C">
        <w:rPr>
          <w:rFonts w:ascii="Times New Roman" w:hAnsi="Times New Roman" w:cs="Times New Roman"/>
          <w:sz w:val="24"/>
          <w:szCs w:val="24"/>
          <w:lang w:val="es-ES_tradnl"/>
        </w:rPr>
        <w:t xml:space="preserve">ipadas previstas en el contrato”. </w:t>
      </w:r>
    </w:p>
    <w:p w14:paraId="1455F19A" w14:textId="245113FF" w:rsidR="00B0403C" w:rsidRPr="006F7400" w:rsidRDefault="00B60EA5" w:rsidP="00992FE4">
      <w:pPr>
        <w:spacing w:after="240"/>
        <w:jc w:val="both"/>
        <w:rPr>
          <w:rFonts w:ascii="Times New Roman" w:hAnsi="Times New Roman" w:cs="Times New Roman"/>
          <w:sz w:val="24"/>
          <w:szCs w:val="24"/>
          <w:lang w:val="es-ES_tradnl"/>
        </w:rPr>
      </w:pPr>
      <w:hyperlink r:id="rId67" w:history="1">
        <w:r w:rsidR="00B0403C" w:rsidRPr="00B60EA5">
          <w:rPr>
            <w:rStyle w:val="Hipervnculo"/>
            <w:rFonts w:ascii="Times New Roman" w:hAnsi="Times New Roman" w:cs="Times New Roman"/>
            <w:sz w:val="24"/>
            <w:szCs w:val="24"/>
            <w:lang w:val="es-ES_tradnl"/>
          </w:rPr>
          <w:t>STS, Sala Primera, 623/2021, de 22 de septiembre de 2021</w:t>
        </w:r>
      </w:hyperlink>
      <w:r w:rsidR="00B0403C">
        <w:rPr>
          <w:rFonts w:ascii="Times New Roman" w:hAnsi="Times New Roman" w:cs="Times New Roman"/>
          <w:sz w:val="24"/>
          <w:szCs w:val="24"/>
          <w:lang w:val="es-ES_tradnl"/>
        </w:rPr>
        <w:t>. “</w:t>
      </w:r>
      <w:r w:rsidR="00B0403C" w:rsidRPr="0004700D">
        <w:rPr>
          <w:rFonts w:ascii="Times New Roman" w:hAnsi="Times New Roman" w:cs="Times New Roman"/>
          <w:sz w:val="24"/>
          <w:szCs w:val="24"/>
          <w:lang w:val="es-ES_tradnl"/>
        </w:rPr>
        <w:t>Ley 57/1968. Póliza colectiva para garantizar la devolución de cantidades entregadas a cuenta. Responsabilidad de la avalista por el total de las cantidades anticipadas por los compradores correspondientes a pagos previstos en el contrato</w:t>
      </w:r>
      <w:r w:rsidR="00B0403C">
        <w:rPr>
          <w:rFonts w:ascii="Times New Roman" w:hAnsi="Times New Roman" w:cs="Times New Roman"/>
          <w:sz w:val="24"/>
          <w:szCs w:val="24"/>
          <w:lang w:val="es-ES_tradnl"/>
        </w:rPr>
        <w:t xml:space="preserve">. Intereses”. </w:t>
      </w:r>
    </w:p>
    <w:p w14:paraId="2A4D621B" w14:textId="2C3111F4" w:rsidR="00B60EA5" w:rsidRDefault="001C6BB5" w:rsidP="00B60EA5">
      <w:pPr>
        <w:spacing w:after="240"/>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A</w:t>
      </w:r>
      <w:r w:rsidR="00B60EA5">
        <w:rPr>
          <w:rFonts w:ascii="Times New Roman" w:hAnsi="Times New Roman" w:cs="Times New Roman"/>
          <w:b/>
          <w:sz w:val="24"/>
          <w:szCs w:val="24"/>
          <w:lang w:val="es-ES_tradnl"/>
        </w:rPr>
        <w:t xml:space="preserve">rrendamiento de vivienda </w:t>
      </w:r>
    </w:p>
    <w:p w14:paraId="75B96AF7" w14:textId="77777777" w:rsidR="00B60EA5" w:rsidRPr="00EC1131" w:rsidRDefault="00B60EA5" w:rsidP="00B60EA5">
      <w:pPr>
        <w:spacing w:after="240"/>
        <w:jc w:val="both"/>
        <w:rPr>
          <w:rFonts w:ascii="Times New Roman" w:hAnsi="Times New Roman" w:cs="Times New Roman"/>
          <w:bCs/>
          <w:sz w:val="24"/>
          <w:szCs w:val="24"/>
        </w:rPr>
      </w:pPr>
      <w:hyperlink r:id="rId68" w:history="1">
        <w:r w:rsidRPr="00EC1131">
          <w:rPr>
            <w:rStyle w:val="Hipervnculo"/>
            <w:rFonts w:ascii="Times New Roman" w:hAnsi="Times New Roman" w:cs="Times New Roman"/>
            <w:bCs/>
            <w:sz w:val="24"/>
            <w:szCs w:val="24"/>
            <w:lang w:val="es-ES_tradnl"/>
          </w:rPr>
          <w:t>STS, Sala Primera, 628/2021, de 27 de septiembre de 2021</w:t>
        </w:r>
      </w:hyperlink>
      <w:r>
        <w:rPr>
          <w:rFonts w:ascii="Times New Roman" w:hAnsi="Times New Roman" w:cs="Times New Roman"/>
          <w:bCs/>
          <w:sz w:val="24"/>
          <w:szCs w:val="24"/>
          <w:lang w:val="es-ES_tradnl"/>
        </w:rPr>
        <w:t>. “</w:t>
      </w:r>
      <w:r w:rsidRPr="00EC1131">
        <w:rPr>
          <w:rFonts w:ascii="Times New Roman" w:hAnsi="Times New Roman" w:cs="Times New Roman"/>
          <w:bCs/>
          <w:sz w:val="24"/>
          <w:szCs w:val="24"/>
        </w:rPr>
        <w:t>Arrendamiento de vivienda. Subrogación. Buena fe. Conocimiento por el arrendador del fallecimiento del arrendatario</w:t>
      </w:r>
      <w:r>
        <w:rPr>
          <w:rFonts w:ascii="Times New Roman" w:hAnsi="Times New Roman" w:cs="Times New Roman"/>
          <w:bCs/>
          <w:sz w:val="24"/>
          <w:szCs w:val="24"/>
        </w:rPr>
        <w:t xml:space="preserve">”. </w:t>
      </w:r>
    </w:p>
    <w:p w14:paraId="59965F2C" w14:textId="17B68122" w:rsidR="00A63896" w:rsidRDefault="001C6BB5" w:rsidP="00992FE4">
      <w:pPr>
        <w:spacing w:after="240"/>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Compraventa de vehículo</w:t>
      </w:r>
      <w:r w:rsidR="00D332A9">
        <w:rPr>
          <w:rFonts w:ascii="Times New Roman" w:hAnsi="Times New Roman" w:cs="Times New Roman"/>
          <w:b/>
          <w:sz w:val="24"/>
          <w:szCs w:val="24"/>
          <w:lang w:val="es-ES_tradnl"/>
        </w:rPr>
        <w:t>s</w:t>
      </w:r>
      <w:r>
        <w:rPr>
          <w:rFonts w:ascii="Times New Roman" w:hAnsi="Times New Roman" w:cs="Times New Roman"/>
          <w:b/>
          <w:sz w:val="24"/>
          <w:szCs w:val="24"/>
          <w:lang w:val="es-ES_tradnl"/>
        </w:rPr>
        <w:t xml:space="preserve">. </w:t>
      </w:r>
      <w:r w:rsidR="00A63896">
        <w:rPr>
          <w:rFonts w:ascii="Times New Roman" w:hAnsi="Times New Roman" w:cs="Times New Roman"/>
          <w:b/>
          <w:sz w:val="24"/>
          <w:szCs w:val="24"/>
          <w:lang w:val="es-ES_tradnl"/>
        </w:rPr>
        <w:t xml:space="preserve">Responsabilidad </w:t>
      </w:r>
      <w:r w:rsidR="00964889">
        <w:rPr>
          <w:rFonts w:ascii="Times New Roman" w:hAnsi="Times New Roman" w:cs="Times New Roman"/>
          <w:b/>
          <w:sz w:val="24"/>
          <w:szCs w:val="24"/>
          <w:lang w:val="es-ES_tradnl"/>
        </w:rPr>
        <w:t xml:space="preserve">del fabricante </w:t>
      </w:r>
      <w:r w:rsidR="00A63896">
        <w:rPr>
          <w:rFonts w:ascii="Times New Roman" w:hAnsi="Times New Roman" w:cs="Times New Roman"/>
          <w:b/>
          <w:sz w:val="24"/>
          <w:szCs w:val="24"/>
          <w:lang w:val="es-ES_tradnl"/>
        </w:rPr>
        <w:t xml:space="preserve"> </w:t>
      </w:r>
    </w:p>
    <w:p w14:paraId="78CDF3EC" w14:textId="2E32109F" w:rsidR="00A63896" w:rsidRPr="00A63896" w:rsidRDefault="00B60EA5" w:rsidP="00992FE4">
      <w:pPr>
        <w:spacing w:after="240"/>
        <w:jc w:val="both"/>
        <w:rPr>
          <w:rFonts w:ascii="Times New Roman" w:hAnsi="Times New Roman" w:cs="Times New Roman"/>
          <w:sz w:val="24"/>
          <w:szCs w:val="24"/>
          <w:lang w:val="es-ES_tradnl"/>
        </w:rPr>
      </w:pPr>
      <w:hyperlink r:id="rId69" w:history="1">
        <w:r w:rsidR="00A63896" w:rsidRPr="00B60EA5">
          <w:rPr>
            <w:rStyle w:val="Hipervnculo"/>
            <w:rFonts w:ascii="Times New Roman" w:hAnsi="Times New Roman" w:cs="Times New Roman"/>
            <w:sz w:val="24"/>
            <w:szCs w:val="24"/>
            <w:lang w:val="es-ES_tradnl"/>
          </w:rPr>
          <w:t>STS, Sala Primera, 561/2021, de 23 de julio de 2021</w:t>
        </w:r>
      </w:hyperlink>
      <w:r w:rsidR="00A63896">
        <w:rPr>
          <w:rFonts w:ascii="Times New Roman" w:hAnsi="Times New Roman" w:cs="Times New Roman"/>
          <w:sz w:val="24"/>
          <w:szCs w:val="24"/>
          <w:lang w:val="es-ES_tradnl"/>
        </w:rPr>
        <w:t>. “</w:t>
      </w:r>
      <w:r w:rsidR="00A63896" w:rsidRPr="00A63896">
        <w:rPr>
          <w:rFonts w:ascii="Times New Roman" w:hAnsi="Times New Roman" w:cs="Times New Roman"/>
          <w:sz w:val="24"/>
          <w:szCs w:val="24"/>
          <w:lang w:val="es-ES_tradnl"/>
        </w:rPr>
        <w:t>Exigencia de indemnización por la instalación de un dispositivo fraudulento que manipula el control de la emisión de gases contaminantes de un vehículo. Actos propios de la sociedad distribuidora y que presta el servicio postventa, al asumir frente a los clientes españoles la responsabilidad del fabricante, que es su sociedad matriz. Relatividad de los contratos: exigencia de responsabilidad contractual frente al fabricante que no es parte en el contrato de compraventa. Indemnización de daños morales: la imputación objetiva exige un incumplimiento doloso en los contratos de contenido meramente patrimonial</w:t>
      </w:r>
      <w:r w:rsidR="00A63896">
        <w:rPr>
          <w:rFonts w:ascii="Times New Roman" w:hAnsi="Times New Roman" w:cs="Times New Roman"/>
          <w:sz w:val="24"/>
          <w:szCs w:val="24"/>
          <w:lang w:val="es-ES_tradnl"/>
        </w:rPr>
        <w:t xml:space="preserve">”. </w:t>
      </w:r>
    </w:p>
    <w:p w14:paraId="12EFAD41" w14:textId="77777777" w:rsidR="001C6BB5" w:rsidRDefault="001C6BB5" w:rsidP="001C6BB5">
      <w:pPr>
        <w:spacing w:after="240"/>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Contrato de seguro</w:t>
      </w:r>
    </w:p>
    <w:p w14:paraId="0FD64333" w14:textId="77777777" w:rsidR="001C6BB5" w:rsidRPr="00E73D4B" w:rsidRDefault="001C6BB5" w:rsidP="001C6BB5">
      <w:pPr>
        <w:spacing w:after="240"/>
        <w:jc w:val="both"/>
        <w:rPr>
          <w:rFonts w:ascii="Times New Roman" w:hAnsi="Times New Roman" w:cs="Times New Roman"/>
          <w:bCs/>
          <w:sz w:val="24"/>
          <w:szCs w:val="24"/>
        </w:rPr>
      </w:pPr>
      <w:hyperlink r:id="rId70" w:history="1">
        <w:r w:rsidRPr="001C6BB5">
          <w:rPr>
            <w:rStyle w:val="Hipervnculo"/>
            <w:rFonts w:ascii="Times New Roman" w:hAnsi="Times New Roman" w:cs="Times New Roman"/>
            <w:bCs/>
            <w:sz w:val="24"/>
            <w:szCs w:val="24"/>
            <w:lang w:val="es-ES_tradnl"/>
          </w:rPr>
          <w:t>STS, Sala Primera, 636/2021, de 27 de septiembre de</w:t>
        </w:r>
        <w:r w:rsidRPr="001C6BB5">
          <w:rPr>
            <w:rStyle w:val="Hipervnculo"/>
            <w:rFonts w:ascii="Times New Roman" w:hAnsi="Times New Roman" w:cs="Times New Roman"/>
            <w:bCs/>
            <w:sz w:val="24"/>
            <w:szCs w:val="24"/>
            <w:lang w:val="es-ES_tradnl"/>
          </w:rPr>
          <w:t xml:space="preserve"> </w:t>
        </w:r>
        <w:r w:rsidRPr="001C6BB5">
          <w:rPr>
            <w:rStyle w:val="Hipervnculo"/>
            <w:rFonts w:ascii="Times New Roman" w:hAnsi="Times New Roman" w:cs="Times New Roman"/>
            <w:bCs/>
            <w:sz w:val="24"/>
            <w:szCs w:val="24"/>
            <w:lang w:val="es-ES_tradnl"/>
          </w:rPr>
          <w:t>2021.</w:t>
        </w:r>
      </w:hyperlink>
      <w:r>
        <w:rPr>
          <w:rFonts w:ascii="Times New Roman" w:hAnsi="Times New Roman" w:cs="Times New Roman"/>
          <w:bCs/>
          <w:sz w:val="24"/>
          <w:szCs w:val="24"/>
          <w:lang w:val="es-ES_tradnl"/>
        </w:rPr>
        <w:t xml:space="preserve"> “</w:t>
      </w:r>
      <w:r w:rsidRPr="00E73D4B">
        <w:rPr>
          <w:rFonts w:ascii="Times New Roman" w:hAnsi="Times New Roman" w:cs="Times New Roman"/>
          <w:bCs/>
          <w:sz w:val="24"/>
          <w:szCs w:val="24"/>
        </w:rPr>
        <w:t>Cobertura del seguro de defensa jurídica. Reclamación contra la propia aseguradora. Cobertura de los gastos procesales</w:t>
      </w:r>
      <w:r>
        <w:rPr>
          <w:rFonts w:ascii="Times New Roman" w:hAnsi="Times New Roman" w:cs="Times New Roman"/>
          <w:bCs/>
          <w:sz w:val="24"/>
          <w:szCs w:val="24"/>
        </w:rPr>
        <w:t xml:space="preserve">”. </w:t>
      </w:r>
    </w:p>
    <w:p w14:paraId="6FF08145" w14:textId="05440BCE" w:rsidR="001C6BB5" w:rsidRDefault="001C6BB5" w:rsidP="001C6BB5">
      <w:pPr>
        <w:spacing w:after="240"/>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Contrato de transporte. Cláusulas abusivas </w:t>
      </w:r>
    </w:p>
    <w:p w14:paraId="789C1FBC" w14:textId="77777777" w:rsidR="001C6BB5" w:rsidRDefault="001C6BB5" w:rsidP="001C6BB5">
      <w:pPr>
        <w:spacing w:after="240"/>
        <w:jc w:val="both"/>
        <w:rPr>
          <w:rFonts w:ascii="Times New Roman" w:hAnsi="Times New Roman" w:cs="Times New Roman"/>
          <w:sz w:val="24"/>
          <w:szCs w:val="24"/>
          <w:lang w:val="es-ES_tradnl"/>
        </w:rPr>
      </w:pPr>
      <w:hyperlink r:id="rId71" w:history="1">
        <w:r w:rsidRPr="00B60EA5">
          <w:rPr>
            <w:rStyle w:val="Hipervnculo"/>
            <w:rFonts w:ascii="Times New Roman" w:hAnsi="Times New Roman" w:cs="Times New Roman"/>
            <w:sz w:val="24"/>
            <w:szCs w:val="24"/>
            <w:lang w:val="es-ES_tradnl"/>
          </w:rPr>
          <w:t>STS, Sala Primera, 554/2021, de 20 de julio de 2021</w:t>
        </w:r>
      </w:hyperlink>
      <w:r>
        <w:rPr>
          <w:rFonts w:ascii="Times New Roman" w:hAnsi="Times New Roman" w:cs="Times New Roman"/>
          <w:sz w:val="24"/>
          <w:szCs w:val="24"/>
          <w:lang w:val="es-ES_tradnl"/>
        </w:rPr>
        <w:t>. “</w:t>
      </w:r>
      <w:r w:rsidRPr="00F1056F">
        <w:rPr>
          <w:rFonts w:ascii="Times New Roman" w:hAnsi="Times New Roman" w:cs="Times New Roman"/>
          <w:sz w:val="24"/>
          <w:szCs w:val="24"/>
          <w:lang w:val="es-ES_tradnl"/>
        </w:rPr>
        <w:t>Condiciones generales de la contratación. Contrato de transporte aéreo de pasajeros. Cláusulas abusivas. Cláusula de ley aplicable. Cláusulas sobre denegación de transporte o envío del equipaje en otro vuelo. Preci</w:t>
      </w:r>
      <w:r>
        <w:rPr>
          <w:rFonts w:ascii="Times New Roman" w:hAnsi="Times New Roman" w:cs="Times New Roman"/>
          <w:sz w:val="24"/>
          <w:szCs w:val="24"/>
          <w:lang w:val="es-ES_tradnl"/>
        </w:rPr>
        <w:t xml:space="preserve">o del billete. Pago en metálico”. </w:t>
      </w:r>
    </w:p>
    <w:p w14:paraId="13F69600" w14:textId="77777777" w:rsidR="0029550E" w:rsidRDefault="0029550E" w:rsidP="0029550E">
      <w:pPr>
        <w:spacing w:after="240"/>
        <w:jc w:val="both"/>
        <w:rPr>
          <w:rFonts w:ascii="Times New Roman" w:hAnsi="Times New Roman" w:cs="Times New Roman"/>
          <w:b/>
          <w:bCs/>
          <w:sz w:val="24"/>
          <w:szCs w:val="24"/>
        </w:rPr>
      </w:pPr>
      <w:r>
        <w:rPr>
          <w:rFonts w:ascii="Times New Roman" w:hAnsi="Times New Roman" w:cs="Times New Roman"/>
          <w:b/>
          <w:bCs/>
          <w:sz w:val="24"/>
          <w:szCs w:val="24"/>
        </w:rPr>
        <w:t>Responsabilidad patrimonial del Estado. Error judicial</w:t>
      </w:r>
    </w:p>
    <w:p w14:paraId="75E54015" w14:textId="6E6ED971" w:rsidR="0029550E" w:rsidRDefault="0029550E" w:rsidP="0029550E">
      <w:pPr>
        <w:spacing w:after="240"/>
        <w:jc w:val="both"/>
        <w:rPr>
          <w:rFonts w:ascii="Times New Roman" w:hAnsi="Times New Roman" w:cs="Times New Roman"/>
          <w:color w:val="000000" w:themeColor="text1"/>
          <w:sz w:val="24"/>
          <w:szCs w:val="24"/>
          <w:lang w:val="es-ES_tradnl"/>
        </w:rPr>
      </w:pPr>
      <w:hyperlink r:id="rId72" w:history="1">
        <w:r w:rsidRPr="00406207">
          <w:rPr>
            <w:rStyle w:val="Hipervnculo"/>
            <w:rFonts w:ascii="Times New Roman" w:hAnsi="Times New Roman" w:cs="Times New Roman"/>
            <w:sz w:val="24"/>
            <w:szCs w:val="24"/>
          </w:rPr>
          <w:t xml:space="preserve">STS, Sala Primera, 630/2021, de 27 de </w:t>
        </w:r>
        <w:r w:rsidRPr="00406207">
          <w:rPr>
            <w:rStyle w:val="Hipervnculo"/>
            <w:rFonts w:ascii="Times New Roman" w:hAnsi="Times New Roman" w:cs="Times New Roman"/>
            <w:sz w:val="24"/>
            <w:szCs w:val="24"/>
          </w:rPr>
          <w:t>s</w:t>
        </w:r>
        <w:r w:rsidRPr="00406207">
          <w:rPr>
            <w:rStyle w:val="Hipervnculo"/>
            <w:rFonts w:ascii="Times New Roman" w:hAnsi="Times New Roman" w:cs="Times New Roman"/>
            <w:sz w:val="24"/>
            <w:szCs w:val="24"/>
          </w:rPr>
          <w:t>eptiembre de 2021.</w:t>
        </w:r>
      </w:hyperlink>
      <w:r w:rsidRPr="00750159">
        <w:rPr>
          <w:rFonts w:ascii="Times New Roman" w:hAnsi="Times New Roman" w:cs="Times New Roman"/>
          <w:color w:val="000000" w:themeColor="text1"/>
          <w:sz w:val="24"/>
          <w:szCs w:val="24"/>
        </w:rPr>
        <w:t xml:space="preserve"> “</w:t>
      </w:r>
      <w:r w:rsidRPr="00750159">
        <w:rPr>
          <w:rFonts w:ascii="Times New Roman" w:hAnsi="Times New Roman" w:cs="Times New Roman"/>
          <w:color w:val="000000" w:themeColor="text1"/>
          <w:sz w:val="24"/>
          <w:szCs w:val="24"/>
          <w:lang w:val="es-ES_tradnl"/>
        </w:rPr>
        <w:t xml:space="preserve">Error judicial. Caducidad. Suspensión plazos </w:t>
      </w:r>
      <w:proofErr w:type="spellStart"/>
      <w:r w:rsidRPr="00750159">
        <w:rPr>
          <w:rFonts w:ascii="Times New Roman" w:hAnsi="Times New Roman" w:cs="Times New Roman"/>
          <w:color w:val="000000" w:themeColor="text1"/>
          <w:sz w:val="24"/>
          <w:szCs w:val="24"/>
          <w:lang w:val="es-ES_tradnl"/>
        </w:rPr>
        <w:t>Covid</w:t>
      </w:r>
      <w:proofErr w:type="spellEnd"/>
      <w:r w:rsidRPr="00750159">
        <w:rPr>
          <w:rFonts w:ascii="Times New Roman" w:hAnsi="Times New Roman" w:cs="Times New Roman"/>
          <w:color w:val="000000" w:themeColor="text1"/>
          <w:sz w:val="24"/>
          <w:szCs w:val="24"/>
          <w:lang w:val="es-ES_tradnl"/>
        </w:rPr>
        <w:t xml:space="preserve">”. Se solicita la declaración de error judicial </w:t>
      </w:r>
      <w:r>
        <w:rPr>
          <w:rFonts w:ascii="Times New Roman" w:hAnsi="Times New Roman" w:cs="Times New Roman"/>
          <w:color w:val="000000" w:themeColor="text1"/>
          <w:sz w:val="24"/>
          <w:szCs w:val="24"/>
          <w:lang w:val="es-ES_tradnl"/>
        </w:rPr>
        <w:t>al declararse</w:t>
      </w:r>
      <w:r w:rsidRPr="00750159">
        <w:rPr>
          <w:rFonts w:ascii="Times New Roman" w:hAnsi="Times New Roman" w:cs="Times New Roman"/>
          <w:color w:val="000000" w:themeColor="text1"/>
          <w:sz w:val="24"/>
          <w:szCs w:val="24"/>
          <w:lang w:val="es-ES_tradnl"/>
        </w:rPr>
        <w:t xml:space="preserve"> nula la cláusula de vencimiento anticipado y </w:t>
      </w:r>
      <w:r>
        <w:rPr>
          <w:rFonts w:ascii="Times New Roman" w:hAnsi="Times New Roman" w:cs="Times New Roman"/>
          <w:color w:val="000000" w:themeColor="text1"/>
          <w:sz w:val="24"/>
          <w:szCs w:val="24"/>
          <w:lang w:val="es-ES_tradnl"/>
        </w:rPr>
        <w:t xml:space="preserve">no acordarse el sobreseimiento </w:t>
      </w:r>
      <w:r w:rsidR="00064ADC">
        <w:rPr>
          <w:rFonts w:ascii="Times New Roman" w:hAnsi="Times New Roman" w:cs="Times New Roman"/>
          <w:color w:val="000000" w:themeColor="text1"/>
          <w:sz w:val="24"/>
          <w:szCs w:val="24"/>
          <w:lang w:val="es-ES_tradnl"/>
        </w:rPr>
        <w:t>de la</w:t>
      </w:r>
      <w:r>
        <w:rPr>
          <w:rFonts w:ascii="Times New Roman" w:hAnsi="Times New Roman" w:cs="Times New Roman"/>
          <w:color w:val="000000" w:themeColor="text1"/>
          <w:sz w:val="24"/>
          <w:szCs w:val="24"/>
          <w:lang w:val="es-ES_tradnl"/>
        </w:rPr>
        <w:t xml:space="preserve"> ejecución</w:t>
      </w:r>
      <w:r w:rsidRPr="00750159">
        <w:rPr>
          <w:rFonts w:ascii="Times New Roman" w:hAnsi="Times New Roman" w:cs="Times New Roman"/>
          <w:color w:val="000000" w:themeColor="text1"/>
          <w:sz w:val="24"/>
          <w:szCs w:val="24"/>
          <w:lang w:val="es-ES_tradnl"/>
        </w:rPr>
        <w:t xml:space="preserve">. Se desestima la demanda de </w:t>
      </w:r>
      <w:r>
        <w:rPr>
          <w:rFonts w:ascii="Times New Roman" w:hAnsi="Times New Roman" w:cs="Times New Roman"/>
          <w:color w:val="000000" w:themeColor="text1"/>
          <w:sz w:val="24"/>
          <w:szCs w:val="24"/>
          <w:lang w:val="es-ES_tradnl"/>
        </w:rPr>
        <w:t xml:space="preserve">declaración de </w:t>
      </w:r>
      <w:r w:rsidRPr="00750159">
        <w:rPr>
          <w:rFonts w:ascii="Times New Roman" w:hAnsi="Times New Roman" w:cs="Times New Roman"/>
          <w:color w:val="000000" w:themeColor="text1"/>
          <w:sz w:val="24"/>
          <w:szCs w:val="24"/>
          <w:lang w:val="es-ES_tradnl"/>
        </w:rPr>
        <w:t xml:space="preserve">error judicial </w:t>
      </w:r>
      <w:r>
        <w:rPr>
          <w:rFonts w:ascii="Times New Roman" w:hAnsi="Times New Roman" w:cs="Times New Roman"/>
          <w:color w:val="000000" w:themeColor="text1"/>
          <w:sz w:val="24"/>
          <w:szCs w:val="24"/>
          <w:lang w:val="es-ES_tradnl"/>
        </w:rPr>
        <w:t xml:space="preserve">por caducidad de la acción. </w:t>
      </w:r>
    </w:p>
    <w:p w14:paraId="6D6EF504" w14:textId="77777777" w:rsidR="001C6BB5" w:rsidRDefault="001C6BB5" w:rsidP="00992FE4">
      <w:pPr>
        <w:spacing w:after="240"/>
        <w:jc w:val="both"/>
        <w:rPr>
          <w:rFonts w:ascii="Times New Roman" w:hAnsi="Times New Roman" w:cs="Times New Roman"/>
          <w:b/>
          <w:sz w:val="24"/>
          <w:szCs w:val="24"/>
          <w:lang w:val="es-ES_tradnl"/>
        </w:rPr>
      </w:pPr>
    </w:p>
    <w:p w14:paraId="07259D5E" w14:textId="718A9B26" w:rsidR="00806B2B" w:rsidRPr="00806B2B" w:rsidRDefault="00806B2B" w:rsidP="00992FE4">
      <w:pPr>
        <w:spacing w:after="240"/>
        <w:jc w:val="both"/>
        <w:rPr>
          <w:rFonts w:ascii="Times New Roman" w:hAnsi="Times New Roman" w:cs="Times New Roman"/>
          <w:b/>
          <w:sz w:val="24"/>
          <w:szCs w:val="24"/>
          <w:lang w:val="es-ES_tradnl"/>
        </w:rPr>
      </w:pPr>
      <w:r w:rsidRPr="00806B2B">
        <w:rPr>
          <w:rFonts w:ascii="Times New Roman" w:hAnsi="Times New Roman" w:cs="Times New Roman"/>
          <w:b/>
          <w:sz w:val="24"/>
          <w:szCs w:val="24"/>
          <w:lang w:val="es-ES_tradnl"/>
        </w:rPr>
        <w:lastRenderedPageBreak/>
        <w:t>Cuestiones de competencia</w:t>
      </w:r>
    </w:p>
    <w:p w14:paraId="7EC8914D" w14:textId="47A38579" w:rsidR="004F32B8" w:rsidRDefault="00F60701" w:rsidP="00992FE4">
      <w:pPr>
        <w:spacing w:after="240"/>
        <w:jc w:val="both"/>
        <w:rPr>
          <w:rFonts w:ascii="Times New Roman" w:hAnsi="Times New Roman" w:cs="Times New Roman"/>
          <w:sz w:val="24"/>
          <w:szCs w:val="24"/>
          <w:lang w:val="es-ES_tradnl"/>
        </w:rPr>
      </w:pPr>
      <w:hyperlink r:id="rId73" w:history="1">
        <w:r w:rsidR="004F32B8" w:rsidRPr="00F60701">
          <w:rPr>
            <w:rStyle w:val="Hipervnculo"/>
            <w:rFonts w:ascii="Times New Roman" w:hAnsi="Times New Roman" w:cs="Times New Roman"/>
            <w:sz w:val="24"/>
            <w:szCs w:val="24"/>
            <w:lang w:val="es-ES_tradnl"/>
          </w:rPr>
          <w:t>ATS, Sala Primera, de 14 de septiembre de 2021. Nº de recurso: 194/2021</w:t>
        </w:r>
      </w:hyperlink>
      <w:r w:rsidR="004F32B8">
        <w:rPr>
          <w:rFonts w:ascii="Times New Roman" w:hAnsi="Times New Roman" w:cs="Times New Roman"/>
          <w:sz w:val="24"/>
          <w:szCs w:val="24"/>
          <w:lang w:val="es-ES_tradnl"/>
        </w:rPr>
        <w:t>. “</w:t>
      </w:r>
      <w:r w:rsidR="004F32B8" w:rsidRPr="004F32B8">
        <w:rPr>
          <w:rFonts w:ascii="Times New Roman" w:hAnsi="Times New Roman" w:cs="Times New Roman"/>
          <w:sz w:val="24"/>
          <w:szCs w:val="24"/>
          <w:lang w:val="es-ES_tradnl"/>
        </w:rPr>
        <w:t>Conflicto negativo de competencia territorial. Juicio ordinario. Nulidad contrato tarjeta de crédito al que se acumula de manera subsidiaria de nulidad de la cláusula de interés remuneratorio. A</w:t>
      </w:r>
      <w:r w:rsidR="004F32B8">
        <w:rPr>
          <w:rFonts w:ascii="Times New Roman" w:hAnsi="Times New Roman" w:cs="Times New Roman"/>
          <w:sz w:val="24"/>
          <w:szCs w:val="24"/>
          <w:lang w:val="es-ES_tradnl"/>
        </w:rPr>
        <w:t xml:space="preserve">cumulación eventual de acciones”. </w:t>
      </w:r>
    </w:p>
    <w:p w14:paraId="327DCAD9" w14:textId="2C5857CF" w:rsidR="00215B27" w:rsidRDefault="00F60701" w:rsidP="00992FE4">
      <w:pPr>
        <w:spacing w:after="240"/>
        <w:jc w:val="both"/>
        <w:rPr>
          <w:rFonts w:ascii="Times New Roman" w:hAnsi="Times New Roman" w:cs="Times New Roman"/>
          <w:sz w:val="24"/>
          <w:szCs w:val="24"/>
          <w:lang w:val="es-ES_tradnl"/>
        </w:rPr>
      </w:pPr>
      <w:hyperlink r:id="rId74" w:history="1">
        <w:r w:rsidR="00215B27" w:rsidRPr="00F60701">
          <w:rPr>
            <w:rStyle w:val="Hipervnculo"/>
            <w:rFonts w:ascii="Times New Roman" w:hAnsi="Times New Roman" w:cs="Times New Roman"/>
            <w:sz w:val="24"/>
            <w:szCs w:val="24"/>
            <w:lang w:val="es-ES_tradnl"/>
          </w:rPr>
          <w:t>ATS, Sala Primera, de 14 de septiembre de 2021. Nº de recurso: 201/2021</w:t>
        </w:r>
      </w:hyperlink>
      <w:r w:rsidR="00215B27">
        <w:rPr>
          <w:rFonts w:ascii="Times New Roman" w:hAnsi="Times New Roman" w:cs="Times New Roman"/>
          <w:sz w:val="24"/>
          <w:szCs w:val="24"/>
          <w:lang w:val="es-ES_tradnl"/>
        </w:rPr>
        <w:t>. “</w:t>
      </w:r>
      <w:r w:rsidR="00215B27" w:rsidRPr="00215B27">
        <w:rPr>
          <w:rFonts w:ascii="Times New Roman" w:hAnsi="Times New Roman" w:cs="Times New Roman"/>
          <w:sz w:val="24"/>
          <w:szCs w:val="24"/>
          <w:lang w:val="es-ES_tradnl"/>
        </w:rPr>
        <w:t>Conflicto negativo de competencia. Reclamación por retraso en un vuelo promovida por entidad mercantil cesionaria de los derechos del </w:t>
      </w:r>
      <w:r w:rsidR="00215B27">
        <w:rPr>
          <w:rFonts w:ascii="Times New Roman" w:hAnsi="Times New Roman" w:cs="Times New Roman"/>
          <w:sz w:val="24"/>
          <w:szCs w:val="24"/>
          <w:lang w:val="es-ES_tradnl"/>
        </w:rPr>
        <w:t xml:space="preserve">consumidor”. </w:t>
      </w:r>
    </w:p>
    <w:p w14:paraId="167016D4" w14:textId="45F89541" w:rsidR="00F9146F" w:rsidRDefault="00F60701" w:rsidP="00992FE4">
      <w:pPr>
        <w:spacing w:after="240"/>
        <w:jc w:val="both"/>
        <w:rPr>
          <w:rFonts w:ascii="Times New Roman" w:hAnsi="Times New Roman" w:cs="Times New Roman"/>
          <w:sz w:val="24"/>
          <w:szCs w:val="24"/>
          <w:lang w:val="es-ES_tradnl"/>
        </w:rPr>
      </w:pPr>
      <w:hyperlink r:id="rId75" w:history="1">
        <w:r w:rsidR="00F9146F" w:rsidRPr="00F60701">
          <w:rPr>
            <w:rStyle w:val="Hipervnculo"/>
            <w:rFonts w:ascii="Times New Roman" w:hAnsi="Times New Roman" w:cs="Times New Roman"/>
            <w:sz w:val="24"/>
            <w:szCs w:val="24"/>
            <w:lang w:val="es-ES_tradnl"/>
          </w:rPr>
          <w:t>ATS, Sala Primera, de 14 de septiembre de 2021. Nº de recurso: 213/2021</w:t>
        </w:r>
      </w:hyperlink>
      <w:r w:rsidR="00F9146F">
        <w:rPr>
          <w:rFonts w:ascii="Times New Roman" w:hAnsi="Times New Roman" w:cs="Times New Roman"/>
          <w:sz w:val="24"/>
          <w:szCs w:val="24"/>
          <w:lang w:val="es-ES_tradnl"/>
        </w:rPr>
        <w:t>. “</w:t>
      </w:r>
      <w:r w:rsidR="00F9146F" w:rsidRPr="00F9146F">
        <w:rPr>
          <w:rFonts w:ascii="Times New Roman" w:hAnsi="Times New Roman" w:cs="Times New Roman"/>
          <w:sz w:val="24"/>
          <w:szCs w:val="24"/>
          <w:lang w:val="es-ES_tradnl"/>
        </w:rPr>
        <w:t>Conflicto negativo de competencia territorial. Juicio ordinario. Nulidad condicion</w:t>
      </w:r>
      <w:r w:rsidR="00F9146F">
        <w:rPr>
          <w:rFonts w:ascii="Times New Roman" w:hAnsi="Times New Roman" w:cs="Times New Roman"/>
          <w:sz w:val="24"/>
          <w:szCs w:val="24"/>
          <w:lang w:val="es-ES_tradnl"/>
        </w:rPr>
        <w:t xml:space="preserve">es generales de la contratación”. </w:t>
      </w:r>
    </w:p>
    <w:p w14:paraId="15D5A6E0" w14:textId="034A5D75" w:rsidR="00215B27" w:rsidRDefault="00F60701" w:rsidP="00992FE4">
      <w:pPr>
        <w:spacing w:after="240"/>
        <w:jc w:val="both"/>
        <w:rPr>
          <w:rFonts w:ascii="Times New Roman" w:hAnsi="Times New Roman" w:cs="Times New Roman"/>
          <w:sz w:val="24"/>
          <w:szCs w:val="24"/>
          <w:lang w:val="es-ES_tradnl"/>
        </w:rPr>
      </w:pPr>
      <w:hyperlink r:id="rId76" w:history="1">
        <w:r w:rsidR="00215B27" w:rsidRPr="00F60701">
          <w:rPr>
            <w:rStyle w:val="Hipervnculo"/>
            <w:rFonts w:ascii="Times New Roman" w:hAnsi="Times New Roman" w:cs="Times New Roman"/>
            <w:sz w:val="24"/>
            <w:szCs w:val="24"/>
            <w:lang w:val="es-ES_tradnl"/>
          </w:rPr>
          <w:t>ATS, Sala Primera, de 14 de septiembre de 2021. Nº de recurso: 217/2021</w:t>
        </w:r>
      </w:hyperlink>
      <w:r w:rsidR="00215B27">
        <w:rPr>
          <w:rFonts w:ascii="Times New Roman" w:hAnsi="Times New Roman" w:cs="Times New Roman"/>
          <w:sz w:val="24"/>
          <w:szCs w:val="24"/>
          <w:lang w:val="es-ES_tradnl"/>
        </w:rPr>
        <w:t>. “</w:t>
      </w:r>
      <w:r w:rsidR="00215B27" w:rsidRPr="00215B27">
        <w:rPr>
          <w:rFonts w:ascii="Times New Roman" w:hAnsi="Times New Roman" w:cs="Times New Roman"/>
          <w:sz w:val="24"/>
          <w:szCs w:val="24"/>
          <w:lang w:val="es-ES_tradnl"/>
        </w:rPr>
        <w:t>Conflicto negativo de competencia territorial. Viaje combinado concertado online. Indemnización de daños y perjuicio</w:t>
      </w:r>
      <w:r w:rsidR="00215B27">
        <w:rPr>
          <w:rFonts w:ascii="Times New Roman" w:hAnsi="Times New Roman" w:cs="Times New Roman"/>
          <w:sz w:val="24"/>
          <w:szCs w:val="24"/>
          <w:lang w:val="es-ES_tradnl"/>
        </w:rPr>
        <w:t xml:space="preserve">s. Fueros del art. 52.2 y 3 LEC”. </w:t>
      </w:r>
    </w:p>
    <w:p w14:paraId="1EB2F003" w14:textId="75E111C7" w:rsidR="004F32B8" w:rsidRDefault="00F60701" w:rsidP="00992FE4">
      <w:pPr>
        <w:spacing w:after="240"/>
        <w:jc w:val="both"/>
        <w:rPr>
          <w:rFonts w:ascii="Times New Roman" w:hAnsi="Times New Roman" w:cs="Times New Roman"/>
          <w:sz w:val="24"/>
          <w:szCs w:val="24"/>
          <w:lang w:val="es-ES_tradnl"/>
        </w:rPr>
      </w:pPr>
      <w:hyperlink r:id="rId77" w:history="1">
        <w:r w:rsidR="004F32B8" w:rsidRPr="00F60701">
          <w:rPr>
            <w:rStyle w:val="Hipervnculo"/>
            <w:rFonts w:ascii="Times New Roman" w:hAnsi="Times New Roman" w:cs="Times New Roman"/>
            <w:sz w:val="24"/>
            <w:szCs w:val="24"/>
            <w:lang w:val="es-ES_tradnl"/>
          </w:rPr>
          <w:t>ATS, Sala Primera, de 14 de septiembre de 2021. Nº de recurso: 233/2021</w:t>
        </w:r>
      </w:hyperlink>
      <w:r w:rsidR="004F32B8">
        <w:rPr>
          <w:rFonts w:ascii="Times New Roman" w:hAnsi="Times New Roman" w:cs="Times New Roman"/>
          <w:sz w:val="24"/>
          <w:szCs w:val="24"/>
          <w:lang w:val="es-ES_tradnl"/>
        </w:rPr>
        <w:t>. “</w:t>
      </w:r>
      <w:r w:rsidR="004F32B8" w:rsidRPr="004F32B8">
        <w:rPr>
          <w:rFonts w:ascii="Times New Roman" w:hAnsi="Times New Roman" w:cs="Times New Roman"/>
          <w:sz w:val="24"/>
          <w:szCs w:val="24"/>
          <w:lang w:val="es-ES_tradnl"/>
        </w:rPr>
        <w:t>C</w:t>
      </w:r>
      <w:r w:rsidR="005F3622" w:rsidRPr="004F32B8">
        <w:rPr>
          <w:rFonts w:ascii="Times New Roman" w:hAnsi="Times New Roman" w:cs="Times New Roman"/>
          <w:sz w:val="24"/>
          <w:szCs w:val="24"/>
          <w:lang w:val="es-ES_tradnl"/>
        </w:rPr>
        <w:t xml:space="preserve">onflicto negativo de competencia territorial. </w:t>
      </w:r>
      <w:r w:rsidR="004F32B8" w:rsidRPr="004F32B8">
        <w:rPr>
          <w:rFonts w:ascii="Times New Roman" w:hAnsi="Times New Roman" w:cs="Times New Roman"/>
          <w:sz w:val="24"/>
          <w:szCs w:val="24"/>
          <w:lang w:val="es-ES_tradnl"/>
        </w:rPr>
        <w:t>Juicio verbal en reclamación de cantidad derivada de un contrato de alquiler de vehículo</w:t>
      </w:r>
      <w:r w:rsidR="004F32B8">
        <w:rPr>
          <w:rFonts w:ascii="Times New Roman" w:hAnsi="Times New Roman" w:cs="Times New Roman"/>
          <w:sz w:val="24"/>
          <w:szCs w:val="24"/>
          <w:lang w:val="es-ES_tradnl"/>
        </w:rPr>
        <w:t xml:space="preserve">. Relación de consumo”. </w:t>
      </w:r>
    </w:p>
    <w:p w14:paraId="1BACEDD9" w14:textId="3541E22D" w:rsidR="00E66B8F" w:rsidRDefault="00F60701" w:rsidP="00992FE4">
      <w:pPr>
        <w:spacing w:after="240"/>
        <w:jc w:val="both"/>
        <w:rPr>
          <w:rFonts w:ascii="Times New Roman" w:hAnsi="Times New Roman" w:cs="Times New Roman"/>
          <w:sz w:val="24"/>
          <w:szCs w:val="24"/>
          <w:lang w:val="es-ES_tradnl"/>
        </w:rPr>
      </w:pPr>
      <w:hyperlink r:id="rId78" w:history="1">
        <w:r w:rsidR="00E66B8F" w:rsidRPr="00F60701">
          <w:rPr>
            <w:rStyle w:val="Hipervnculo"/>
            <w:rFonts w:ascii="Times New Roman" w:hAnsi="Times New Roman" w:cs="Times New Roman"/>
            <w:sz w:val="24"/>
            <w:szCs w:val="24"/>
            <w:lang w:val="es-ES_tradnl"/>
          </w:rPr>
          <w:t>ATS, Sala Primera, de 21 de septiembre de 2021. Nº de recurso: 197/2021</w:t>
        </w:r>
      </w:hyperlink>
      <w:r w:rsidR="00E66B8F">
        <w:rPr>
          <w:rFonts w:ascii="Times New Roman" w:hAnsi="Times New Roman" w:cs="Times New Roman"/>
          <w:sz w:val="24"/>
          <w:szCs w:val="24"/>
          <w:lang w:val="es-ES_tradnl"/>
        </w:rPr>
        <w:t>. “</w:t>
      </w:r>
      <w:r w:rsidR="00E66B8F" w:rsidRPr="00E66B8F">
        <w:rPr>
          <w:rFonts w:ascii="Times New Roman" w:hAnsi="Times New Roman" w:cs="Times New Roman"/>
          <w:sz w:val="24"/>
          <w:szCs w:val="24"/>
          <w:lang w:val="es-ES_tradnl"/>
        </w:rPr>
        <w:t>Conflicto negativo de competencia territorial. Reclamación por incumplimiento de contrato de transporte aéreo promovida por entidad mercantil cesionaria de los derechos indemnizatorios de los pasajeros. Improcedencia del f</w:t>
      </w:r>
      <w:r w:rsidR="00E66B8F">
        <w:rPr>
          <w:rFonts w:ascii="Times New Roman" w:hAnsi="Times New Roman" w:cs="Times New Roman"/>
          <w:sz w:val="24"/>
          <w:szCs w:val="24"/>
          <w:lang w:val="es-ES_tradnl"/>
        </w:rPr>
        <w:t xml:space="preserve">uero propio de los consumidores”. </w:t>
      </w:r>
    </w:p>
    <w:p w14:paraId="7788D833" w14:textId="1A71E3F4" w:rsidR="00134193" w:rsidRPr="00F60701" w:rsidRDefault="00F60701" w:rsidP="008D4ACD">
      <w:pPr>
        <w:spacing w:after="240"/>
        <w:jc w:val="both"/>
        <w:rPr>
          <w:rFonts w:ascii="Times New Roman" w:hAnsi="Times New Roman" w:cs="Times New Roman"/>
          <w:sz w:val="24"/>
          <w:szCs w:val="24"/>
          <w:lang w:val="es-ES_tradnl"/>
        </w:rPr>
      </w:pPr>
      <w:hyperlink r:id="rId79" w:history="1">
        <w:r w:rsidR="00806B2B" w:rsidRPr="00F60701">
          <w:rPr>
            <w:rStyle w:val="Hipervnculo"/>
            <w:rFonts w:ascii="Times New Roman" w:hAnsi="Times New Roman" w:cs="Times New Roman"/>
            <w:sz w:val="24"/>
            <w:szCs w:val="24"/>
            <w:lang w:val="es-ES_tradnl"/>
          </w:rPr>
          <w:t>ATS, Sala Primera, de 28 de septiembre de 2021. Nº de recurso: 220/2021</w:t>
        </w:r>
      </w:hyperlink>
      <w:r w:rsidR="00806B2B">
        <w:rPr>
          <w:rFonts w:ascii="Times New Roman" w:hAnsi="Times New Roman" w:cs="Times New Roman"/>
          <w:sz w:val="24"/>
          <w:szCs w:val="24"/>
          <w:lang w:val="es-ES_tradnl"/>
        </w:rPr>
        <w:t>. “</w:t>
      </w:r>
      <w:r w:rsidR="00806B2B" w:rsidRPr="00806B2B">
        <w:rPr>
          <w:rFonts w:ascii="Times New Roman" w:hAnsi="Times New Roman" w:cs="Times New Roman"/>
          <w:sz w:val="24"/>
          <w:szCs w:val="24"/>
          <w:lang w:val="es-ES_tradnl"/>
        </w:rPr>
        <w:t>Conflicto negativo de competencia territorial. Juicio ordinario en el que una asociación de consumidores ejercita una acción de nulidad de cláusulas abusivas en representación de sus asociados. Domicilio de la asociación demandante al mom</w:t>
      </w:r>
      <w:r w:rsidR="00806B2B">
        <w:rPr>
          <w:rFonts w:ascii="Times New Roman" w:hAnsi="Times New Roman" w:cs="Times New Roman"/>
          <w:sz w:val="24"/>
          <w:szCs w:val="24"/>
          <w:lang w:val="es-ES_tradnl"/>
        </w:rPr>
        <w:t xml:space="preserve">ento de interponerse la demanda”. </w:t>
      </w:r>
    </w:p>
    <w:p w14:paraId="2751E408" w14:textId="129BD95A" w:rsidR="002B1E17" w:rsidRPr="002B1E17" w:rsidRDefault="00324CCA" w:rsidP="002B1E17">
      <w:pPr>
        <w:spacing w:after="240"/>
        <w:jc w:val="both"/>
        <w:rPr>
          <w:rFonts w:ascii="Times New Roman" w:hAnsi="Times New Roman" w:cs="Times New Roman"/>
          <w:sz w:val="24"/>
          <w:szCs w:val="24"/>
        </w:rPr>
      </w:pPr>
      <w:r>
        <w:rPr>
          <w:noProof/>
        </w:rPr>
        <w:pict w14:anchorId="621B1733">
          <v:rect id="_x0000_i1028" alt="" style="width:425.2pt;height:.05pt;mso-width-percent:0;mso-height-percent:0;mso-width-percent:0;mso-height-percent:0" o:hralign="center" o:hrstd="t" o:hr="t" fillcolor="#a0a0a0" stroked="f"/>
        </w:pict>
      </w:r>
    </w:p>
    <w:p w14:paraId="59E95A55" w14:textId="77777777" w:rsidR="00823AEA" w:rsidRDefault="00823AEA" w:rsidP="002B1E17">
      <w:pPr>
        <w:spacing w:after="240"/>
        <w:jc w:val="center"/>
        <w:rPr>
          <w:rFonts w:ascii="Times New Roman" w:hAnsi="Times New Roman" w:cs="Times New Roman"/>
          <w:b/>
          <w:bCs/>
          <w:sz w:val="24"/>
          <w:szCs w:val="24"/>
        </w:rPr>
      </w:pPr>
    </w:p>
    <w:p w14:paraId="0BA5D164" w14:textId="091FE6D1" w:rsidR="002B1E17" w:rsidRDefault="002B1E17" w:rsidP="002B1E17">
      <w:pPr>
        <w:spacing w:after="240"/>
        <w:jc w:val="center"/>
        <w:rPr>
          <w:rFonts w:ascii="Times New Roman" w:hAnsi="Times New Roman" w:cs="Times New Roman"/>
          <w:b/>
          <w:bCs/>
          <w:sz w:val="24"/>
          <w:szCs w:val="24"/>
        </w:rPr>
      </w:pPr>
      <w:r w:rsidRPr="00D03066">
        <w:rPr>
          <w:rFonts w:ascii="Times New Roman" w:hAnsi="Times New Roman" w:cs="Times New Roman"/>
          <w:b/>
          <w:bCs/>
          <w:sz w:val="24"/>
          <w:szCs w:val="24"/>
        </w:rPr>
        <w:t>AUDIENCIAS PROVINCIALES</w:t>
      </w:r>
      <w:r w:rsidR="002523D3">
        <w:rPr>
          <w:rFonts w:ascii="Times New Roman" w:hAnsi="Times New Roman" w:cs="Times New Roman"/>
          <w:b/>
          <w:bCs/>
          <w:sz w:val="24"/>
          <w:szCs w:val="24"/>
        </w:rPr>
        <w:t xml:space="preserve"> (CENDOJ – Selección)</w:t>
      </w:r>
    </w:p>
    <w:p w14:paraId="27E6950D" w14:textId="77777777" w:rsidR="00B2676E" w:rsidRPr="00B2676E" w:rsidRDefault="00B2676E" w:rsidP="002B1E17">
      <w:pPr>
        <w:spacing w:after="240"/>
        <w:jc w:val="center"/>
        <w:rPr>
          <w:rFonts w:ascii="Times New Roman" w:hAnsi="Times New Roman" w:cs="Times New Roman"/>
          <w:b/>
          <w:bCs/>
          <w:sz w:val="11"/>
          <w:szCs w:val="11"/>
        </w:rPr>
      </w:pPr>
    </w:p>
    <w:p w14:paraId="3D5B92B1" w14:textId="5AF218F7" w:rsidR="00DF5469" w:rsidRPr="00DF5469" w:rsidRDefault="009B2F45" w:rsidP="00DF5469">
      <w:pPr>
        <w:spacing w:after="240"/>
        <w:jc w:val="both"/>
        <w:rPr>
          <w:rFonts w:ascii="Times New Roman" w:hAnsi="Times New Roman" w:cs="Times New Roman"/>
          <w:sz w:val="24"/>
          <w:szCs w:val="24"/>
        </w:rPr>
      </w:pPr>
      <w:hyperlink r:id="rId80" w:history="1">
        <w:r w:rsidR="00DF5469" w:rsidRPr="009B2F45">
          <w:rPr>
            <w:rStyle w:val="Hipervnculo"/>
            <w:rFonts w:ascii="Times New Roman" w:hAnsi="Times New Roman" w:cs="Times New Roman"/>
            <w:sz w:val="24"/>
            <w:szCs w:val="24"/>
          </w:rPr>
          <w:t>SAP de Barcelona (Secc. 15ª), 1377/2021, de 6 de julio de 2021</w:t>
        </w:r>
      </w:hyperlink>
      <w:r w:rsidR="00DF5469">
        <w:rPr>
          <w:rFonts w:ascii="Times New Roman" w:hAnsi="Times New Roman" w:cs="Times New Roman"/>
          <w:sz w:val="24"/>
          <w:szCs w:val="24"/>
        </w:rPr>
        <w:t xml:space="preserve">. </w:t>
      </w:r>
      <w:r>
        <w:rPr>
          <w:rFonts w:ascii="Times New Roman" w:hAnsi="Times New Roman" w:cs="Times New Roman"/>
          <w:sz w:val="24"/>
          <w:szCs w:val="24"/>
        </w:rPr>
        <w:t xml:space="preserve">Préstamo con garantía hipotecaria. Nulidad del clausulado multidivisa en contrato extinguido. Restitución de cantidades. </w:t>
      </w:r>
    </w:p>
    <w:p w14:paraId="7A821EBB" w14:textId="09C9B1D6" w:rsidR="005527D4" w:rsidRDefault="005527D4" w:rsidP="005527D4">
      <w:pPr>
        <w:spacing w:after="240"/>
        <w:jc w:val="both"/>
        <w:rPr>
          <w:rFonts w:ascii="Times New Roman" w:hAnsi="Times New Roman" w:cs="Times New Roman"/>
          <w:sz w:val="24"/>
          <w:szCs w:val="24"/>
        </w:rPr>
      </w:pPr>
      <w:hyperlink r:id="rId81" w:history="1">
        <w:r w:rsidRPr="005527D4">
          <w:rPr>
            <w:rStyle w:val="Hipervnculo"/>
            <w:rFonts w:ascii="Times New Roman" w:hAnsi="Times New Roman" w:cs="Times New Roman"/>
            <w:sz w:val="24"/>
            <w:szCs w:val="24"/>
          </w:rPr>
          <w:t>SAP de Cáceres (Secc. 1ª), 553/2021, de 8 de julio de 2021</w:t>
        </w:r>
      </w:hyperlink>
      <w:r>
        <w:rPr>
          <w:rFonts w:ascii="Times New Roman" w:hAnsi="Times New Roman" w:cs="Times New Roman"/>
          <w:sz w:val="24"/>
          <w:szCs w:val="24"/>
        </w:rPr>
        <w:t>. “</w:t>
      </w:r>
      <w:r w:rsidRPr="005527D4">
        <w:rPr>
          <w:rFonts w:ascii="Times New Roman" w:hAnsi="Times New Roman" w:cs="Times New Roman"/>
          <w:sz w:val="24"/>
          <w:szCs w:val="24"/>
        </w:rPr>
        <w:t xml:space="preserve">Nulidad cláusula suelo por abusiva. Validez del acuerdo transaccional que modifica el tipo de interés. Existe </w:t>
      </w:r>
      <w:r w:rsidRPr="005527D4">
        <w:rPr>
          <w:rFonts w:ascii="Times New Roman" w:hAnsi="Times New Roman" w:cs="Times New Roman"/>
          <w:i/>
          <w:iCs/>
          <w:sz w:val="24"/>
          <w:szCs w:val="24"/>
        </w:rPr>
        <w:t xml:space="preserve">animus </w:t>
      </w:r>
      <w:proofErr w:type="spellStart"/>
      <w:r w:rsidRPr="005527D4">
        <w:rPr>
          <w:rFonts w:ascii="Times New Roman" w:hAnsi="Times New Roman" w:cs="Times New Roman"/>
          <w:i/>
          <w:iCs/>
          <w:sz w:val="24"/>
          <w:szCs w:val="24"/>
        </w:rPr>
        <w:t>novandi</w:t>
      </w:r>
      <w:proofErr w:type="spellEnd"/>
      <w:r w:rsidRPr="005527D4">
        <w:rPr>
          <w:rFonts w:ascii="Times New Roman" w:hAnsi="Times New Roman" w:cs="Times New Roman"/>
          <w:sz w:val="24"/>
          <w:szCs w:val="24"/>
        </w:rPr>
        <w:t>, el acuerdo es transparente. La cláusula sobre renuncia de acciones futuras no fue objeto de información, no es transparente</w:t>
      </w:r>
      <w:r>
        <w:rPr>
          <w:rFonts w:ascii="Times New Roman" w:hAnsi="Times New Roman" w:cs="Times New Roman"/>
          <w:sz w:val="24"/>
          <w:szCs w:val="24"/>
        </w:rPr>
        <w:t xml:space="preserve">”. </w:t>
      </w:r>
    </w:p>
    <w:p w14:paraId="19B817C4" w14:textId="49970C35" w:rsidR="00DF5469" w:rsidRDefault="00DF5469" w:rsidP="005527D4">
      <w:pPr>
        <w:spacing w:after="240"/>
        <w:jc w:val="both"/>
        <w:rPr>
          <w:rFonts w:ascii="Times New Roman" w:hAnsi="Times New Roman" w:cs="Times New Roman"/>
          <w:sz w:val="24"/>
          <w:szCs w:val="24"/>
        </w:rPr>
      </w:pPr>
      <w:hyperlink r:id="rId82" w:history="1">
        <w:r w:rsidRPr="00DF5469">
          <w:rPr>
            <w:rStyle w:val="Hipervnculo"/>
            <w:rFonts w:ascii="Times New Roman" w:hAnsi="Times New Roman" w:cs="Times New Roman"/>
            <w:sz w:val="24"/>
            <w:szCs w:val="24"/>
          </w:rPr>
          <w:t>SAP de Ávila (Secc. 1ª), 180/2021, de 8 de julio de 2021</w:t>
        </w:r>
      </w:hyperlink>
      <w:r>
        <w:rPr>
          <w:rFonts w:ascii="Times New Roman" w:hAnsi="Times New Roman" w:cs="Times New Roman"/>
          <w:sz w:val="24"/>
          <w:szCs w:val="24"/>
        </w:rPr>
        <w:t>. “</w:t>
      </w:r>
      <w:r w:rsidRPr="00DF5469">
        <w:rPr>
          <w:rFonts w:ascii="Times New Roman" w:hAnsi="Times New Roman" w:cs="Times New Roman"/>
          <w:sz w:val="24"/>
          <w:szCs w:val="24"/>
        </w:rPr>
        <w:t>Préstamo hipotecario. Consumidor inversionista: persona física que actúa con ánimo de lucro. Cláusula IRPH. Cláusulas abusivas. Control de transparencia/juicio de abusividad. Condena en costas. Serias dudas. Principio general de no vinculación Derecho UE</w:t>
      </w:r>
      <w:r>
        <w:rPr>
          <w:rFonts w:ascii="Times New Roman" w:hAnsi="Times New Roman" w:cs="Times New Roman"/>
          <w:sz w:val="24"/>
          <w:szCs w:val="24"/>
        </w:rPr>
        <w:t xml:space="preserve">”. </w:t>
      </w:r>
    </w:p>
    <w:p w14:paraId="42BC2A17" w14:textId="324C5FE5" w:rsidR="00DF5469" w:rsidRDefault="00DF5469" w:rsidP="005527D4">
      <w:pPr>
        <w:spacing w:after="240"/>
        <w:jc w:val="both"/>
        <w:rPr>
          <w:rFonts w:ascii="Times New Roman" w:hAnsi="Times New Roman" w:cs="Times New Roman"/>
          <w:sz w:val="24"/>
          <w:szCs w:val="24"/>
        </w:rPr>
      </w:pPr>
      <w:hyperlink r:id="rId83" w:history="1">
        <w:r w:rsidRPr="00DF5469">
          <w:rPr>
            <w:rStyle w:val="Hipervnculo"/>
            <w:rFonts w:ascii="Times New Roman" w:hAnsi="Times New Roman" w:cs="Times New Roman"/>
            <w:sz w:val="24"/>
            <w:szCs w:val="24"/>
          </w:rPr>
          <w:t>SAP de Pontevedra (Secc. 1ª), 422/2021, de 8 de julio de 2021</w:t>
        </w:r>
      </w:hyperlink>
      <w:r>
        <w:rPr>
          <w:rFonts w:ascii="Times New Roman" w:hAnsi="Times New Roman" w:cs="Times New Roman"/>
          <w:sz w:val="24"/>
          <w:szCs w:val="24"/>
        </w:rPr>
        <w:t>. “</w:t>
      </w:r>
      <w:r w:rsidRPr="00DF5469">
        <w:rPr>
          <w:rFonts w:ascii="Times New Roman" w:hAnsi="Times New Roman" w:cs="Times New Roman"/>
          <w:sz w:val="24"/>
          <w:szCs w:val="24"/>
        </w:rPr>
        <w:t>Nulidad de la cláusula sobre reclamación de posiciones deudoras. Esta cláusula compensa a la entidad de las gestiones realizadas, pero ha de acreditarse las gestiones efectivas, no puede aplicarse de forma automática. El Banco deberá probar las gestiones</w:t>
      </w:r>
      <w:r>
        <w:rPr>
          <w:rFonts w:ascii="Times New Roman" w:hAnsi="Times New Roman" w:cs="Times New Roman"/>
          <w:sz w:val="24"/>
          <w:szCs w:val="24"/>
        </w:rPr>
        <w:t xml:space="preserve">”. </w:t>
      </w:r>
    </w:p>
    <w:p w14:paraId="1BA0CE9D" w14:textId="0DC4950F" w:rsidR="00DF5469" w:rsidRPr="005527D4" w:rsidRDefault="00DF5469" w:rsidP="005527D4">
      <w:pPr>
        <w:spacing w:after="240"/>
        <w:jc w:val="both"/>
        <w:rPr>
          <w:rFonts w:ascii="Times New Roman" w:hAnsi="Times New Roman" w:cs="Times New Roman"/>
          <w:sz w:val="24"/>
          <w:szCs w:val="24"/>
        </w:rPr>
      </w:pPr>
      <w:hyperlink r:id="rId84" w:history="1">
        <w:r w:rsidRPr="00DF5469">
          <w:rPr>
            <w:rStyle w:val="Hipervnculo"/>
            <w:rFonts w:ascii="Times New Roman" w:hAnsi="Times New Roman" w:cs="Times New Roman"/>
            <w:sz w:val="24"/>
            <w:szCs w:val="24"/>
          </w:rPr>
          <w:t>SAP de Pontevedra (Secc. 1ª), 425/2021, de 8 de julio de 2021</w:t>
        </w:r>
      </w:hyperlink>
      <w:r>
        <w:rPr>
          <w:rFonts w:ascii="Times New Roman" w:hAnsi="Times New Roman" w:cs="Times New Roman"/>
          <w:sz w:val="24"/>
          <w:szCs w:val="24"/>
        </w:rPr>
        <w:t>. “</w:t>
      </w:r>
      <w:r w:rsidRPr="00DF5469">
        <w:rPr>
          <w:rFonts w:ascii="Times New Roman" w:hAnsi="Times New Roman" w:cs="Times New Roman"/>
          <w:sz w:val="24"/>
          <w:szCs w:val="24"/>
        </w:rPr>
        <w:t>Control de la cláusula sobre comisión de apertura. El Juez nacional debe llevar a cabo el control de transparencia de dicha cláusula. No es prestación esencial del préstamo hipotecario. El banco debe aportar la información suficiente sobre la cláusula</w:t>
      </w:r>
      <w:r>
        <w:rPr>
          <w:rFonts w:ascii="Times New Roman" w:hAnsi="Times New Roman" w:cs="Times New Roman"/>
          <w:sz w:val="24"/>
          <w:szCs w:val="24"/>
        </w:rPr>
        <w:t xml:space="preserve">”. </w:t>
      </w:r>
    </w:p>
    <w:p w14:paraId="1618D74D" w14:textId="08ADEF8B" w:rsidR="005527D4" w:rsidRPr="005527D4" w:rsidRDefault="005527D4" w:rsidP="005527D4">
      <w:pPr>
        <w:spacing w:after="240"/>
        <w:jc w:val="both"/>
        <w:rPr>
          <w:rFonts w:ascii="Times New Roman" w:hAnsi="Times New Roman" w:cs="Times New Roman"/>
          <w:sz w:val="24"/>
          <w:szCs w:val="24"/>
        </w:rPr>
      </w:pPr>
      <w:hyperlink r:id="rId85" w:history="1">
        <w:r w:rsidRPr="005527D4">
          <w:rPr>
            <w:rStyle w:val="Hipervnculo"/>
            <w:rFonts w:ascii="Times New Roman" w:hAnsi="Times New Roman" w:cs="Times New Roman"/>
            <w:sz w:val="24"/>
            <w:szCs w:val="24"/>
          </w:rPr>
          <w:t>SAP de Zamora (Secc. 1ª), 289/2021, de 16 de julio de 2021</w:t>
        </w:r>
      </w:hyperlink>
      <w:r>
        <w:rPr>
          <w:rFonts w:ascii="Times New Roman" w:hAnsi="Times New Roman" w:cs="Times New Roman"/>
          <w:sz w:val="24"/>
          <w:szCs w:val="24"/>
        </w:rPr>
        <w:t>. “</w:t>
      </w:r>
      <w:r w:rsidRPr="005527D4">
        <w:rPr>
          <w:rFonts w:ascii="Times New Roman" w:hAnsi="Times New Roman" w:cs="Times New Roman"/>
          <w:sz w:val="24"/>
          <w:szCs w:val="24"/>
        </w:rPr>
        <w:t>Préstamo hipotecario. Cláusula abusiva. Cláusula de repercusión de gastos al prestatario. Acción de restitución de las sumas indebidamente pagadas por aplicación de cláusula abusiva. Acción accesoria. Inicio del cómputo del plazo de prescripción</w:t>
      </w:r>
      <w:r>
        <w:rPr>
          <w:rFonts w:ascii="Times New Roman" w:hAnsi="Times New Roman" w:cs="Times New Roman"/>
          <w:sz w:val="24"/>
          <w:szCs w:val="24"/>
        </w:rPr>
        <w:t xml:space="preserve">”. </w:t>
      </w:r>
    </w:p>
    <w:p w14:paraId="019579A0" w14:textId="1E8FCA66" w:rsidR="00F60701" w:rsidRDefault="003A75CE" w:rsidP="00F60701">
      <w:pPr>
        <w:spacing w:after="240"/>
        <w:jc w:val="both"/>
        <w:rPr>
          <w:rFonts w:ascii="Times New Roman" w:hAnsi="Times New Roman" w:cs="Times New Roman"/>
          <w:sz w:val="24"/>
          <w:szCs w:val="24"/>
        </w:rPr>
      </w:pPr>
      <w:hyperlink r:id="rId86" w:history="1">
        <w:r w:rsidR="0029296C" w:rsidRPr="003A75CE">
          <w:rPr>
            <w:rStyle w:val="Hipervnculo"/>
            <w:rFonts w:ascii="Times New Roman" w:hAnsi="Times New Roman" w:cs="Times New Roman"/>
            <w:sz w:val="24"/>
            <w:szCs w:val="24"/>
          </w:rPr>
          <w:t>SAP de Barcelona (Secc. 15ª), 1517/2021, de 19 de julio de 2021</w:t>
        </w:r>
      </w:hyperlink>
      <w:r w:rsidR="0029296C">
        <w:rPr>
          <w:rFonts w:ascii="Times New Roman" w:hAnsi="Times New Roman" w:cs="Times New Roman"/>
          <w:sz w:val="24"/>
          <w:szCs w:val="24"/>
        </w:rPr>
        <w:t xml:space="preserve">. </w:t>
      </w:r>
      <w:r>
        <w:rPr>
          <w:rFonts w:ascii="Times New Roman" w:hAnsi="Times New Roman" w:cs="Times New Roman"/>
          <w:sz w:val="24"/>
          <w:szCs w:val="24"/>
        </w:rPr>
        <w:t xml:space="preserve">Contrato de préstamo hipotecario. Nulidad por abusiva de la cláusula de gastos hipotecarios. Restitución de cantidades. Cómputo del plazo de prescripción. </w:t>
      </w:r>
    </w:p>
    <w:p w14:paraId="0D546175" w14:textId="14B49D11" w:rsidR="003A75CE" w:rsidRDefault="003A75CE" w:rsidP="00F60701">
      <w:pPr>
        <w:spacing w:after="240"/>
        <w:jc w:val="both"/>
        <w:rPr>
          <w:rFonts w:ascii="Times New Roman" w:hAnsi="Times New Roman" w:cs="Times New Roman"/>
          <w:sz w:val="24"/>
          <w:szCs w:val="24"/>
        </w:rPr>
      </w:pPr>
      <w:hyperlink r:id="rId87" w:history="1">
        <w:r w:rsidRPr="003A75CE">
          <w:rPr>
            <w:rStyle w:val="Hipervnculo"/>
            <w:rFonts w:ascii="Times New Roman" w:hAnsi="Times New Roman" w:cs="Times New Roman"/>
            <w:sz w:val="24"/>
            <w:szCs w:val="24"/>
          </w:rPr>
          <w:t>SAP de Cantabria (Secc. 4ª), 543/2021, de 19 de julio de 2021</w:t>
        </w:r>
      </w:hyperlink>
      <w:r>
        <w:rPr>
          <w:rFonts w:ascii="Times New Roman" w:hAnsi="Times New Roman" w:cs="Times New Roman"/>
          <w:sz w:val="24"/>
          <w:szCs w:val="24"/>
        </w:rPr>
        <w:t xml:space="preserve">. “Cláusulas abusivas en contratos con consumidores. Condena en costas”. </w:t>
      </w:r>
    </w:p>
    <w:p w14:paraId="6FFA46C7" w14:textId="5FDA2E29" w:rsidR="009B2F45" w:rsidRDefault="000148EA" w:rsidP="00F60701">
      <w:pPr>
        <w:spacing w:after="240"/>
        <w:jc w:val="both"/>
        <w:rPr>
          <w:rFonts w:ascii="Times New Roman" w:hAnsi="Times New Roman" w:cs="Times New Roman"/>
          <w:sz w:val="24"/>
          <w:szCs w:val="24"/>
        </w:rPr>
      </w:pPr>
      <w:hyperlink r:id="rId88" w:history="1">
        <w:r w:rsidR="009B2F45" w:rsidRPr="000148EA">
          <w:rPr>
            <w:rStyle w:val="Hipervnculo"/>
            <w:rFonts w:ascii="Times New Roman" w:hAnsi="Times New Roman" w:cs="Times New Roman"/>
            <w:sz w:val="24"/>
            <w:szCs w:val="24"/>
          </w:rPr>
          <w:t>SAP de Cantabria (Secc. 4ª), 560/2021, de 1 de septiembre de 2021</w:t>
        </w:r>
      </w:hyperlink>
      <w:r w:rsidR="009B2F45">
        <w:rPr>
          <w:rFonts w:ascii="Times New Roman" w:hAnsi="Times New Roman" w:cs="Times New Roman"/>
          <w:sz w:val="24"/>
          <w:szCs w:val="24"/>
        </w:rPr>
        <w:t xml:space="preserve">. Contrato de suscripción de valores Santander. Incumplimiento </w:t>
      </w:r>
      <w:r>
        <w:rPr>
          <w:rFonts w:ascii="Times New Roman" w:hAnsi="Times New Roman" w:cs="Times New Roman"/>
          <w:sz w:val="24"/>
          <w:szCs w:val="24"/>
        </w:rPr>
        <w:t xml:space="preserve">de la entidad demandada de sus obligaciones de información. </w:t>
      </w:r>
    </w:p>
    <w:p w14:paraId="5029CFEF" w14:textId="4F5BE3BC" w:rsidR="00C03537" w:rsidRDefault="00BD3643" w:rsidP="00F60701">
      <w:pPr>
        <w:spacing w:after="240"/>
        <w:jc w:val="both"/>
        <w:rPr>
          <w:rFonts w:ascii="Times New Roman" w:hAnsi="Times New Roman" w:cs="Times New Roman"/>
          <w:sz w:val="24"/>
          <w:szCs w:val="24"/>
        </w:rPr>
      </w:pPr>
      <w:hyperlink r:id="rId89" w:history="1">
        <w:r w:rsidR="00C03537" w:rsidRPr="00BD3643">
          <w:rPr>
            <w:rStyle w:val="Hipervnculo"/>
            <w:rFonts w:ascii="Times New Roman" w:hAnsi="Times New Roman" w:cs="Times New Roman"/>
            <w:sz w:val="24"/>
            <w:szCs w:val="24"/>
          </w:rPr>
          <w:t>SAP de Cantabria (Secc. 2ª), 349/2021, de 8 de septiembre</w:t>
        </w:r>
        <w:r w:rsidR="00C03537" w:rsidRPr="00BD3643">
          <w:rPr>
            <w:rStyle w:val="Hipervnculo"/>
            <w:rFonts w:ascii="Times New Roman" w:hAnsi="Times New Roman" w:cs="Times New Roman"/>
            <w:sz w:val="24"/>
            <w:szCs w:val="24"/>
          </w:rPr>
          <w:t xml:space="preserve"> </w:t>
        </w:r>
        <w:r w:rsidR="00C03537" w:rsidRPr="00BD3643">
          <w:rPr>
            <w:rStyle w:val="Hipervnculo"/>
            <w:rFonts w:ascii="Times New Roman" w:hAnsi="Times New Roman" w:cs="Times New Roman"/>
            <w:sz w:val="24"/>
            <w:szCs w:val="24"/>
          </w:rPr>
          <w:t>de 2021.</w:t>
        </w:r>
      </w:hyperlink>
      <w:r w:rsidR="00C03537">
        <w:rPr>
          <w:rFonts w:ascii="Times New Roman" w:hAnsi="Times New Roman" w:cs="Times New Roman"/>
          <w:sz w:val="24"/>
          <w:szCs w:val="24"/>
        </w:rPr>
        <w:t xml:space="preserve"> </w:t>
      </w:r>
      <w:r w:rsidR="00B2676E">
        <w:rPr>
          <w:rFonts w:ascii="Times New Roman" w:hAnsi="Times New Roman" w:cs="Times New Roman"/>
          <w:sz w:val="24"/>
          <w:szCs w:val="24"/>
        </w:rPr>
        <w:t xml:space="preserve">Contrato de suscripción de valores Santander. </w:t>
      </w:r>
      <w:r w:rsidRPr="00BD3643">
        <w:rPr>
          <w:rFonts w:ascii="Times New Roman" w:hAnsi="Times New Roman" w:cs="Times New Roman"/>
          <w:sz w:val="24"/>
          <w:szCs w:val="24"/>
        </w:rPr>
        <w:t>Demanda interpuesta por</w:t>
      </w:r>
      <w:r w:rsidR="00B2676E" w:rsidRPr="00BD3643">
        <w:rPr>
          <w:rFonts w:ascii="Times New Roman" w:hAnsi="Times New Roman" w:cs="Times New Roman"/>
          <w:sz w:val="24"/>
          <w:szCs w:val="24"/>
        </w:rPr>
        <w:t xml:space="preserve"> asociación de consumidores y usuarios en defensa de los intereses de sus asociados.</w:t>
      </w:r>
      <w:r w:rsidR="00B2676E">
        <w:rPr>
          <w:rFonts w:ascii="Times New Roman" w:hAnsi="Times New Roman" w:cs="Times New Roman"/>
          <w:sz w:val="24"/>
          <w:szCs w:val="24"/>
        </w:rPr>
        <w:t xml:space="preserve"> Responsabilidad </w:t>
      </w:r>
      <w:r>
        <w:rPr>
          <w:rFonts w:ascii="Times New Roman" w:hAnsi="Times New Roman" w:cs="Times New Roman"/>
          <w:sz w:val="24"/>
          <w:szCs w:val="24"/>
        </w:rPr>
        <w:t>de la entidad bancaria</w:t>
      </w:r>
      <w:r>
        <w:rPr>
          <w:rFonts w:ascii="Times New Roman" w:hAnsi="Times New Roman" w:cs="Times New Roman"/>
          <w:sz w:val="24"/>
          <w:szCs w:val="24"/>
        </w:rPr>
        <w:t xml:space="preserve"> </w:t>
      </w:r>
      <w:r w:rsidR="00B2676E">
        <w:rPr>
          <w:rFonts w:ascii="Times New Roman" w:hAnsi="Times New Roman" w:cs="Times New Roman"/>
          <w:sz w:val="24"/>
          <w:szCs w:val="24"/>
        </w:rPr>
        <w:t xml:space="preserve">por incumplimiento contractual. </w:t>
      </w:r>
    </w:p>
    <w:p w14:paraId="5B976D57" w14:textId="0FB6B5FE" w:rsidR="00B2676E" w:rsidRDefault="001243F0" w:rsidP="00F60701">
      <w:pPr>
        <w:spacing w:after="240"/>
        <w:jc w:val="both"/>
        <w:rPr>
          <w:rFonts w:ascii="Times New Roman" w:hAnsi="Times New Roman" w:cs="Times New Roman"/>
          <w:sz w:val="24"/>
          <w:szCs w:val="24"/>
        </w:rPr>
      </w:pPr>
      <w:hyperlink r:id="rId90" w:history="1">
        <w:r w:rsidR="00B2676E" w:rsidRPr="001243F0">
          <w:rPr>
            <w:rStyle w:val="Hipervnculo"/>
            <w:rFonts w:ascii="Times New Roman" w:hAnsi="Times New Roman" w:cs="Times New Roman"/>
            <w:sz w:val="24"/>
            <w:szCs w:val="24"/>
          </w:rPr>
          <w:t>SAP de Cantabria (Secc. 4ª), 576/2021, de 14 de septiembre de 2021</w:t>
        </w:r>
      </w:hyperlink>
      <w:r w:rsidR="00B2676E">
        <w:rPr>
          <w:rFonts w:ascii="Times New Roman" w:hAnsi="Times New Roman" w:cs="Times New Roman"/>
          <w:sz w:val="24"/>
          <w:szCs w:val="24"/>
        </w:rPr>
        <w:t xml:space="preserve">. </w:t>
      </w:r>
      <w:r>
        <w:rPr>
          <w:rFonts w:ascii="Times New Roman" w:hAnsi="Times New Roman" w:cs="Times New Roman"/>
          <w:sz w:val="24"/>
          <w:szCs w:val="24"/>
        </w:rPr>
        <w:t>Contrato de p</w:t>
      </w:r>
      <w:r w:rsidR="00B2676E">
        <w:rPr>
          <w:rFonts w:ascii="Times New Roman" w:hAnsi="Times New Roman" w:cs="Times New Roman"/>
          <w:sz w:val="24"/>
          <w:szCs w:val="24"/>
        </w:rPr>
        <w:t xml:space="preserve">réstamo con garantía hipotecaria. </w:t>
      </w:r>
      <w:r w:rsidR="00BD3643">
        <w:rPr>
          <w:rFonts w:ascii="Times New Roman" w:hAnsi="Times New Roman" w:cs="Times New Roman"/>
          <w:sz w:val="24"/>
          <w:szCs w:val="24"/>
        </w:rPr>
        <w:t>Validez del a</w:t>
      </w:r>
      <w:r>
        <w:rPr>
          <w:rFonts w:ascii="Times New Roman" w:hAnsi="Times New Roman" w:cs="Times New Roman"/>
          <w:sz w:val="24"/>
          <w:szCs w:val="24"/>
        </w:rPr>
        <w:t>cuerdo de afianzamiento.</w:t>
      </w:r>
    </w:p>
    <w:p w14:paraId="7A7D7981" w14:textId="55A70484" w:rsidR="000148EA" w:rsidRDefault="000148EA" w:rsidP="00F60701">
      <w:pPr>
        <w:spacing w:after="240"/>
        <w:jc w:val="both"/>
        <w:rPr>
          <w:rFonts w:ascii="Times New Roman" w:hAnsi="Times New Roman" w:cs="Times New Roman"/>
          <w:sz w:val="24"/>
          <w:szCs w:val="24"/>
        </w:rPr>
      </w:pPr>
      <w:hyperlink r:id="rId91" w:history="1">
        <w:r w:rsidRPr="000148EA">
          <w:rPr>
            <w:rStyle w:val="Hipervnculo"/>
            <w:rFonts w:ascii="Times New Roman" w:hAnsi="Times New Roman" w:cs="Times New Roman"/>
            <w:sz w:val="24"/>
            <w:szCs w:val="24"/>
          </w:rPr>
          <w:t>SAP de Girona (Secc. 1ª), 511/2021, de 20 de septiembre de 2021</w:t>
        </w:r>
      </w:hyperlink>
      <w:r>
        <w:rPr>
          <w:rFonts w:ascii="Times New Roman" w:hAnsi="Times New Roman" w:cs="Times New Roman"/>
          <w:sz w:val="24"/>
          <w:szCs w:val="24"/>
        </w:rPr>
        <w:t xml:space="preserve">. </w:t>
      </w:r>
      <w:r w:rsidR="001243F0">
        <w:rPr>
          <w:rFonts w:ascii="Times New Roman" w:hAnsi="Times New Roman" w:cs="Times New Roman"/>
          <w:sz w:val="24"/>
          <w:szCs w:val="24"/>
        </w:rPr>
        <w:t>Contrato de p</w:t>
      </w:r>
      <w:r w:rsidR="00C03537">
        <w:rPr>
          <w:rFonts w:ascii="Times New Roman" w:hAnsi="Times New Roman" w:cs="Times New Roman"/>
          <w:sz w:val="24"/>
          <w:szCs w:val="24"/>
        </w:rPr>
        <w:t xml:space="preserve">réstamo con garantía hipotecaria. Cláusula “IRPH Entidades”. </w:t>
      </w:r>
    </w:p>
    <w:p w14:paraId="491ABC84" w14:textId="57078508" w:rsidR="00F60701" w:rsidRPr="00F60701" w:rsidRDefault="00C03537" w:rsidP="00F60701">
      <w:pPr>
        <w:spacing w:after="240"/>
        <w:jc w:val="both"/>
        <w:rPr>
          <w:rFonts w:ascii="Times New Roman" w:hAnsi="Times New Roman" w:cs="Times New Roman"/>
          <w:sz w:val="24"/>
          <w:szCs w:val="24"/>
        </w:rPr>
      </w:pPr>
      <w:hyperlink r:id="rId92" w:history="1">
        <w:r w:rsidRPr="00C03537">
          <w:rPr>
            <w:rStyle w:val="Hipervnculo"/>
            <w:rFonts w:ascii="Times New Roman" w:hAnsi="Times New Roman" w:cs="Times New Roman"/>
            <w:sz w:val="24"/>
            <w:szCs w:val="24"/>
          </w:rPr>
          <w:t>SAP de Cantabria (Secc. 4ª), 626/2021, de 30 de septiembre de 2021</w:t>
        </w:r>
      </w:hyperlink>
      <w:r>
        <w:rPr>
          <w:rFonts w:ascii="Times New Roman" w:hAnsi="Times New Roman" w:cs="Times New Roman"/>
          <w:sz w:val="24"/>
          <w:szCs w:val="24"/>
        </w:rPr>
        <w:t xml:space="preserve">. Préstamo hipotecario. Cláusula de gastos. Restitución de cantidades. Cómputo del plazo de prescripción.  </w:t>
      </w:r>
    </w:p>
    <w:p w14:paraId="2DFE1C8E" w14:textId="089A4F14" w:rsidR="00D03066" w:rsidRPr="002B1E17" w:rsidRDefault="00324CCA" w:rsidP="002B1E17">
      <w:pPr>
        <w:spacing w:after="240"/>
        <w:jc w:val="center"/>
        <w:rPr>
          <w:rFonts w:ascii="Times New Roman" w:hAnsi="Times New Roman" w:cs="Times New Roman"/>
          <w:b/>
          <w:bCs/>
          <w:sz w:val="24"/>
          <w:szCs w:val="24"/>
        </w:rPr>
      </w:pPr>
      <w:r>
        <w:rPr>
          <w:noProof/>
        </w:rPr>
        <w:pict w14:anchorId="582272BF">
          <v:rect id="_x0000_i1027" alt="" style="width:425.2pt;height:.05pt;mso-width-percent:0;mso-height-percent:0;mso-width-percent:0;mso-height-percent:0" o:hralign="center" o:hrstd="t" o:hr="t" fillcolor="#a0a0a0" stroked="f"/>
        </w:pict>
      </w:r>
    </w:p>
    <w:p w14:paraId="7D0B485C" w14:textId="77777777" w:rsidR="001C7752" w:rsidRDefault="001C7752" w:rsidP="00B32AD3">
      <w:pPr>
        <w:spacing w:after="240"/>
        <w:jc w:val="center"/>
        <w:rPr>
          <w:rFonts w:ascii="Times New Roman" w:hAnsi="Times New Roman" w:cs="Times New Roman"/>
          <w:b/>
          <w:bCs/>
          <w:sz w:val="24"/>
          <w:szCs w:val="24"/>
        </w:rPr>
      </w:pPr>
    </w:p>
    <w:p w14:paraId="6A2008C5" w14:textId="70D4F5E1" w:rsidR="002B1E17" w:rsidRDefault="002B1E17" w:rsidP="00B32AD3">
      <w:pPr>
        <w:spacing w:after="240"/>
        <w:jc w:val="center"/>
        <w:rPr>
          <w:rFonts w:ascii="Times New Roman" w:hAnsi="Times New Roman" w:cs="Times New Roman"/>
          <w:b/>
          <w:bCs/>
          <w:sz w:val="24"/>
          <w:szCs w:val="24"/>
        </w:rPr>
      </w:pPr>
      <w:r w:rsidRPr="00F7142B">
        <w:rPr>
          <w:rFonts w:ascii="Times New Roman" w:hAnsi="Times New Roman" w:cs="Times New Roman"/>
          <w:b/>
          <w:bCs/>
          <w:sz w:val="24"/>
          <w:szCs w:val="24"/>
        </w:rPr>
        <w:t>JUZGADOS DE PRIMERA INSTANCIA</w:t>
      </w:r>
    </w:p>
    <w:p w14:paraId="34E9BA84" w14:textId="05A52483" w:rsidR="003D2EB7" w:rsidRDefault="003D2EB7" w:rsidP="00B32AD3">
      <w:pPr>
        <w:spacing w:after="240"/>
        <w:jc w:val="center"/>
        <w:rPr>
          <w:rFonts w:ascii="Times New Roman" w:hAnsi="Times New Roman" w:cs="Times New Roman"/>
          <w:b/>
          <w:bCs/>
          <w:sz w:val="11"/>
          <w:szCs w:val="11"/>
        </w:rPr>
      </w:pPr>
    </w:p>
    <w:p w14:paraId="2B765ECD" w14:textId="6D99F9D4" w:rsidR="003D2EB7" w:rsidRDefault="00F94598" w:rsidP="003D2EB7">
      <w:pPr>
        <w:spacing w:after="240"/>
        <w:jc w:val="both"/>
        <w:rPr>
          <w:rFonts w:ascii="Times New Roman" w:hAnsi="Times New Roman" w:cs="Times New Roman"/>
          <w:sz w:val="24"/>
          <w:szCs w:val="24"/>
        </w:rPr>
      </w:pPr>
      <w:hyperlink r:id="rId93" w:history="1">
        <w:r w:rsidR="003D2EB7" w:rsidRPr="00F94598">
          <w:rPr>
            <w:rStyle w:val="Hipervnculo"/>
            <w:rFonts w:ascii="Times New Roman" w:hAnsi="Times New Roman" w:cs="Times New Roman"/>
            <w:sz w:val="24"/>
            <w:szCs w:val="24"/>
          </w:rPr>
          <w:t>Sentencia del JPI núm. 5 de Pamplona</w:t>
        </w:r>
        <w:r w:rsidRPr="00F94598">
          <w:rPr>
            <w:rStyle w:val="Hipervnculo"/>
            <w:rFonts w:ascii="Times New Roman" w:hAnsi="Times New Roman" w:cs="Times New Roman"/>
            <w:sz w:val="24"/>
            <w:szCs w:val="24"/>
          </w:rPr>
          <w:t>, de 30 de julio de 2021</w:t>
        </w:r>
      </w:hyperlink>
      <w:r>
        <w:rPr>
          <w:rFonts w:ascii="Times New Roman" w:hAnsi="Times New Roman" w:cs="Times New Roman"/>
          <w:sz w:val="24"/>
          <w:szCs w:val="24"/>
        </w:rPr>
        <w:t xml:space="preserve">. Contrato de adquisición de obligaciones subordinadas. Nulidad por error en el consentimiento. </w:t>
      </w:r>
    </w:p>
    <w:p w14:paraId="47121C79" w14:textId="4A9BCBAE" w:rsidR="00F94598" w:rsidRPr="003D2EB7" w:rsidRDefault="00E017A7" w:rsidP="003D2EB7">
      <w:pPr>
        <w:spacing w:after="240"/>
        <w:jc w:val="both"/>
        <w:rPr>
          <w:rFonts w:ascii="Times New Roman" w:hAnsi="Times New Roman" w:cs="Times New Roman"/>
          <w:sz w:val="24"/>
          <w:szCs w:val="24"/>
        </w:rPr>
      </w:pPr>
      <w:hyperlink r:id="rId94" w:history="1">
        <w:r w:rsidR="00F94598" w:rsidRPr="00E017A7">
          <w:rPr>
            <w:rStyle w:val="Hipervnculo"/>
            <w:rFonts w:ascii="Times New Roman" w:hAnsi="Times New Roman" w:cs="Times New Roman"/>
            <w:sz w:val="24"/>
            <w:szCs w:val="24"/>
          </w:rPr>
          <w:t>Sentencia del JPI núm. 5 de Pamplona, de 16 de septiembre de 2021</w:t>
        </w:r>
      </w:hyperlink>
      <w:r w:rsidR="00F94598">
        <w:rPr>
          <w:rFonts w:ascii="Times New Roman" w:hAnsi="Times New Roman" w:cs="Times New Roman"/>
          <w:sz w:val="24"/>
          <w:szCs w:val="24"/>
        </w:rPr>
        <w:t xml:space="preserve">. </w:t>
      </w:r>
      <w:r>
        <w:rPr>
          <w:rFonts w:ascii="Times New Roman" w:hAnsi="Times New Roman" w:cs="Times New Roman"/>
          <w:sz w:val="24"/>
          <w:szCs w:val="24"/>
        </w:rPr>
        <w:t>Prestación de servicios de telefonía.</w:t>
      </w:r>
      <w:r w:rsidR="00BD3643">
        <w:rPr>
          <w:rFonts w:ascii="Times New Roman" w:hAnsi="Times New Roman" w:cs="Times New Roman"/>
          <w:sz w:val="24"/>
          <w:szCs w:val="24"/>
        </w:rPr>
        <w:t xml:space="preserve"> </w:t>
      </w:r>
      <w:r w:rsidR="00F94598">
        <w:rPr>
          <w:rFonts w:ascii="Times New Roman" w:hAnsi="Times New Roman" w:cs="Times New Roman"/>
          <w:sz w:val="24"/>
          <w:szCs w:val="24"/>
        </w:rPr>
        <w:t>Vulneración del derecho al honor</w:t>
      </w:r>
      <w:r>
        <w:rPr>
          <w:rFonts w:ascii="Times New Roman" w:hAnsi="Times New Roman" w:cs="Times New Roman"/>
          <w:sz w:val="24"/>
          <w:szCs w:val="24"/>
        </w:rPr>
        <w:t xml:space="preserve"> por inclusión</w:t>
      </w:r>
      <w:r w:rsidR="00F94598">
        <w:rPr>
          <w:rFonts w:ascii="Times New Roman" w:hAnsi="Times New Roman" w:cs="Times New Roman"/>
          <w:sz w:val="24"/>
          <w:szCs w:val="24"/>
        </w:rPr>
        <w:t xml:space="preserve"> </w:t>
      </w:r>
      <w:r>
        <w:rPr>
          <w:rFonts w:ascii="Times New Roman" w:hAnsi="Times New Roman" w:cs="Times New Roman"/>
          <w:sz w:val="24"/>
          <w:szCs w:val="24"/>
        </w:rPr>
        <w:t xml:space="preserve">de cliente en fichero de solvencia patrimonial. Indemnización de daños y perjuicios. </w:t>
      </w:r>
    </w:p>
    <w:p w14:paraId="24B95C51" w14:textId="3016C498" w:rsidR="001243F0" w:rsidRPr="001243F0" w:rsidRDefault="00F94598" w:rsidP="001243F0">
      <w:pPr>
        <w:spacing w:after="24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"https://www.poderjudicial.es/search/AN/openDocument/8c219ff33cd5047d/20211006" </w:instrText>
      </w:r>
      <w:r>
        <w:rPr>
          <w:rFonts w:ascii="Times New Roman" w:hAnsi="Times New Roman" w:cs="Times New Roman"/>
          <w:sz w:val="24"/>
          <w:szCs w:val="24"/>
        </w:rPr>
      </w:r>
      <w:r>
        <w:rPr>
          <w:rFonts w:ascii="Times New Roman" w:hAnsi="Times New Roman" w:cs="Times New Roman"/>
          <w:sz w:val="24"/>
          <w:szCs w:val="24"/>
        </w:rPr>
        <w:fldChar w:fldCharType="separate"/>
      </w:r>
      <w:r w:rsidR="001243F0" w:rsidRPr="00F94598">
        <w:rPr>
          <w:rStyle w:val="Hipervnculo"/>
          <w:rFonts w:ascii="Times New Roman" w:hAnsi="Times New Roman" w:cs="Times New Roman"/>
          <w:sz w:val="24"/>
          <w:szCs w:val="24"/>
        </w:rPr>
        <w:t xml:space="preserve">Sentencia del JPI núm. </w:t>
      </w:r>
      <w:r w:rsidR="003D2EB7" w:rsidRPr="00F94598">
        <w:rPr>
          <w:rStyle w:val="Hipervnculo"/>
          <w:rFonts w:ascii="Times New Roman" w:hAnsi="Times New Roman" w:cs="Times New Roman"/>
          <w:sz w:val="24"/>
          <w:szCs w:val="24"/>
        </w:rPr>
        <w:t>5</w:t>
      </w:r>
      <w:r w:rsidR="001243F0" w:rsidRPr="00F94598">
        <w:rPr>
          <w:rStyle w:val="Hipervnculo"/>
          <w:rFonts w:ascii="Times New Roman" w:hAnsi="Times New Roman" w:cs="Times New Roman"/>
          <w:sz w:val="24"/>
          <w:szCs w:val="24"/>
        </w:rPr>
        <w:t xml:space="preserve"> </w:t>
      </w:r>
      <w:r w:rsidR="001243F0" w:rsidRPr="00F94598">
        <w:rPr>
          <w:rStyle w:val="Hipervnculo"/>
          <w:rFonts w:ascii="Times New Roman" w:hAnsi="Times New Roman" w:cs="Times New Roman"/>
          <w:sz w:val="24"/>
          <w:szCs w:val="24"/>
        </w:rPr>
        <w:t xml:space="preserve">de </w:t>
      </w:r>
      <w:r w:rsidR="003D2EB7" w:rsidRPr="00F94598">
        <w:rPr>
          <w:rStyle w:val="Hipervnculo"/>
          <w:rFonts w:ascii="Times New Roman" w:hAnsi="Times New Roman" w:cs="Times New Roman"/>
          <w:sz w:val="24"/>
          <w:szCs w:val="24"/>
        </w:rPr>
        <w:t>Pamplona</w:t>
      </w:r>
      <w:r w:rsidR="001243F0" w:rsidRPr="00F94598">
        <w:rPr>
          <w:rStyle w:val="Hipervnculo"/>
          <w:rFonts w:ascii="Times New Roman" w:hAnsi="Times New Roman" w:cs="Times New Roman"/>
          <w:sz w:val="24"/>
          <w:szCs w:val="24"/>
        </w:rPr>
        <w:t xml:space="preserve">, de </w:t>
      </w:r>
      <w:r w:rsidR="003D2EB7" w:rsidRPr="00F94598">
        <w:rPr>
          <w:rStyle w:val="Hipervnculo"/>
          <w:rFonts w:ascii="Times New Roman" w:hAnsi="Times New Roman" w:cs="Times New Roman"/>
          <w:sz w:val="24"/>
          <w:szCs w:val="24"/>
        </w:rPr>
        <w:t>28 de septiembre de 2021</w:t>
      </w:r>
      <w:r>
        <w:rPr>
          <w:rFonts w:ascii="Times New Roman" w:hAnsi="Times New Roman" w:cs="Times New Roman"/>
          <w:sz w:val="24"/>
          <w:szCs w:val="24"/>
        </w:rPr>
        <w:fldChar w:fldCharType="end"/>
      </w:r>
      <w:r w:rsidR="003D2EB7">
        <w:rPr>
          <w:rFonts w:ascii="Times New Roman" w:hAnsi="Times New Roman" w:cs="Times New Roman"/>
          <w:sz w:val="24"/>
          <w:szCs w:val="24"/>
        </w:rPr>
        <w:t xml:space="preserve">. Nulidad de contrato de tarjeta de crédito “revolving”. Interés del 24,96 %. Nulidad por usura. </w:t>
      </w:r>
    </w:p>
    <w:p w14:paraId="36893CDB" w14:textId="0969BE51" w:rsidR="002B1E17" w:rsidRPr="002B1E17" w:rsidRDefault="00324CCA" w:rsidP="002B1E17">
      <w:pPr>
        <w:spacing w:after="240"/>
        <w:jc w:val="both"/>
        <w:rPr>
          <w:rFonts w:ascii="Times New Roman" w:hAnsi="Times New Roman" w:cs="Times New Roman"/>
          <w:b/>
          <w:bCs/>
          <w:sz w:val="24"/>
          <w:szCs w:val="24"/>
        </w:rPr>
      </w:pPr>
      <w:r>
        <w:rPr>
          <w:noProof/>
        </w:rPr>
        <w:pict w14:anchorId="3E3A2EF7">
          <v:rect id="_x0000_i1026" alt="" style="width:425.2pt;height:.05pt;mso-width-percent:0;mso-height-percent:0;mso-width-percent:0;mso-height-percent:0" o:hralign="center" o:hrstd="t" o:hr="t" fillcolor="#a0a0a0" stroked="f"/>
        </w:pict>
      </w:r>
    </w:p>
    <w:p w14:paraId="40CF84A3" w14:textId="18116B61" w:rsidR="00470BF9" w:rsidRPr="007A7EB8" w:rsidRDefault="00470BF9" w:rsidP="00470BF9">
      <w:pPr>
        <w:jc w:val="both"/>
        <w:rPr>
          <w:rFonts w:ascii="Times New Roman" w:hAnsi="Times New Roman" w:cs="Times New Roman"/>
          <w:b/>
          <w:color w:val="000000" w:themeColor="text1"/>
          <w:sz w:val="56"/>
          <w:szCs w:val="56"/>
        </w:rPr>
      </w:pPr>
      <w:r>
        <w:rPr>
          <w:rFonts w:ascii="Times New Roman" w:hAnsi="Times New Roman" w:cs="Times New Roman"/>
          <w:bCs/>
          <w:color w:val="000000" w:themeColor="text1"/>
          <w:sz w:val="24"/>
          <w:szCs w:val="24"/>
        </w:rPr>
        <w:t xml:space="preserve"> </w:t>
      </w:r>
    </w:p>
    <w:p w14:paraId="6F512E72" w14:textId="19684643" w:rsidR="00E017A7" w:rsidRPr="00E017A7" w:rsidRDefault="00E017A7" w:rsidP="00E017A7">
      <w:pPr>
        <w:jc w:val="center"/>
        <w:rPr>
          <w:rFonts w:ascii="Times New Roman" w:hAnsi="Times New Roman" w:cs="Times New Roman"/>
          <w:b/>
          <w:color w:val="000000" w:themeColor="text1"/>
          <w:sz w:val="28"/>
          <w:szCs w:val="28"/>
        </w:rPr>
      </w:pPr>
      <w:r w:rsidRPr="00E017A7">
        <w:rPr>
          <w:rFonts w:ascii="Times New Roman" w:hAnsi="Times New Roman" w:cs="Times New Roman"/>
          <w:b/>
          <w:color w:val="000000" w:themeColor="text1"/>
          <w:sz w:val="28"/>
          <w:szCs w:val="28"/>
        </w:rPr>
        <w:t>RESOLUCIONES DE LA DIRECCIÓN GENERAL DE SEGURIDAD JURÍDICA Y FE PÚBLICA (DGSJFP)</w:t>
      </w:r>
    </w:p>
    <w:p w14:paraId="5405431B" w14:textId="68EC482F" w:rsidR="00E017A7" w:rsidRPr="007A7EB8" w:rsidRDefault="00E017A7" w:rsidP="00E017A7">
      <w:pPr>
        <w:jc w:val="both"/>
        <w:rPr>
          <w:rFonts w:ascii="Times New Roman" w:hAnsi="Times New Roman" w:cs="Times New Roman"/>
          <w:bCs/>
          <w:color w:val="000000" w:themeColor="text1"/>
          <w:sz w:val="11"/>
          <w:szCs w:val="11"/>
        </w:rPr>
      </w:pPr>
    </w:p>
    <w:p w14:paraId="4B9A2A0F" w14:textId="78DD67B6" w:rsidR="00E017A7" w:rsidRDefault="00ED63FB" w:rsidP="00E017A7">
      <w:pPr>
        <w:jc w:val="both"/>
        <w:rPr>
          <w:rFonts w:ascii="Times New Roman" w:hAnsi="Times New Roman" w:cs="Times New Roman"/>
          <w:bCs/>
          <w:color w:val="000000" w:themeColor="text1"/>
          <w:sz w:val="24"/>
          <w:szCs w:val="24"/>
        </w:rPr>
      </w:pPr>
      <w:hyperlink r:id="rId95" w:history="1">
        <w:r>
          <w:rPr>
            <w:rStyle w:val="Hipervnculo"/>
            <w:rFonts w:ascii="Times New Roman" w:hAnsi="Times New Roman" w:cs="Times New Roman"/>
            <w:bCs/>
            <w:sz w:val="24"/>
            <w:szCs w:val="24"/>
          </w:rPr>
          <w:t>Resolución de la DGSJFP,</w:t>
        </w:r>
        <w:r w:rsidR="00E017A7" w:rsidRPr="00ED63FB">
          <w:rPr>
            <w:rStyle w:val="Hipervnculo"/>
            <w:rFonts w:ascii="Times New Roman" w:hAnsi="Times New Roman" w:cs="Times New Roman"/>
            <w:bCs/>
            <w:sz w:val="24"/>
            <w:szCs w:val="24"/>
          </w:rPr>
          <w:t xml:space="preserve"> de</w:t>
        </w:r>
        <w:r w:rsidR="00E017A7" w:rsidRPr="00ED63FB">
          <w:rPr>
            <w:rStyle w:val="Hipervnculo"/>
            <w:rFonts w:ascii="Times New Roman" w:hAnsi="Times New Roman" w:cs="Times New Roman"/>
            <w:bCs/>
            <w:sz w:val="24"/>
            <w:szCs w:val="24"/>
          </w:rPr>
          <w:t xml:space="preserve"> </w:t>
        </w:r>
        <w:r w:rsidR="00E017A7" w:rsidRPr="00ED63FB">
          <w:rPr>
            <w:rStyle w:val="Hipervnculo"/>
            <w:rFonts w:ascii="Times New Roman" w:hAnsi="Times New Roman" w:cs="Times New Roman"/>
            <w:bCs/>
            <w:sz w:val="24"/>
            <w:szCs w:val="24"/>
          </w:rPr>
          <w:t>30 de juli</w:t>
        </w:r>
        <w:r w:rsidR="00E017A7" w:rsidRPr="00ED63FB">
          <w:rPr>
            <w:rStyle w:val="Hipervnculo"/>
            <w:rFonts w:ascii="Times New Roman" w:hAnsi="Times New Roman" w:cs="Times New Roman"/>
            <w:bCs/>
            <w:sz w:val="24"/>
            <w:szCs w:val="24"/>
          </w:rPr>
          <w:t>o</w:t>
        </w:r>
        <w:r w:rsidR="00E017A7" w:rsidRPr="00ED63FB">
          <w:rPr>
            <w:rStyle w:val="Hipervnculo"/>
            <w:rFonts w:ascii="Times New Roman" w:hAnsi="Times New Roman" w:cs="Times New Roman"/>
            <w:bCs/>
            <w:sz w:val="24"/>
            <w:szCs w:val="24"/>
          </w:rPr>
          <w:t xml:space="preserve"> de 2021</w:t>
        </w:r>
      </w:hyperlink>
      <w:r w:rsidR="00E017A7">
        <w:rPr>
          <w:rFonts w:ascii="Times New Roman" w:hAnsi="Times New Roman" w:cs="Times New Roman"/>
          <w:bCs/>
          <w:color w:val="000000" w:themeColor="text1"/>
          <w:sz w:val="24"/>
          <w:szCs w:val="24"/>
        </w:rPr>
        <w:t>,</w:t>
      </w:r>
      <w:r w:rsidR="00E017A7" w:rsidRPr="00E017A7">
        <w:rPr>
          <w:rFonts w:ascii="Times New Roman" w:hAnsi="Times New Roman" w:cs="Times New Roman"/>
          <w:bCs/>
          <w:color w:val="000000" w:themeColor="text1"/>
          <w:sz w:val="24"/>
          <w:szCs w:val="24"/>
        </w:rPr>
        <w:t xml:space="preserve"> </w:t>
      </w:r>
      <w:r w:rsidR="00E017A7" w:rsidRPr="00E017A7">
        <w:rPr>
          <w:rFonts w:ascii="Times New Roman" w:hAnsi="Times New Roman" w:cs="Times New Roman"/>
          <w:bCs/>
          <w:color w:val="000000" w:themeColor="text1"/>
          <w:sz w:val="24"/>
          <w:szCs w:val="24"/>
        </w:rPr>
        <w:t>en el recurso interpuesto contra la nota de calificación negativa de la registradora de la propiedad de Manresa nº 1, por la que se suspende la inscripción de una escritura de préstamo hipotecario por no haberse acreditado el cumplimiento por parte del prestamista de las obligaciones precontractuales impuestas por la legislación del consumo de Cataluña</w:t>
      </w:r>
      <w:r w:rsidR="00E017A7">
        <w:rPr>
          <w:rFonts w:ascii="Times New Roman" w:hAnsi="Times New Roman" w:cs="Times New Roman"/>
          <w:bCs/>
          <w:color w:val="000000" w:themeColor="text1"/>
          <w:sz w:val="24"/>
          <w:szCs w:val="24"/>
        </w:rPr>
        <w:t xml:space="preserve"> (</w:t>
      </w:r>
      <w:hyperlink r:id="rId96" w:anchor="319-prestamo-hipotecario-control-de-transparencia-material-ley-5-2019-y-legislacion-catalana" w:history="1">
        <w:r w:rsidRPr="007A7EB8">
          <w:rPr>
            <w:rStyle w:val="Hipervnculo"/>
            <w:rFonts w:ascii="Times New Roman" w:hAnsi="Times New Roman" w:cs="Times New Roman"/>
            <w:bCs/>
            <w:sz w:val="24"/>
            <w:szCs w:val="24"/>
          </w:rPr>
          <w:t>web</w:t>
        </w:r>
        <w:r w:rsidRPr="007A7EB8">
          <w:rPr>
            <w:rStyle w:val="Hipervnculo"/>
            <w:rFonts w:ascii="Times New Roman" w:hAnsi="Times New Roman" w:cs="Times New Roman"/>
            <w:bCs/>
            <w:sz w:val="24"/>
            <w:szCs w:val="24"/>
          </w:rPr>
          <w:t xml:space="preserve"> </w:t>
        </w:r>
        <w:r w:rsidRPr="007A7EB8">
          <w:rPr>
            <w:rStyle w:val="Hipervnculo"/>
            <w:rFonts w:ascii="Times New Roman" w:hAnsi="Times New Roman" w:cs="Times New Roman"/>
            <w:bCs/>
            <w:sz w:val="24"/>
            <w:szCs w:val="24"/>
          </w:rPr>
          <w:t>N</w:t>
        </w:r>
        <w:r w:rsidRPr="007A7EB8">
          <w:rPr>
            <w:rStyle w:val="Hipervnculo"/>
            <w:rFonts w:ascii="Times New Roman" w:hAnsi="Times New Roman" w:cs="Times New Roman"/>
            <w:bCs/>
            <w:sz w:val="24"/>
            <w:szCs w:val="24"/>
          </w:rPr>
          <w:t>&amp;</w:t>
        </w:r>
        <w:r w:rsidRPr="007A7EB8">
          <w:rPr>
            <w:rStyle w:val="Hipervnculo"/>
            <w:rFonts w:ascii="Times New Roman" w:hAnsi="Times New Roman" w:cs="Times New Roman"/>
            <w:bCs/>
            <w:sz w:val="24"/>
            <w:szCs w:val="24"/>
          </w:rPr>
          <w:t>R</w:t>
        </w:r>
        <w:r w:rsidRPr="007A7EB8">
          <w:rPr>
            <w:rStyle w:val="Hipervnculo"/>
            <w:rFonts w:ascii="Times New Roman" w:hAnsi="Times New Roman" w:cs="Times New Roman"/>
            <w:bCs/>
            <w:sz w:val="24"/>
            <w:szCs w:val="24"/>
          </w:rPr>
          <w:t>).</w:t>
        </w:r>
      </w:hyperlink>
    </w:p>
    <w:p w14:paraId="70E6ED5C" w14:textId="77777777" w:rsidR="007A7EB8" w:rsidRDefault="007A7EB8" w:rsidP="00E017A7">
      <w:pPr>
        <w:jc w:val="both"/>
        <w:rPr>
          <w:rFonts w:ascii="Times New Roman" w:hAnsi="Times New Roman" w:cs="Times New Roman"/>
          <w:bCs/>
          <w:color w:val="000000" w:themeColor="text1"/>
          <w:sz w:val="24"/>
          <w:szCs w:val="24"/>
        </w:rPr>
      </w:pPr>
    </w:p>
    <w:p w14:paraId="7FFB165D" w14:textId="5E95F09C" w:rsidR="007A7EB8" w:rsidRPr="00470BF9" w:rsidRDefault="00324CCA" w:rsidP="00E017A7">
      <w:pPr>
        <w:jc w:val="both"/>
        <w:rPr>
          <w:rFonts w:ascii="Times New Roman" w:hAnsi="Times New Roman" w:cs="Times New Roman"/>
          <w:bCs/>
          <w:color w:val="000000" w:themeColor="text1"/>
          <w:sz w:val="24"/>
          <w:szCs w:val="24"/>
        </w:rPr>
      </w:pPr>
      <w:r>
        <w:rPr>
          <w:noProof/>
        </w:rPr>
        <w:pict w14:anchorId="01EE5F64">
          <v:rect id="_x0000_i1025" alt="" style="width:425.2pt;height:.05pt;mso-width-percent:0;mso-height-percent:0;mso-width-percent:0;mso-height-percent:0" o:hralign="center" o:hrstd="t" o:hr="t" fillcolor="#a0a0a0" stroked="f"/>
        </w:pict>
      </w:r>
    </w:p>
    <w:sectPr w:rsidR="007A7EB8" w:rsidRPr="00470BF9" w:rsidSect="000562B1">
      <w:footerReference w:type="default" r:id="rId97"/>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5C899" w14:textId="77777777" w:rsidR="00324CCA" w:rsidRDefault="00324CCA" w:rsidP="000562B1">
      <w:pPr>
        <w:spacing w:after="0" w:line="240" w:lineRule="auto"/>
      </w:pPr>
      <w:r>
        <w:separator/>
      </w:r>
    </w:p>
  </w:endnote>
  <w:endnote w:type="continuationSeparator" w:id="0">
    <w:p w14:paraId="2C13BCB0" w14:textId="77777777" w:rsidR="00324CCA" w:rsidRDefault="00324CCA"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21213" w14:textId="77777777" w:rsidR="00324CCA" w:rsidRDefault="00324CCA" w:rsidP="000562B1">
      <w:pPr>
        <w:spacing w:after="0" w:line="240" w:lineRule="auto"/>
      </w:pPr>
      <w:r>
        <w:separator/>
      </w:r>
    </w:p>
  </w:footnote>
  <w:footnote w:type="continuationSeparator" w:id="0">
    <w:p w14:paraId="5AE1613E" w14:textId="77777777" w:rsidR="00324CCA" w:rsidRDefault="00324CCA"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0"/>
  </w:num>
  <w:num w:numId="4">
    <w:abstractNumId w:val="6"/>
  </w:num>
  <w:num w:numId="5">
    <w:abstractNumId w:val="2"/>
  </w:num>
  <w:num w:numId="6">
    <w:abstractNumId w:val="4"/>
  </w:num>
  <w:num w:numId="7">
    <w:abstractNumId w:val="1"/>
  </w:num>
  <w:num w:numId="8">
    <w:abstractNumId w:val="3"/>
  </w:num>
  <w:num w:numId="9">
    <w:abstractNumId w:val="7"/>
  </w:num>
  <w:num w:numId="10">
    <w:abstractNumId w:val="8"/>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1261B"/>
    <w:rsid w:val="000148EA"/>
    <w:rsid w:val="00020F4E"/>
    <w:rsid w:val="0002281F"/>
    <w:rsid w:val="00023371"/>
    <w:rsid w:val="00025F28"/>
    <w:rsid w:val="000260EA"/>
    <w:rsid w:val="00033A21"/>
    <w:rsid w:val="00036BBC"/>
    <w:rsid w:val="00036CB1"/>
    <w:rsid w:val="00045895"/>
    <w:rsid w:val="0004700D"/>
    <w:rsid w:val="000523A3"/>
    <w:rsid w:val="00054FB7"/>
    <w:rsid w:val="00055DCF"/>
    <w:rsid w:val="000562B1"/>
    <w:rsid w:val="000630D2"/>
    <w:rsid w:val="00064ADC"/>
    <w:rsid w:val="0006715A"/>
    <w:rsid w:val="00091C1F"/>
    <w:rsid w:val="000B0A5D"/>
    <w:rsid w:val="000B5305"/>
    <w:rsid w:val="000C29EB"/>
    <w:rsid w:val="000C5244"/>
    <w:rsid w:val="000F1465"/>
    <w:rsid w:val="00101146"/>
    <w:rsid w:val="00101C22"/>
    <w:rsid w:val="00102EA3"/>
    <w:rsid w:val="001175FF"/>
    <w:rsid w:val="0012310A"/>
    <w:rsid w:val="001243F0"/>
    <w:rsid w:val="001269ED"/>
    <w:rsid w:val="00133E4A"/>
    <w:rsid w:val="00134193"/>
    <w:rsid w:val="001342BF"/>
    <w:rsid w:val="00137D74"/>
    <w:rsid w:val="001426E9"/>
    <w:rsid w:val="001427D2"/>
    <w:rsid w:val="0015251B"/>
    <w:rsid w:val="00152B3F"/>
    <w:rsid w:val="0017035A"/>
    <w:rsid w:val="00181687"/>
    <w:rsid w:val="001832F8"/>
    <w:rsid w:val="00197F42"/>
    <w:rsid w:val="001A34D0"/>
    <w:rsid w:val="001B39D6"/>
    <w:rsid w:val="001C6BB5"/>
    <w:rsid w:val="001C7752"/>
    <w:rsid w:val="001D2A5A"/>
    <w:rsid w:val="001E467C"/>
    <w:rsid w:val="00215B27"/>
    <w:rsid w:val="00226C2F"/>
    <w:rsid w:val="002321F9"/>
    <w:rsid w:val="002523D3"/>
    <w:rsid w:val="002578B0"/>
    <w:rsid w:val="002664A5"/>
    <w:rsid w:val="00277E42"/>
    <w:rsid w:val="0028255D"/>
    <w:rsid w:val="00282C9D"/>
    <w:rsid w:val="00291147"/>
    <w:rsid w:val="002920B4"/>
    <w:rsid w:val="0029296C"/>
    <w:rsid w:val="0029550E"/>
    <w:rsid w:val="00295F80"/>
    <w:rsid w:val="002A11EF"/>
    <w:rsid w:val="002B1E17"/>
    <w:rsid w:val="002C300B"/>
    <w:rsid w:val="002C3D5D"/>
    <w:rsid w:val="00320972"/>
    <w:rsid w:val="00324CCA"/>
    <w:rsid w:val="00326C94"/>
    <w:rsid w:val="00333940"/>
    <w:rsid w:val="00350904"/>
    <w:rsid w:val="00361DBD"/>
    <w:rsid w:val="003662F8"/>
    <w:rsid w:val="00374843"/>
    <w:rsid w:val="00375149"/>
    <w:rsid w:val="0038090B"/>
    <w:rsid w:val="00382342"/>
    <w:rsid w:val="003A75CE"/>
    <w:rsid w:val="003B64E6"/>
    <w:rsid w:val="003B6A79"/>
    <w:rsid w:val="003C3202"/>
    <w:rsid w:val="003C4F44"/>
    <w:rsid w:val="003C7E66"/>
    <w:rsid w:val="003D146F"/>
    <w:rsid w:val="003D2EB7"/>
    <w:rsid w:val="003E66AA"/>
    <w:rsid w:val="003E79C6"/>
    <w:rsid w:val="003F44BD"/>
    <w:rsid w:val="003F49BB"/>
    <w:rsid w:val="003F4BCA"/>
    <w:rsid w:val="00406207"/>
    <w:rsid w:val="00410FE1"/>
    <w:rsid w:val="004154E4"/>
    <w:rsid w:val="004158D3"/>
    <w:rsid w:val="00423FD0"/>
    <w:rsid w:val="00426FB5"/>
    <w:rsid w:val="0045575C"/>
    <w:rsid w:val="00470BF9"/>
    <w:rsid w:val="00474518"/>
    <w:rsid w:val="00480480"/>
    <w:rsid w:val="0048273A"/>
    <w:rsid w:val="00493DA0"/>
    <w:rsid w:val="00495CD3"/>
    <w:rsid w:val="004A1086"/>
    <w:rsid w:val="004A67EC"/>
    <w:rsid w:val="004B17F0"/>
    <w:rsid w:val="004D0941"/>
    <w:rsid w:val="004D794A"/>
    <w:rsid w:val="004F1964"/>
    <w:rsid w:val="004F32B8"/>
    <w:rsid w:val="004F749B"/>
    <w:rsid w:val="0051297C"/>
    <w:rsid w:val="00514DB2"/>
    <w:rsid w:val="0052180D"/>
    <w:rsid w:val="0055001F"/>
    <w:rsid w:val="005524C4"/>
    <w:rsid w:val="005527B0"/>
    <w:rsid w:val="005527D4"/>
    <w:rsid w:val="0055648D"/>
    <w:rsid w:val="00582008"/>
    <w:rsid w:val="005939BE"/>
    <w:rsid w:val="005B7019"/>
    <w:rsid w:val="005C04C5"/>
    <w:rsid w:val="005E340F"/>
    <w:rsid w:val="005F0DEC"/>
    <w:rsid w:val="005F1DFB"/>
    <w:rsid w:val="005F3600"/>
    <w:rsid w:val="005F3622"/>
    <w:rsid w:val="005F3752"/>
    <w:rsid w:val="005F7187"/>
    <w:rsid w:val="00617D90"/>
    <w:rsid w:val="006240C0"/>
    <w:rsid w:val="00630753"/>
    <w:rsid w:val="00631205"/>
    <w:rsid w:val="00633110"/>
    <w:rsid w:val="00652A96"/>
    <w:rsid w:val="00656A1A"/>
    <w:rsid w:val="00666C3C"/>
    <w:rsid w:val="00673A7C"/>
    <w:rsid w:val="006A68C8"/>
    <w:rsid w:val="006B09DF"/>
    <w:rsid w:val="006B172C"/>
    <w:rsid w:val="006F1548"/>
    <w:rsid w:val="006F1906"/>
    <w:rsid w:val="006F7400"/>
    <w:rsid w:val="00710790"/>
    <w:rsid w:val="00715756"/>
    <w:rsid w:val="00716BDF"/>
    <w:rsid w:val="00716C67"/>
    <w:rsid w:val="0072347E"/>
    <w:rsid w:val="0073215C"/>
    <w:rsid w:val="00743A28"/>
    <w:rsid w:val="00745159"/>
    <w:rsid w:val="00750159"/>
    <w:rsid w:val="00750189"/>
    <w:rsid w:val="00766984"/>
    <w:rsid w:val="00777A36"/>
    <w:rsid w:val="00784F6E"/>
    <w:rsid w:val="007876F2"/>
    <w:rsid w:val="00796680"/>
    <w:rsid w:val="007A3A07"/>
    <w:rsid w:val="007A7EB8"/>
    <w:rsid w:val="007B235C"/>
    <w:rsid w:val="007C2FE3"/>
    <w:rsid w:val="007C7C81"/>
    <w:rsid w:val="007D6201"/>
    <w:rsid w:val="008059F7"/>
    <w:rsid w:val="00806B2B"/>
    <w:rsid w:val="00823AEA"/>
    <w:rsid w:val="008251E3"/>
    <w:rsid w:val="00827C04"/>
    <w:rsid w:val="00846866"/>
    <w:rsid w:val="00847269"/>
    <w:rsid w:val="0085768E"/>
    <w:rsid w:val="00891EF7"/>
    <w:rsid w:val="008A254E"/>
    <w:rsid w:val="008B032C"/>
    <w:rsid w:val="008C279F"/>
    <w:rsid w:val="008D2AC3"/>
    <w:rsid w:val="008D4ACD"/>
    <w:rsid w:val="008D6849"/>
    <w:rsid w:val="008E7FE1"/>
    <w:rsid w:val="008F2A25"/>
    <w:rsid w:val="008F5D80"/>
    <w:rsid w:val="0090638A"/>
    <w:rsid w:val="00913265"/>
    <w:rsid w:val="00914F9E"/>
    <w:rsid w:val="00916F83"/>
    <w:rsid w:val="00923CBC"/>
    <w:rsid w:val="00930248"/>
    <w:rsid w:val="0093649B"/>
    <w:rsid w:val="009432D4"/>
    <w:rsid w:val="009479F9"/>
    <w:rsid w:val="00952BF5"/>
    <w:rsid w:val="00964889"/>
    <w:rsid w:val="00974842"/>
    <w:rsid w:val="00982BD1"/>
    <w:rsid w:val="009868A9"/>
    <w:rsid w:val="00992538"/>
    <w:rsid w:val="00992FE4"/>
    <w:rsid w:val="009A0FDF"/>
    <w:rsid w:val="009A4659"/>
    <w:rsid w:val="009B102D"/>
    <w:rsid w:val="009B29A8"/>
    <w:rsid w:val="009B2F45"/>
    <w:rsid w:val="009B7D1C"/>
    <w:rsid w:val="009E6308"/>
    <w:rsid w:val="009E7932"/>
    <w:rsid w:val="009F6D54"/>
    <w:rsid w:val="00A00862"/>
    <w:rsid w:val="00A178D6"/>
    <w:rsid w:val="00A21DDE"/>
    <w:rsid w:val="00A535EC"/>
    <w:rsid w:val="00A63896"/>
    <w:rsid w:val="00A66B5E"/>
    <w:rsid w:val="00A74B3B"/>
    <w:rsid w:val="00A95CE0"/>
    <w:rsid w:val="00A970C5"/>
    <w:rsid w:val="00AA4CA8"/>
    <w:rsid w:val="00AB31D0"/>
    <w:rsid w:val="00AD11D1"/>
    <w:rsid w:val="00AF4237"/>
    <w:rsid w:val="00B00158"/>
    <w:rsid w:val="00B03532"/>
    <w:rsid w:val="00B0403C"/>
    <w:rsid w:val="00B065EF"/>
    <w:rsid w:val="00B25732"/>
    <w:rsid w:val="00B2676E"/>
    <w:rsid w:val="00B270D8"/>
    <w:rsid w:val="00B32AD3"/>
    <w:rsid w:val="00B355FC"/>
    <w:rsid w:val="00B40032"/>
    <w:rsid w:val="00B42623"/>
    <w:rsid w:val="00B44604"/>
    <w:rsid w:val="00B55B74"/>
    <w:rsid w:val="00B60EA5"/>
    <w:rsid w:val="00B917BF"/>
    <w:rsid w:val="00BD3643"/>
    <w:rsid w:val="00BD53FF"/>
    <w:rsid w:val="00BD73B0"/>
    <w:rsid w:val="00BE313B"/>
    <w:rsid w:val="00BE3615"/>
    <w:rsid w:val="00BE5D7E"/>
    <w:rsid w:val="00BE706F"/>
    <w:rsid w:val="00BF1769"/>
    <w:rsid w:val="00C03537"/>
    <w:rsid w:val="00C07046"/>
    <w:rsid w:val="00C2237F"/>
    <w:rsid w:val="00C26685"/>
    <w:rsid w:val="00C275BB"/>
    <w:rsid w:val="00C37702"/>
    <w:rsid w:val="00C37DE5"/>
    <w:rsid w:val="00C41A52"/>
    <w:rsid w:val="00C426D9"/>
    <w:rsid w:val="00C44259"/>
    <w:rsid w:val="00C45C39"/>
    <w:rsid w:val="00C47765"/>
    <w:rsid w:val="00C5425C"/>
    <w:rsid w:val="00C57D67"/>
    <w:rsid w:val="00C660D0"/>
    <w:rsid w:val="00C67BF4"/>
    <w:rsid w:val="00C70BDE"/>
    <w:rsid w:val="00C87AA6"/>
    <w:rsid w:val="00C943B2"/>
    <w:rsid w:val="00C967BA"/>
    <w:rsid w:val="00C97832"/>
    <w:rsid w:val="00CA6B57"/>
    <w:rsid w:val="00CA7C2A"/>
    <w:rsid w:val="00CB0586"/>
    <w:rsid w:val="00CB6624"/>
    <w:rsid w:val="00CB6B3B"/>
    <w:rsid w:val="00CE63DC"/>
    <w:rsid w:val="00D03066"/>
    <w:rsid w:val="00D10448"/>
    <w:rsid w:val="00D26B86"/>
    <w:rsid w:val="00D332A9"/>
    <w:rsid w:val="00D364FB"/>
    <w:rsid w:val="00D37249"/>
    <w:rsid w:val="00D464E6"/>
    <w:rsid w:val="00D47695"/>
    <w:rsid w:val="00D74241"/>
    <w:rsid w:val="00D827B7"/>
    <w:rsid w:val="00DA30E6"/>
    <w:rsid w:val="00DB24F9"/>
    <w:rsid w:val="00DC326F"/>
    <w:rsid w:val="00DD73EB"/>
    <w:rsid w:val="00DD7428"/>
    <w:rsid w:val="00DF5469"/>
    <w:rsid w:val="00E017A7"/>
    <w:rsid w:val="00E14F4D"/>
    <w:rsid w:val="00E34339"/>
    <w:rsid w:val="00E37172"/>
    <w:rsid w:val="00E41CFF"/>
    <w:rsid w:val="00E500AF"/>
    <w:rsid w:val="00E570EA"/>
    <w:rsid w:val="00E618E3"/>
    <w:rsid w:val="00E66B8F"/>
    <w:rsid w:val="00E67C54"/>
    <w:rsid w:val="00E733D8"/>
    <w:rsid w:val="00E73D4B"/>
    <w:rsid w:val="00E7533D"/>
    <w:rsid w:val="00E75818"/>
    <w:rsid w:val="00E76D1E"/>
    <w:rsid w:val="00E843AB"/>
    <w:rsid w:val="00E86324"/>
    <w:rsid w:val="00E947D1"/>
    <w:rsid w:val="00EC1131"/>
    <w:rsid w:val="00EC25EC"/>
    <w:rsid w:val="00ED63FB"/>
    <w:rsid w:val="00EE05FD"/>
    <w:rsid w:val="00EF0B8C"/>
    <w:rsid w:val="00EF1BE0"/>
    <w:rsid w:val="00F1056F"/>
    <w:rsid w:val="00F334A1"/>
    <w:rsid w:val="00F5658C"/>
    <w:rsid w:val="00F60701"/>
    <w:rsid w:val="00F7142B"/>
    <w:rsid w:val="00F722CD"/>
    <w:rsid w:val="00F827FD"/>
    <w:rsid w:val="00F9146F"/>
    <w:rsid w:val="00F94598"/>
    <w:rsid w:val="00FA6DED"/>
    <w:rsid w:val="00FC1DFB"/>
    <w:rsid w:val="00FC250F"/>
    <w:rsid w:val="00FE1D5C"/>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E017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cda9f893faaed5db/20210806" TargetMode="External"/><Relationship Id="rId21" Type="http://schemas.openxmlformats.org/officeDocument/2006/relationships/hyperlink" Target="https://www.poderjudicial.es/search/AN/openDocument/878a24f92ad4964d/20210802" TargetMode="External"/><Relationship Id="rId42" Type="http://schemas.openxmlformats.org/officeDocument/2006/relationships/hyperlink" Target="https://www.poderjudicial.es/search/AN/openDocument/e44b8fa338f91371/20211013" TargetMode="External"/><Relationship Id="rId47" Type="http://schemas.openxmlformats.org/officeDocument/2006/relationships/hyperlink" Target="https://www.poderjudicial.es/search/AN/openDocument/0e3168ddff2dcff0/20211013" TargetMode="External"/><Relationship Id="rId63" Type="http://schemas.openxmlformats.org/officeDocument/2006/relationships/hyperlink" Target="https://www.poderjudicial.es/search/AN/openDocument/2488b2cece0e2dd5/20210806" TargetMode="External"/><Relationship Id="rId68" Type="http://schemas.openxmlformats.org/officeDocument/2006/relationships/hyperlink" Target="https://www.poderjudicial.es/search/AN/openDocument/64a6a807f97dee24/20211015" TargetMode="External"/><Relationship Id="rId84" Type="http://schemas.openxmlformats.org/officeDocument/2006/relationships/hyperlink" Target="https://www.poderjudicial.es/search/AN/openDocument/cf3f51b6c3835f62/20210831" TargetMode="External"/><Relationship Id="rId89" Type="http://schemas.openxmlformats.org/officeDocument/2006/relationships/hyperlink" Target="https://www.poderjudicial.es/search/AN/openDocument/a2057aff4995b945/20210920" TargetMode="External"/><Relationship Id="rId16" Type="http://schemas.openxmlformats.org/officeDocument/2006/relationships/hyperlink" Target="https://hj.tribunalconstitucional.es/docs/BOE/BOE-A-2021-13032.pdf" TargetMode="External"/><Relationship Id="rId11" Type="http://schemas.openxmlformats.org/officeDocument/2006/relationships/hyperlink" Target="https://curia.europa.eu/juris/document/document.jsf?text=CONSUMIDORES&amp;docid=245535&amp;pageIndex=0&amp;doclang=ES&amp;mode=req&amp;dir=&amp;occ=first&amp;part=1&amp;cid=16619306" TargetMode="External"/><Relationship Id="rId32" Type="http://schemas.openxmlformats.org/officeDocument/2006/relationships/hyperlink" Target="https://www.poderjudicial.es/search/AN/openDocument/578501f23b4d3f54/20210726" TargetMode="External"/><Relationship Id="rId37" Type="http://schemas.openxmlformats.org/officeDocument/2006/relationships/hyperlink" Target="https://www.poderjudicial.es/search/AN/openDocument/6d916de4e422c28f/20210727" TargetMode="External"/><Relationship Id="rId53" Type="http://schemas.openxmlformats.org/officeDocument/2006/relationships/hyperlink" Target="https://www.poderjudicial.es/search/AN/openDocument/7f89f8e921038434/20211001" TargetMode="External"/><Relationship Id="rId58" Type="http://schemas.openxmlformats.org/officeDocument/2006/relationships/hyperlink" Target="https://www.poderjudicial.es/search/AN/openDocument/9a31200a69f33a20/20210806" TargetMode="External"/><Relationship Id="rId74" Type="http://schemas.openxmlformats.org/officeDocument/2006/relationships/hyperlink" Target="https://www.poderjudicial.es/search/AN/openDocument/611620fe33e2d226/20210927" TargetMode="External"/><Relationship Id="rId79" Type="http://schemas.openxmlformats.org/officeDocument/2006/relationships/hyperlink" Target="https://www.poderjudicial.es/search/AN/openDocument/74417c5d3970a443/20211004" TargetMode="External"/><Relationship Id="rId5" Type="http://schemas.openxmlformats.org/officeDocument/2006/relationships/webSettings" Target="webSettings.xml"/><Relationship Id="rId90" Type="http://schemas.openxmlformats.org/officeDocument/2006/relationships/hyperlink" Target="https://www.poderjudicial.es/search/AN/openDocument/7f161e1f99fa2df3/20211006" TargetMode="External"/><Relationship Id="rId95" Type="http://schemas.openxmlformats.org/officeDocument/2006/relationships/hyperlink" Target="https://www.boe.es/boe/dias/2021/08/11/pdfs/BOE-A-2021-13775.pdf" TargetMode="External"/><Relationship Id="rId22" Type="http://schemas.openxmlformats.org/officeDocument/2006/relationships/hyperlink" Target="https://www.poderjudicial.es/search/AN/openDocument/7e9476cb1fa7eec9/20210802" TargetMode="External"/><Relationship Id="rId27" Type="http://schemas.openxmlformats.org/officeDocument/2006/relationships/hyperlink" Target="https://www.poderjudicial.es/search/AN/openDocument/9a6faa5887585cd8/20210806" TargetMode="External"/><Relationship Id="rId43" Type="http://schemas.openxmlformats.org/officeDocument/2006/relationships/hyperlink" Target="https://www.poderjudicial.es/search/AN/openDocument/57e4e9b049055f55/20211001" TargetMode="External"/><Relationship Id="rId48" Type="http://schemas.openxmlformats.org/officeDocument/2006/relationships/hyperlink" Target="https://www.poderjudicial.es/search/AN/openDocument/8801815aafcb61cf/20211013" TargetMode="External"/><Relationship Id="rId64" Type="http://schemas.openxmlformats.org/officeDocument/2006/relationships/hyperlink" Target="https://www.poderjudicial.es/search/AN/openDocument/a5dc1a78aacb1be0/20210924" TargetMode="External"/><Relationship Id="rId69" Type="http://schemas.openxmlformats.org/officeDocument/2006/relationships/hyperlink" Target="https://www.poderjudicial.es/search/AN/openDocument/64f9f7e5d713c8ed/20210802" TargetMode="External"/><Relationship Id="rId80" Type="http://schemas.openxmlformats.org/officeDocument/2006/relationships/hyperlink" Target="https://www.poderjudicial.es/search/AN/openDocument/bc34532fbce09616/20210826" TargetMode="External"/><Relationship Id="rId85" Type="http://schemas.openxmlformats.org/officeDocument/2006/relationships/hyperlink" Target="https://www.poderjudicial.es/search/AN/openDocument/17dcc25e7e2110b7/20210929" TargetMode="External"/><Relationship Id="rId3" Type="http://schemas.openxmlformats.org/officeDocument/2006/relationships/styles" Target="styles.xml"/><Relationship Id="rId12" Type="http://schemas.openxmlformats.org/officeDocument/2006/relationships/hyperlink" Target="https://curia.europa.eu/juris/document/document.jsf?text=&amp;docid=245537&amp;pageIndex=0&amp;doclang=es&amp;mode=lst&amp;dir=&amp;occ=first&amp;part=1&amp;cid=16623390" TargetMode="External"/><Relationship Id="rId17" Type="http://schemas.openxmlformats.org/officeDocument/2006/relationships/hyperlink" Target="https://hj.tribunalconstitucional.es/es/Resolucion/Show/26790" TargetMode="External"/><Relationship Id="rId25" Type="http://schemas.openxmlformats.org/officeDocument/2006/relationships/hyperlink" Target="https://www.poderjudicial.es/search/AN/openDocument/b2e105c9af13181e/20210917" TargetMode="External"/><Relationship Id="rId33" Type="http://schemas.openxmlformats.org/officeDocument/2006/relationships/hyperlink" Target="https://www.poderjudicial.es/search/AN/openDocument/98e50162227d463b/20210726" TargetMode="External"/><Relationship Id="rId38" Type="http://schemas.openxmlformats.org/officeDocument/2006/relationships/hyperlink" Target="https://www.poderjudicial.es/search/AN/openDocument/2ebd5da57b5fcff0/20210802" TargetMode="External"/><Relationship Id="rId46" Type="http://schemas.openxmlformats.org/officeDocument/2006/relationships/hyperlink" Target="https://www.poderjudicial.es/search/AN/openDocument/8e127de6d08f45ca/20211013" TargetMode="External"/><Relationship Id="rId59" Type="http://schemas.openxmlformats.org/officeDocument/2006/relationships/hyperlink" Target="https://www.poderjudicial.es/search/AN/openDocument/554b06a05345647a/20210806" TargetMode="External"/><Relationship Id="rId67" Type="http://schemas.openxmlformats.org/officeDocument/2006/relationships/hyperlink" Target="https://www.poderjudicial.es/search/contenidos.action" TargetMode="External"/><Relationship Id="rId20" Type="http://schemas.openxmlformats.org/officeDocument/2006/relationships/hyperlink" Target="https://www.poderjudicial.es/search/AN/openDocument/9d64153dfa0e2e1b/20210728" TargetMode="External"/><Relationship Id="rId41" Type="http://schemas.openxmlformats.org/officeDocument/2006/relationships/hyperlink" Target="https://www.poderjudicial.es/search/AN/openDocument/0145272be4080720/20211013" TargetMode="External"/><Relationship Id="rId54" Type="http://schemas.openxmlformats.org/officeDocument/2006/relationships/hyperlink" Target="https://www.poderjudicial.es/search/AN/openDocument/f3f54c97a3114df4/20211001" TargetMode="External"/><Relationship Id="rId62" Type="http://schemas.openxmlformats.org/officeDocument/2006/relationships/hyperlink" Target="https://www.poderjudicial.es/search/AN/openDocument/df1823d4e1fb5a90/20210806" TargetMode="External"/><Relationship Id="rId70" Type="http://schemas.openxmlformats.org/officeDocument/2006/relationships/hyperlink" Target="https://www.poderjudicial.es/search/AN/openDocument/bed5a2c5d056cdef/20211015" TargetMode="External"/><Relationship Id="rId75" Type="http://schemas.openxmlformats.org/officeDocument/2006/relationships/hyperlink" Target="https://www.poderjudicial.es/search/AN/openDocument/3f7ce358f6947dfb/20210927" TargetMode="External"/><Relationship Id="rId83" Type="http://schemas.openxmlformats.org/officeDocument/2006/relationships/hyperlink" Target="https://www.poderjudicial.es/search/AN/openDocument/df0910b56d2ed8c8/20210831" TargetMode="External"/><Relationship Id="rId88" Type="http://schemas.openxmlformats.org/officeDocument/2006/relationships/hyperlink" Target="https://www.poderjudicial.es/search/AN/openDocument/889d207f8950ce6a/20211006" TargetMode="External"/><Relationship Id="rId91" Type="http://schemas.openxmlformats.org/officeDocument/2006/relationships/hyperlink" Target="https://www.poderjudicial.es/search/AN/openDocument/b16b43bcfd4c29cc/20211014" TargetMode="External"/><Relationship Id="rId96" Type="http://schemas.openxmlformats.org/officeDocument/2006/relationships/hyperlink" Target="https://www.notariosyregistradores.com/web/resoluciones/por-meses/agosto-2021-dgsjf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CONSUMIDORES&amp;docid=247065&amp;pageIndex=0&amp;doclang=ES&amp;mode=req&amp;dir=&amp;occ=first&amp;part=1&amp;cid=16619306" TargetMode="External"/><Relationship Id="rId23" Type="http://schemas.openxmlformats.org/officeDocument/2006/relationships/hyperlink" Target="https://www.poderjudicial.es/search/AN/openDocument/33cc336b6ef25434/20210802" TargetMode="External"/><Relationship Id="rId28" Type="http://schemas.openxmlformats.org/officeDocument/2006/relationships/hyperlink" Target="https://www.poderjudicial.es/search/AN/openDocument/35d33fbd3fe3abc0/20210806" TargetMode="External"/><Relationship Id="rId36" Type="http://schemas.openxmlformats.org/officeDocument/2006/relationships/hyperlink" Target="https://www.poderjudicial.es/search/AN/openDocument/a34de9029beb98c4/20210803" TargetMode="External"/><Relationship Id="rId49" Type="http://schemas.openxmlformats.org/officeDocument/2006/relationships/hyperlink" Target="https://www.poderjudicial.es/search/AN/openDocument/df2c4cd5f0da0038/20211001" TargetMode="External"/><Relationship Id="rId57" Type="http://schemas.openxmlformats.org/officeDocument/2006/relationships/hyperlink" Target="https://www.poderjudicial.es/search/AN/openDocument/6d60b167d690d43c/20210802" TargetMode="External"/><Relationship Id="rId10" Type="http://schemas.openxmlformats.org/officeDocument/2006/relationships/hyperlink" Target="https://curia.europa.eu/juris/document/document.jsf?text=&amp;docid=245534&amp;pageIndex=0&amp;doclang=es&amp;mode=lst&amp;dir=&amp;occ=first&amp;part=1&amp;cid=16623390" TargetMode="External"/><Relationship Id="rId31" Type="http://schemas.openxmlformats.org/officeDocument/2006/relationships/hyperlink" Target="https://www.poderjudicial.es/search/AN/openDocument/2cb575fcc624b3b9/20211013" TargetMode="External"/><Relationship Id="rId44" Type="http://schemas.openxmlformats.org/officeDocument/2006/relationships/hyperlink" Target="https://www.poderjudicial.es/search/AN/openDocument/1a80132f838e5506/20211001" TargetMode="External"/><Relationship Id="rId52" Type="http://schemas.openxmlformats.org/officeDocument/2006/relationships/hyperlink" Target="https://www.poderjudicial.es/search/AN/openDocument/99d4e03cd30a6767/20211001" TargetMode="External"/><Relationship Id="rId60" Type="http://schemas.openxmlformats.org/officeDocument/2006/relationships/hyperlink" Target="https://www.poderjudicial.es/search/AN/openDocument/323b136c5f44ea1e/20211013" TargetMode="External"/><Relationship Id="rId65" Type="http://schemas.openxmlformats.org/officeDocument/2006/relationships/hyperlink" Target="https://www.poderjudicial.es/search/AN/openDocument/cf5d8498db2e9fae/20210924" TargetMode="External"/><Relationship Id="rId73" Type="http://schemas.openxmlformats.org/officeDocument/2006/relationships/hyperlink" Target="https://www.poderjudicial.es/search/AN/openDocument/050da899e9a7ef8a/20210927" TargetMode="External"/><Relationship Id="rId78" Type="http://schemas.openxmlformats.org/officeDocument/2006/relationships/hyperlink" Target="https://www.poderjudicial.es/search/AN/openDocument/a8df2845efa3db9c/20211013" TargetMode="External"/><Relationship Id="rId81" Type="http://schemas.openxmlformats.org/officeDocument/2006/relationships/hyperlink" Target="https://www.poderjudicial.es/search/AN/openDocument/6dd1b98a332d370b/20210831" TargetMode="External"/><Relationship Id="rId86" Type="http://schemas.openxmlformats.org/officeDocument/2006/relationships/hyperlink" Target="https://www.poderjudicial.es/search/AN/openDocument/8f1fc2b7e9d516b4/20210924" TargetMode="External"/><Relationship Id="rId94" Type="http://schemas.openxmlformats.org/officeDocument/2006/relationships/hyperlink" Target="https://www.poderjudicial.es/search/AN/openDocument/c11dca4c94ca9467/20211006"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ia.europa.eu/juris/document/document.jsf?text=&amp;docid=245542&amp;pageIndex=0&amp;doclang=es&amp;mode=lst&amp;dir=&amp;occ=first&amp;part=1&amp;cid=16619306" TargetMode="External"/><Relationship Id="rId13" Type="http://schemas.openxmlformats.org/officeDocument/2006/relationships/hyperlink" Target="https://curia.europa.eu/juris/document/document.jsf?text=&amp;docid=245749&amp;pageIndex=0&amp;doclang=es&amp;mode=lst&amp;dir=&amp;occ=first&amp;part=1&amp;cid=16623390" TargetMode="External"/><Relationship Id="rId18" Type="http://schemas.openxmlformats.org/officeDocument/2006/relationships/hyperlink" Target="https://hj.tribunalconstitucional.es/es/Resolucion/Show/26797" TargetMode="External"/><Relationship Id="rId39" Type="http://schemas.openxmlformats.org/officeDocument/2006/relationships/hyperlink" Target="https://www.poderjudicial.es/search/AN/openDocument/a2c4075fdb77fff8/20211001" TargetMode="External"/><Relationship Id="rId34" Type="http://schemas.openxmlformats.org/officeDocument/2006/relationships/hyperlink" Target="https://www.poderjudicial.es/search/AN/openDocument/7689095e0fa00d6a/20210726" TargetMode="External"/><Relationship Id="rId50" Type="http://schemas.openxmlformats.org/officeDocument/2006/relationships/hyperlink" Target="https://www.poderjudicial.es/search/AN/openDocument/76595f9878c261d8/20211013" TargetMode="External"/><Relationship Id="rId55" Type="http://schemas.openxmlformats.org/officeDocument/2006/relationships/hyperlink" Target="https://www.poderjudicial.es/search/AN/openDocument/0b960e1159414104/20211001" TargetMode="External"/><Relationship Id="rId76" Type="http://schemas.openxmlformats.org/officeDocument/2006/relationships/hyperlink" Target="https://www.poderjudicial.es/search/AN/openDocument/dbeebd066c0f094b/20210927"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poderjudicial.es/search/AN/openDocument/a0cdf7995583de26/20210802" TargetMode="External"/><Relationship Id="rId92" Type="http://schemas.openxmlformats.org/officeDocument/2006/relationships/hyperlink" Target="https://www.poderjudicial.es/search/AN/openDocument/3cb0552ddf4e464c/20211015" TargetMode="External"/><Relationship Id="rId2" Type="http://schemas.openxmlformats.org/officeDocument/2006/relationships/numbering" Target="numbering.xml"/><Relationship Id="rId29" Type="http://schemas.openxmlformats.org/officeDocument/2006/relationships/hyperlink" Target="https://www.poderjudicial.es/search/AN/openDocument/46f3bad222d5a53d/20210806" TargetMode="External"/><Relationship Id="rId24" Type="http://schemas.openxmlformats.org/officeDocument/2006/relationships/hyperlink" Target="https://www.poderjudicial.es/search/AN/openDocument/b527714453f8b3a0/20210802" TargetMode="External"/><Relationship Id="rId40" Type="http://schemas.openxmlformats.org/officeDocument/2006/relationships/hyperlink" Target="https://www.poderjudicial.es/search/AN/openDocument/469dfa7fac10e4aa/20211001" TargetMode="External"/><Relationship Id="rId45" Type="http://schemas.openxmlformats.org/officeDocument/2006/relationships/hyperlink" Target="https://www.poderjudicial.es/search/AN/openDocument/41e1634f4b8669a7/20211013" TargetMode="External"/><Relationship Id="rId66" Type="http://schemas.openxmlformats.org/officeDocument/2006/relationships/hyperlink" Target="https://www.poderjudicial.es/search/AN/openDocument/ce0d8e9ca6c2a43e/20210924" TargetMode="External"/><Relationship Id="rId87" Type="http://schemas.openxmlformats.org/officeDocument/2006/relationships/hyperlink" Target="https://www.poderjudicial.es/search/AN/openDocument/985e443f27c5b272/20210812" TargetMode="External"/><Relationship Id="rId61" Type="http://schemas.openxmlformats.org/officeDocument/2006/relationships/hyperlink" Target="https://www.poderjudicial.es/search/AN/openDocument/93e061b61c00fb6e/20210802" TargetMode="External"/><Relationship Id="rId82" Type="http://schemas.openxmlformats.org/officeDocument/2006/relationships/hyperlink" Target="https://www.poderjudicial.es/search/AN/openDocument/3cf4c7c5ea7297aa/20210831" TargetMode="External"/><Relationship Id="rId19" Type="http://schemas.openxmlformats.org/officeDocument/2006/relationships/hyperlink" Target="https://hj.tribunalconstitucional.es/es/Resolucion/Show/26791" TargetMode="External"/><Relationship Id="rId14" Type="http://schemas.openxmlformats.org/officeDocument/2006/relationships/hyperlink" Target="https://curia.europa.eu/juris/document/document.jsf?text=&amp;docid=246786&amp;pageIndex=0&amp;doclang=es&amp;mode=lst&amp;dir=&amp;occ=first&amp;part=1&amp;cid=16623390" TargetMode="External"/><Relationship Id="rId30" Type="http://schemas.openxmlformats.org/officeDocument/2006/relationships/hyperlink" Target="https://www.poderjudicial.es/search/AN/openDocument/118d14989a7f924c/20211013" TargetMode="External"/><Relationship Id="rId35" Type="http://schemas.openxmlformats.org/officeDocument/2006/relationships/hyperlink" Target="https://www.poderjudicial.es/search/AN/openDocument/0746dfcae3d9b296/20210726" TargetMode="External"/><Relationship Id="rId56" Type="http://schemas.openxmlformats.org/officeDocument/2006/relationships/hyperlink" Target="https://www.poderjudicial.es/search/AN/openDocument/4dc5b57ab350fe38/20211001" TargetMode="External"/><Relationship Id="rId77" Type="http://schemas.openxmlformats.org/officeDocument/2006/relationships/hyperlink" Target="https://www.poderjudicial.es/search/AN/openDocument/e108ea8afcfe123e/20210927" TargetMode="External"/><Relationship Id="rId8" Type="http://schemas.openxmlformats.org/officeDocument/2006/relationships/image" Target="media/image1.png"/><Relationship Id="rId51" Type="http://schemas.openxmlformats.org/officeDocument/2006/relationships/hyperlink" Target="https://www.poderjudicial.es/search/AN/openDocument/e9885b5bb5146e8f/20211013" TargetMode="External"/><Relationship Id="rId72" Type="http://schemas.openxmlformats.org/officeDocument/2006/relationships/hyperlink" Target="https://www.poderjudicial.es/search/AN/openDocument/e1d8bd9100a09eaa/20211015" TargetMode="External"/><Relationship Id="rId93" Type="http://schemas.openxmlformats.org/officeDocument/2006/relationships/hyperlink" Target="https://www.poderjudicial.es/search/AN/openDocument/90e563cdb00e242c/20211007" TargetMode="External"/><Relationship Id="rId9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13</Pages>
  <Words>5773</Words>
  <Characters>31752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80</cp:revision>
  <cp:lastPrinted>2021-04-08T11:14:00Z</cp:lastPrinted>
  <dcterms:created xsi:type="dcterms:W3CDTF">2021-10-16T06:39:00Z</dcterms:created>
  <dcterms:modified xsi:type="dcterms:W3CDTF">2021-10-17T18:42:00Z</dcterms:modified>
</cp:coreProperties>
</file>