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46F03778" w:rsidR="00827C04" w:rsidRDefault="00073EA2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</w:t>
                            </w:r>
                            <w:r w:rsidR="00B40032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Septiembre</w:t>
                            </w:r>
                            <w:r w:rsidR="00827C04"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Víctor Bastante Granell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Profesor Ayudante Doctor.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D715D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46F03778" w:rsidR="00827C04" w:rsidRDefault="00073EA2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Julio</w:t>
                      </w:r>
                      <w:r w:rsidR="00B40032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Septiembre</w:t>
                      </w:r>
                      <w:r w:rsidR="00827C04"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Víctor Bastante Granell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Profesor Ayudante Doctor.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4A92"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12AADB1D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9E42E84" w14:textId="0FF76A01" w:rsidR="00827C04" w:rsidRPr="00226C2F" w:rsidRDefault="00073EA2" w:rsidP="00226C2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Julio-Septiembre 2021</w:t>
                            </w:r>
                          </w:p>
                          <w:p w14:paraId="31D940F1" w14:textId="77777777" w:rsidR="00827C04" w:rsidRDefault="0082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495B1"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29E42E84" w14:textId="0FF76A01" w:rsidR="00827C04" w:rsidRPr="00226C2F" w:rsidRDefault="00073EA2" w:rsidP="00226C2F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Julio-Septiembre 2021</w:t>
                      </w:r>
                    </w:p>
                    <w:p w14:paraId="31D940F1" w14:textId="77777777" w:rsidR="00827C04" w:rsidRDefault="00827C04"/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1AFD"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0781AEA6" w14:textId="77777777" w:rsidR="00226C2F" w:rsidRPr="005F0DEC" w:rsidRDefault="00226C2F" w:rsidP="00C943B2">
      <w:pPr>
        <w:rPr>
          <w:rFonts w:ascii="Segoe UI" w:hAnsi="Segoe UI" w:cs="Segoe UI"/>
          <w:b/>
          <w:color w:val="000000" w:themeColor="text1"/>
          <w:sz w:val="20"/>
          <w:szCs w:val="20"/>
        </w:rPr>
      </w:pPr>
    </w:p>
    <w:p w14:paraId="103DC6E6" w14:textId="77777777" w:rsidR="00073EA2" w:rsidRPr="00CC74C3" w:rsidRDefault="00073EA2" w:rsidP="00CC74C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CC74C3">
        <w:rPr>
          <w:sz w:val="20"/>
          <w:szCs w:val="20"/>
        </w:rPr>
        <w:t xml:space="preserve">ACHÓN BRUÑÉN, María José. “La discriminación legal del ejecutado que no ostenta la condición de deudor en el proceso de ejecución hipotecaria”: </w:t>
      </w:r>
      <w:r w:rsidRPr="00CC74C3">
        <w:rPr>
          <w:i/>
          <w:iCs/>
          <w:sz w:val="20"/>
          <w:szCs w:val="20"/>
        </w:rPr>
        <w:t>CEFLegal: revista práctica de derecho. Comentarios y casos prácticos</w:t>
      </w:r>
      <w:r w:rsidRPr="00CC74C3">
        <w:rPr>
          <w:sz w:val="20"/>
          <w:szCs w:val="20"/>
        </w:rPr>
        <w:t>, Nº. 246, 2021.</w:t>
      </w:r>
    </w:p>
    <w:p w14:paraId="2D0425F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3326335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Adán Domenech</w:t>
      </w:r>
      <w:r w:rsidRPr="00073EA2">
        <w:rPr>
          <w:sz w:val="20"/>
          <w:szCs w:val="20"/>
        </w:rPr>
        <w:t xml:space="preserve">, Federico. “Justicia en off”: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>, Nº 9. Arbitraje de consumo, Julio 2021.</w:t>
      </w:r>
    </w:p>
    <w:p w14:paraId="0F14AB3E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6FA2BD6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AVILÉS GARCÍA, Javier. “El nuevo derecho a la reparación de bienes de consumo en los servicios técnicos postventa de una economía circular”: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9883, 2021.</w:t>
      </w:r>
    </w:p>
    <w:p w14:paraId="66708110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514383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Barceló Compte</w:t>
      </w:r>
      <w:r w:rsidRPr="00073EA2">
        <w:rPr>
          <w:sz w:val="20"/>
          <w:szCs w:val="20"/>
        </w:rPr>
        <w:t xml:space="preserve">, Rosa y </w:t>
      </w:r>
      <w:r w:rsidRPr="00073EA2">
        <w:rPr>
          <w:caps/>
          <w:sz w:val="20"/>
          <w:szCs w:val="20"/>
        </w:rPr>
        <w:t>Gramunt Fombuena</w:t>
      </w:r>
      <w:r w:rsidRPr="00073EA2">
        <w:rPr>
          <w:sz w:val="20"/>
          <w:szCs w:val="20"/>
        </w:rPr>
        <w:t xml:space="preserve">, Mariló. “La propuesta de arbitraje de consumo obligatorio en España: el impulso definitivo al 'acces to justice'”: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>, Nº 9. Arbitraje de consumo, Julio 2021.</w:t>
      </w:r>
    </w:p>
    <w:p w14:paraId="73BDD4B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4978EC2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BARRIO ANDRÉS, Moisés. “La sentencia del TJUE YouTube y la responsabilidad de los operadores de plataformas digitales”: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9887, 2021.</w:t>
      </w:r>
    </w:p>
    <w:p w14:paraId="554C8D8E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4DF5BB2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BORETTO, Mauricio. “Revisión contractual, emergencia sanitaria y Covid-19 desde la óptica del derecho argentino”: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785, 2021, págs. 1643-1670.</w:t>
      </w:r>
    </w:p>
    <w:p w14:paraId="37CDB712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9F50DA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Borrallo Fernández</w:t>
      </w:r>
      <w:r w:rsidRPr="00073EA2">
        <w:rPr>
          <w:sz w:val="20"/>
          <w:szCs w:val="20"/>
        </w:rPr>
        <w:t xml:space="preserve">, Cristina. “Arbitraje de consumo”: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>, Nº 9. Arbitraje de consumo, Julio 2021.</w:t>
      </w:r>
    </w:p>
    <w:p w14:paraId="791A5B0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323B3D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Bujosa Vadell</w:t>
      </w:r>
      <w:r w:rsidRPr="00073EA2">
        <w:rPr>
          <w:sz w:val="20"/>
          <w:szCs w:val="20"/>
        </w:rPr>
        <w:t xml:space="preserve">, Lorenzo M. “El arbitraje de consumo colectivo”: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>, Nº 9. Arbitraje de consumo, Julio 2021.</w:t>
      </w:r>
    </w:p>
    <w:p w14:paraId="0BB7799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8C0E6C3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CABRERA MERCADO, Rafael. “Proceso ordinario, ejecución de sentencia y ejecución hipotecaria: ¿caminos compatibles?”: </w:t>
      </w:r>
      <w:r w:rsidRPr="00073EA2">
        <w:rPr>
          <w:i/>
          <w:iCs/>
          <w:sz w:val="20"/>
          <w:szCs w:val="20"/>
        </w:rPr>
        <w:t>Revista General de Derecho Procesal</w:t>
      </w:r>
      <w:r w:rsidRPr="00073EA2">
        <w:rPr>
          <w:sz w:val="20"/>
          <w:szCs w:val="20"/>
        </w:rPr>
        <w:t>, Nº. 54, 2021.</w:t>
      </w:r>
    </w:p>
    <w:p w14:paraId="3B617AD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5B20A38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CADENAS OSUN, Davinia. “La cláusula suelo a debate: análisis crítico del control de consentimiento y contenido en la jurisprudencia del Tribunal Supremo”: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785, 2021, págs. 1978-2022.</w:t>
      </w:r>
    </w:p>
    <w:p w14:paraId="3A3ED76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7DAEBE1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CÁMARA LAPUENTE, Sergio. “Un primer balance de las novedades del RDL 7/2021, de 27 de abril, para la defensa de los consumidores en el suministro de contenidos y servicios digitales (La transposición de las Directivas 2019/770 y 2019/771)”: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9881, 2021.</w:t>
      </w:r>
    </w:p>
    <w:p w14:paraId="4497DF92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168ACC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CÁMARA LAPUENTE, Sergio. “Un primer balance de las novedades del RDL 7/2021, de 27 de abril, para la defensa de los consumidores en el suministro de contenidos y servicios digitales (La transposición de las Directivas 2019/770 y 2019/771)”: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9887, 2021.</w:t>
      </w:r>
    </w:p>
    <w:p w14:paraId="77B9CFE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E697077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CARRASCO PERERA, Ángel. “Rescisión concursal de garantías reales, una refundición fallida”: </w:t>
      </w:r>
      <w:r w:rsidRPr="00073EA2">
        <w:rPr>
          <w:i/>
          <w:iCs/>
          <w:sz w:val="20"/>
          <w:szCs w:val="20"/>
        </w:rPr>
        <w:t>La Ley mercantil</w:t>
      </w:r>
      <w:r w:rsidRPr="00073EA2">
        <w:rPr>
          <w:sz w:val="20"/>
          <w:szCs w:val="20"/>
        </w:rPr>
        <w:t>, Nº. 81 (junio), 2021.</w:t>
      </w:r>
    </w:p>
    <w:p w14:paraId="1E0C4AD7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9E5CD88" w14:textId="18786529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CARRILLO CANO, Alfonso. “La prescripción de las acciones de recuperación de gastos hipotecarios: dudas sobre el ‘dies a quo’”: </w:t>
      </w:r>
      <w:r w:rsidRPr="00073EA2">
        <w:rPr>
          <w:i/>
          <w:iCs/>
          <w:sz w:val="20"/>
          <w:szCs w:val="20"/>
        </w:rPr>
        <w:t>Actualidad jurídica Aranzadi</w:t>
      </w:r>
      <w:r w:rsidRPr="00073EA2">
        <w:rPr>
          <w:sz w:val="20"/>
          <w:szCs w:val="20"/>
        </w:rPr>
        <w:t>, Nº 976, 2021.</w:t>
      </w:r>
    </w:p>
    <w:p w14:paraId="500A903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04B04C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CASTETS-RENARD, Céline. “Le règlement général de protection des données : quel bilan cinq après son adoption?”: </w:t>
      </w:r>
      <w:r w:rsidRPr="00073EA2">
        <w:rPr>
          <w:i/>
          <w:iCs/>
          <w:sz w:val="20"/>
          <w:szCs w:val="20"/>
        </w:rPr>
        <w:t>Revue des affaires europeennes</w:t>
      </w:r>
      <w:r w:rsidRPr="00073EA2">
        <w:rPr>
          <w:sz w:val="20"/>
          <w:szCs w:val="20"/>
        </w:rPr>
        <w:t>, Nº 1, 2021, págs. 9-13.</w:t>
      </w:r>
    </w:p>
    <w:p w14:paraId="19029FE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4BE474E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CASTILLO PARRILLA, José Antonio. “Los datos personales como contraprestación en la reforma del TRLGDCU y las tensiones normativas entre la economía de los datos y la interpretación garantista del RGPD”: </w:t>
      </w:r>
      <w:r w:rsidRPr="00073EA2">
        <w:rPr>
          <w:i/>
          <w:iCs/>
          <w:sz w:val="20"/>
          <w:szCs w:val="20"/>
        </w:rPr>
        <w:t>La Ley mercantil</w:t>
      </w:r>
      <w:r w:rsidRPr="00073EA2">
        <w:rPr>
          <w:sz w:val="20"/>
          <w:szCs w:val="20"/>
        </w:rPr>
        <w:t>, Nº. 82 (julio-agosto), 2021.</w:t>
      </w:r>
    </w:p>
    <w:p w14:paraId="62C226A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D516155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CUENA CASAS, Matilde. “La necesaria reforma del régimen de supervisión para una eficaz protección del usuario de servicios financieros”: </w:t>
      </w:r>
      <w:r w:rsidRPr="00073EA2">
        <w:rPr>
          <w:i/>
          <w:iCs/>
          <w:sz w:val="20"/>
          <w:szCs w:val="20"/>
        </w:rPr>
        <w:t>El notario del siglo XXI: revista del Colegio Notarial de Madrid</w:t>
      </w:r>
      <w:r w:rsidRPr="00073EA2">
        <w:rPr>
          <w:sz w:val="20"/>
          <w:szCs w:val="20"/>
        </w:rPr>
        <w:t>, Nº. 98, 2021, págs. 52-57.</w:t>
      </w:r>
    </w:p>
    <w:p w14:paraId="460FC81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67C7F8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DE BARRÓN ARNICHES, Paloma. “La opción de compra como instrumento de garantía a la luz de la Directiva europea 2014/17 sobre el crédito inmobiliario”: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785, 2021, págs. 1547-1604.</w:t>
      </w:r>
    </w:p>
    <w:p w14:paraId="5136834A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3578EC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DURÁN RIVACOBA, Ramón y MUÑIZ CASANOVA, Natalia. “Acción de nulidad imprescriptible y la de su resarcimiento prescriptible (usura, nulidad y relevancia del crédito "revolving"). Parte I”: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785, 2021, págs. 1905-1939.</w:t>
      </w:r>
    </w:p>
    <w:p w14:paraId="410CC9B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2A393DA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DURÁN RIVACOBA, Ramón. “Cuestión prejudicial acerca del comienzo del plazo de prescripción de las acciones restitutorias de las cantidades pagadas por el consumidor como consecuencia de una cláusula nula”: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 xml:space="preserve">, Nº 9919, 2021. </w:t>
      </w:r>
    </w:p>
    <w:p w14:paraId="786BDD4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D14A06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ECHEBARRÍA SÁENZ, Marina. “Restricciones de acceso al mercado y plataformas digitales: el caso Amazon como ejemplo”: </w:t>
      </w:r>
      <w:r w:rsidRPr="00073EA2">
        <w:rPr>
          <w:i/>
          <w:iCs/>
          <w:sz w:val="20"/>
          <w:szCs w:val="20"/>
        </w:rPr>
        <w:t>Revista de estudios europeos</w:t>
      </w:r>
      <w:r w:rsidRPr="00073EA2">
        <w:rPr>
          <w:sz w:val="20"/>
          <w:szCs w:val="20"/>
        </w:rPr>
        <w:t>, Nº. 78, 2021 (Ejemplar dedicado a: Retos jurídicos en los mercados digitales), págs. 154-182.</w:t>
      </w:r>
    </w:p>
    <w:p w14:paraId="7B5B088D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E6407B3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ESQUIVIAS JARAMILLO, José Ignacio. “Posible nulidad contractual en contratos financieros complejos (swap)”: </w:t>
      </w:r>
      <w:r w:rsidRPr="00073EA2">
        <w:rPr>
          <w:i/>
          <w:iCs/>
          <w:sz w:val="20"/>
          <w:szCs w:val="20"/>
        </w:rPr>
        <w:t>CEFLegal: revista práctica de derecho. Comentarios y casos prácticos</w:t>
      </w:r>
      <w:r w:rsidRPr="00073EA2">
        <w:rPr>
          <w:sz w:val="20"/>
          <w:szCs w:val="20"/>
        </w:rPr>
        <w:t>, Nº. 246, 2021.</w:t>
      </w:r>
    </w:p>
    <w:p w14:paraId="0E884F3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E54E90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Estébanez Izquierdo</w:t>
      </w:r>
      <w:r w:rsidRPr="00073EA2">
        <w:rPr>
          <w:sz w:val="20"/>
          <w:szCs w:val="20"/>
        </w:rPr>
        <w:t xml:space="preserve">, José Manuel. “Real Decreto-ley 16/2021, de 3 de agosto, por el que se adoptan medidas de protección social para hacer frente a situaciones de vulnerabilidad social y económica”: </w:t>
      </w:r>
      <w:r w:rsidRPr="00073EA2">
        <w:rPr>
          <w:i/>
          <w:iCs/>
          <w:sz w:val="20"/>
          <w:szCs w:val="20"/>
        </w:rPr>
        <w:t>Revista de Derecho vLex</w:t>
      </w:r>
      <w:r w:rsidRPr="00073EA2">
        <w:rPr>
          <w:sz w:val="20"/>
          <w:szCs w:val="20"/>
        </w:rPr>
        <w:t>, Nº 207, Agosto 2021.</w:t>
      </w:r>
    </w:p>
    <w:p w14:paraId="3A7D3DF0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1BDEC16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FERNÁNDEZ MASIÁ, Enrique. “Servicios de intermediación en línea en Europa: diseño de un sistema específico de solución de controversias”: </w:t>
      </w:r>
      <w:r w:rsidRPr="00073EA2">
        <w:rPr>
          <w:i/>
          <w:iCs/>
          <w:sz w:val="20"/>
          <w:szCs w:val="20"/>
        </w:rPr>
        <w:t>Revista Boliviana de Derecho</w:t>
      </w:r>
      <w:r w:rsidRPr="00073EA2">
        <w:rPr>
          <w:sz w:val="20"/>
          <w:szCs w:val="20"/>
        </w:rPr>
        <w:t>, Nº. 32, 2021, págs. 560-585.</w:t>
      </w:r>
    </w:p>
    <w:p w14:paraId="1E170846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4A517B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GAMAZO CHILLÓN, Juan Carlos. “Análisis actual del mercado inmobiliario ante una nueva ley de vivienda”: </w:t>
      </w:r>
      <w:r w:rsidRPr="00073EA2">
        <w:rPr>
          <w:i/>
          <w:iCs/>
          <w:sz w:val="20"/>
          <w:szCs w:val="20"/>
        </w:rPr>
        <w:t>Revista Internacional de Doctrina y Jurisprudencia</w:t>
      </w:r>
      <w:r w:rsidRPr="00073EA2">
        <w:rPr>
          <w:sz w:val="20"/>
          <w:szCs w:val="20"/>
        </w:rPr>
        <w:t>, ISSN-e 2255-1824, Nº. 24, 2021, págs. 25-44.</w:t>
      </w:r>
    </w:p>
    <w:p w14:paraId="7C8B500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789C4E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GANUZA, Juan José; GÓMEZ POMAR, Fernando y SEGURA MOREIRAS, Adrián. “Legislar sobre economía y contratos en tiempos de pandemia”: </w:t>
      </w:r>
      <w:r w:rsidRPr="00073EA2">
        <w:rPr>
          <w:i/>
          <w:iCs/>
          <w:sz w:val="20"/>
          <w:szCs w:val="20"/>
        </w:rPr>
        <w:t>Anuario de la Facultad de Derecho de la Universidad Autónoma de Madrid</w:t>
      </w:r>
      <w:r w:rsidRPr="00073EA2">
        <w:rPr>
          <w:sz w:val="20"/>
          <w:szCs w:val="20"/>
        </w:rPr>
        <w:t>, Nº. Extra 3, 2021 (Ejemplar dedicado a: Derecho y política ante la pandemia: Reacciones y transformaciones. Tomo II. Reacciones y transformaciones en el Derecho Privado), págs. 131-145.</w:t>
      </w:r>
    </w:p>
    <w:p w14:paraId="4B54B4B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BA539D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GARCÍA RUBIO, María Paz. “La COVID-19 y su impacto en las normas de contratación con consumidores”: </w:t>
      </w:r>
      <w:r w:rsidRPr="00073EA2">
        <w:rPr>
          <w:i/>
          <w:iCs/>
          <w:sz w:val="20"/>
          <w:szCs w:val="20"/>
        </w:rPr>
        <w:t>Anuario de la Facultad de Derecho de la Universidad Autónoma de Madrid</w:t>
      </w:r>
      <w:r w:rsidRPr="00073EA2">
        <w:rPr>
          <w:sz w:val="20"/>
          <w:szCs w:val="20"/>
        </w:rPr>
        <w:t>, Nº. Extra 3, 2021 (Ejemplar dedicado a: Derecho y política ante la pandemia: Reacciones y transformaciones. Tomo II. Reacciones y transformaciones en el Derecho Privado), págs. 161-182.</w:t>
      </w:r>
    </w:p>
    <w:p w14:paraId="5CA93F9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3F8F35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Gil Seaton</w:t>
      </w:r>
      <w:r w:rsidRPr="00073EA2">
        <w:rPr>
          <w:sz w:val="20"/>
          <w:szCs w:val="20"/>
        </w:rPr>
        <w:t xml:space="preserve">, Ayllen. “ODR de Consumo y Blockchain”: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>, Nº 9. Arbitraje de consumo, Julio 2021.</w:t>
      </w:r>
    </w:p>
    <w:p w14:paraId="609D5ED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04C94C9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lastRenderedPageBreak/>
        <w:t xml:space="preserve">GONZÁLEZ PONS, Elisabet. “La obsolescencia programada: un supuesto de práctica comercial desleal con consumidores”: </w:t>
      </w:r>
      <w:r w:rsidRPr="00073EA2">
        <w:rPr>
          <w:i/>
          <w:iCs/>
          <w:sz w:val="20"/>
          <w:szCs w:val="20"/>
        </w:rPr>
        <w:t>Revista Boliviana de Derecho</w:t>
      </w:r>
      <w:r w:rsidRPr="00073EA2">
        <w:rPr>
          <w:sz w:val="20"/>
          <w:szCs w:val="20"/>
        </w:rPr>
        <w:t>, Nº. 32, 2021, págs. 466-481.</w:t>
      </w:r>
    </w:p>
    <w:p w14:paraId="64F4905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552A26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GONZÁLEZ-HERNÁNDEZ, Esther. “El artículo 51 ce. La educación en consumo de productos higiénico-sanitarios”: </w:t>
      </w:r>
      <w:r w:rsidRPr="00073EA2">
        <w:rPr>
          <w:i/>
          <w:iCs/>
          <w:sz w:val="20"/>
          <w:szCs w:val="20"/>
        </w:rPr>
        <w:t>RJIB. Revista jurídica de les Illes Balears</w:t>
      </w:r>
      <w:r w:rsidRPr="00073EA2">
        <w:rPr>
          <w:sz w:val="20"/>
          <w:szCs w:val="20"/>
        </w:rPr>
        <w:t>, Nº. 19, 2020, págs. 69-91.</w:t>
      </w:r>
    </w:p>
    <w:p w14:paraId="1E2D8E8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4C2B37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GONZÁLEZ-ORÚS CHARRO, Martín. “La exoneración del pasivo insatisfecho en el Texto refundido de la Ley concursal”: </w:t>
      </w:r>
      <w:r w:rsidRPr="00073EA2">
        <w:rPr>
          <w:i/>
          <w:iCs/>
          <w:sz w:val="20"/>
          <w:szCs w:val="20"/>
        </w:rPr>
        <w:t>Revista de derecho mercantil</w:t>
      </w:r>
      <w:r w:rsidRPr="00073EA2">
        <w:rPr>
          <w:sz w:val="20"/>
          <w:szCs w:val="20"/>
        </w:rPr>
        <w:t>, Nº 321, 2021.</w:t>
      </w:r>
    </w:p>
    <w:p w14:paraId="4C6B4920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AE11E40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Gudín Rodríguez-Magariños</w:t>
      </w:r>
      <w:r w:rsidRPr="00073EA2">
        <w:rPr>
          <w:sz w:val="20"/>
          <w:szCs w:val="20"/>
        </w:rPr>
        <w:t xml:space="preserve">, Antonio Evaristo. “El derecho al recuerdo. Examen comparado de la normativa de preservación de datos en los Estados Unidos y en la Unión Europea”: </w:t>
      </w:r>
      <w:r w:rsidRPr="00073EA2">
        <w:rPr>
          <w:i/>
          <w:iCs/>
          <w:sz w:val="20"/>
          <w:szCs w:val="20"/>
        </w:rPr>
        <w:t>Revista Jurídica de Castilla y León</w:t>
      </w:r>
      <w:r w:rsidRPr="00073EA2">
        <w:rPr>
          <w:sz w:val="20"/>
          <w:szCs w:val="20"/>
        </w:rPr>
        <w:t xml:space="preserve">, Nº 55, Septiembre 2021. </w:t>
      </w:r>
    </w:p>
    <w:p w14:paraId="39525DFC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7EC5322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GUTIÉRREZ ALONSO, Diego y VACAS LARRAZ, Juan. “Cláusula suelo. Un nuevo capítulo: pactos de novación y renuncia”: </w:t>
      </w:r>
      <w:r w:rsidRPr="00073EA2">
        <w:rPr>
          <w:i/>
          <w:iCs/>
          <w:sz w:val="20"/>
          <w:szCs w:val="20"/>
        </w:rPr>
        <w:t>Jueces para la democracia</w:t>
      </w:r>
      <w:r w:rsidRPr="00073EA2">
        <w:rPr>
          <w:sz w:val="20"/>
          <w:szCs w:val="20"/>
        </w:rPr>
        <w:t>, Nº 101, 2021, págs. 101-111.</w:t>
      </w:r>
    </w:p>
    <w:p w14:paraId="303DF6E0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434B9B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GUTIÉRREZ PALACIOS, María Del Rosario. “¿Seguirá siendo necesario el consentimiento del usuario para los cookies de publicidad comportamental en línea?”: </w:t>
      </w:r>
      <w:r w:rsidRPr="00073EA2">
        <w:rPr>
          <w:i/>
          <w:iCs/>
          <w:sz w:val="20"/>
          <w:szCs w:val="20"/>
        </w:rPr>
        <w:t>RDUNED. Revista de derecho UNED</w:t>
      </w:r>
      <w:r w:rsidRPr="00073EA2">
        <w:rPr>
          <w:sz w:val="20"/>
          <w:szCs w:val="20"/>
        </w:rPr>
        <w:t>, Nº. 27, 2021, págs. 493-546.</w:t>
      </w:r>
    </w:p>
    <w:p w14:paraId="05C50F6D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3ED84B0" w14:textId="055ECC7D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LÓPEZ ORTEGA, Raquel. “Las plataformas Uber, BlaBlaCar y Airbnb ¿Intermediarias o prestadoras del servicio subyacente?”: </w:t>
      </w:r>
      <w:r w:rsidRPr="00073EA2">
        <w:rPr>
          <w:i/>
          <w:iCs/>
          <w:sz w:val="20"/>
          <w:szCs w:val="20"/>
        </w:rPr>
        <w:t>Revista de derecho mercantil</w:t>
      </w:r>
      <w:r w:rsidRPr="00073EA2">
        <w:rPr>
          <w:sz w:val="20"/>
          <w:szCs w:val="20"/>
        </w:rPr>
        <w:t>, Nº 321, 2021</w:t>
      </w:r>
    </w:p>
    <w:p w14:paraId="7A0847B3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AB3904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MARÍN LÓPEZ, Manuel Jesús. “La STJUE de 9 de julio de 2020 relativa al acuerdo novatorio sobre la cláusula suelo y sus efectos sobre la doctrina sentada en la STS de 11 de abril de 2018”: </w:t>
      </w:r>
      <w:r w:rsidRPr="00073EA2">
        <w:rPr>
          <w:i/>
          <w:iCs/>
          <w:sz w:val="20"/>
          <w:szCs w:val="20"/>
        </w:rPr>
        <w:t>Revista de derecho privado</w:t>
      </w:r>
      <w:r w:rsidRPr="00073EA2">
        <w:rPr>
          <w:sz w:val="20"/>
          <w:szCs w:val="20"/>
        </w:rPr>
        <w:t>, Año nº 105, Mes 3, 2021, págs. 33-66</w:t>
      </w:r>
    </w:p>
    <w:p w14:paraId="45B3673C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E8C4869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MARQUÉS MOSQUERA, Cristina. “Los contratos de crédito inmobiliario dos años después”: </w:t>
      </w:r>
      <w:r w:rsidRPr="00073EA2">
        <w:rPr>
          <w:i/>
          <w:iCs/>
          <w:sz w:val="20"/>
          <w:szCs w:val="20"/>
        </w:rPr>
        <w:t xml:space="preserve">El notario del siglo XXI: revista del Colegio Notarial de Madrid, </w:t>
      </w:r>
      <w:r w:rsidRPr="00073EA2">
        <w:rPr>
          <w:sz w:val="20"/>
          <w:szCs w:val="20"/>
        </w:rPr>
        <w:t>Nº. 98, 2021, págs. 20-23.</w:t>
      </w:r>
    </w:p>
    <w:p w14:paraId="36C28EEE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0F20F6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MARTÍN LÓPEZ, Roberto. “Análisis jurisprudencial de la legitimación pasiva de las entidades financieras en las reclamaciones realizadas por consumidores derivadas de una compraventa con subrogación hipotecaria: especial referencia a la de nulidad de la cláusula de gastos”: </w:t>
      </w:r>
      <w:r w:rsidRPr="00073EA2">
        <w:rPr>
          <w:i/>
          <w:iCs/>
          <w:sz w:val="20"/>
          <w:szCs w:val="20"/>
        </w:rPr>
        <w:t>Revista Boliviana de Derecho</w:t>
      </w:r>
      <w:r w:rsidRPr="00073EA2">
        <w:rPr>
          <w:sz w:val="20"/>
          <w:szCs w:val="20"/>
        </w:rPr>
        <w:t>, Nº. 32, 2021, págs. 966-979.</w:t>
      </w:r>
    </w:p>
    <w:p w14:paraId="41470066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BE7122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MARTÍNEZ MARTÍNEZ, Ricard. “Derechos digitales, planificación estratégica y compliance”: 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9896, 2021.</w:t>
      </w:r>
    </w:p>
    <w:p w14:paraId="4AB179B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596C60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MASIP, Adrià. “Novedades en la contratación con consumidores y usuarios”: </w:t>
      </w:r>
      <w:r w:rsidRPr="00073EA2">
        <w:rPr>
          <w:i/>
          <w:iCs/>
          <w:sz w:val="20"/>
          <w:szCs w:val="20"/>
        </w:rPr>
        <w:t>Actualidad jurídica Aranzadi</w:t>
      </w:r>
      <w:r w:rsidRPr="00073EA2">
        <w:rPr>
          <w:sz w:val="20"/>
          <w:szCs w:val="20"/>
        </w:rPr>
        <w:t xml:space="preserve">, Nº 976, 2021. </w:t>
      </w:r>
    </w:p>
    <w:p w14:paraId="5438F4D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816535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MEDRANO ARANGUREN, Adelaida. “Cláusula rebus y vulnerabilidad económica”: </w:t>
      </w:r>
      <w:r w:rsidRPr="00073EA2">
        <w:rPr>
          <w:i/>
          <w:iCs/>
          <w:sz w:val="20"/>
          <w:szCs w:val="20"/>
        </w:rPr>
        <w:t>CEFLegal: revista práctica de derecho. Comentarios y casos prácticos</w:t>
      </w:r>
      <w:r w:rsidRPr="00073EA2">
        <w:rPr>
          <w:sz w:val="20"/>
          <w:szCs w:val="20"/>
        </w:rPr>
        <w:t>, Nº. 247-248, 2021.</w:t>
      </w:r>
    </w:p>
    <w:p w14:paraId="7B8926DE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7A51E2A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MELERO BOSCH, Lourdes V. “Carga de la prueba y cumplimento de la obligación de evaluar la solvencia en la concesión de préstamos hipotecarios y al consumo”: </w:t>
      </w:r>
      <w:r w:rsidRPr="00073EA2">
        <w:rPr>
          <w:i/>
          <w:iCs/>
          <w:sz w:val="20"/>
          <w:szCs w:val="20"/>
        </w:rPr>
        <w:t>La Ley mercantil</w:t>
      </w:r>
      <w:r w:rsidRPr="00073EA2">
        <w:rPr>
          <w:sz w:val="20"/>
          <w:szCs w:val="20"/>
        </w:rPr>
        <w:t>, Nº. 82 (julio-agosto), 2021.</w:t>
      </w:r>
    </w:p>
    <w:p w14:paraId="7483137C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38F814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MILLÁN SALAS, Francisco. “Efectos de la fianza entre el fiador y el acreedor”: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785, 2021, págs. 1815-1857.</w:t>
      </w:r>
    </w:p>
    <w:p w14:paraId="135F0C6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06BD18A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>MINERO ALEJANDRE, Gemma. “El tratamiento de datos personales durtante la pandemia por COVID-19. Algunas reflexiones y lecciones aprendidas”: Anuario de la Facultad de Derecho de la Universidad Autónoma de Madrid, Nº. Extra 3, 2021 (Ejemplar dedicado a: Derecho y política ante la pandemia: Reacciones y transformaciones. Tomo II. Reacciones y transformaciones en el Derecho Privado), págs. 419-441.</w:t>
      </w:r>
    </w:p>
    <w:p w14:paraId="03527A3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E277D1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lastRenderedPageBreak/>
        <w:t>Miranda Anguita</w:t>
      </w:r>
      <w:r w:rsidRPr="00073EA2">
        <w:rPr>
          <w:sz w:val="20"/>
          <w:szCs w:val="20"/>
        </w:rPr>
        <w:t xml:space="preserve">, Ana. “El principio de la integración publicitaria del contrato y la letra pequeña de la publicidad”: </w:t>
      </w:r>
      <w:r w:rsidRPr="00073EA2">
        <w:rPr>
          <w:i/>
          <w:iCs/>
          <w:sz w:val="20"/>
          <w:szCs w:val="20"/>
        </w:rPr>
        <w:t>La Ley mercantil</w:t>
      </w:r>
      <w:r w:rsidRPr="00073EA2">
        <w:rPr>
          <w:sz w:val="20"/>
          <w:szCs w:val="20"/>
        </w:rPr>
        <w:t xml:space="preserve">, Nº. 83 (septiembre), 2021. </w:t>
      </w:r>
    </w:p>
    <w:p w14:paraId="1BF62DB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E4511A9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MORA ASTABURUAGA, Aitor. “Smart Contracts. Reflexiones sobre su concepto, naturaleza y problemática en el derecho contractual”: </w:t>
      </w:r>
      <w:r w:rsidRPr="00073EA2">
        <w:rPr>
          <w:i/>
          <w:iCs/>
          <w:sz w:val="20"/>
          <w:szCs w:val="20"/>
        </w:rPr>
        <w:t>RDUNED. Revista de derecho UNED</w:t>
      </w:r>
      <w:r w:rsidRPr="00073EA2">
        <w:rPr>
          <w:sz w:val="20"/>
          <w:szCs w:val="20"/>
        </w:rPr>
        <w:t>, Nº. 27, 2021, págs. 57-98.</w:t>
      </w:r>
    </w:p>
    <w:p w14:paraId="4AC3591C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33E6369" w14:textId="53712084" w:rsid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MORALES MORENO, Antonio Manuel. “El efecto de la pandemia en los contratos ¿Es el Derecho ordinario de contratos la solución?”: </w:t>
      </w:r>
      <w:r w:rsidRPr="00073EA2">
        <w:rPr>
          <w:i/>
          <w:iCs/>
          <w:sz w:val="20"/>
          <w:szCs w:val="20"/>
        </w:rPr>
        <w:t>Anuario de la Facultad de Derecho de la Universidad Autónoma de Madrid</w:t>
      </w:r>
      <w:r w:rsidRPr="00073EA2">
        <w:rPr>
          <w:sz w:val="20"/>
          <w:szCs w:val="20"/>
        </w:rPr>
        <w:t>, Nº. Extra 3, 2021 (Ejemplar dedicado a: Derecho y política ante la pandemia: Reacciones y transformaciones. Tomo II. Reacciones y transformaciones en el Derecho Privado), págs. 19-24.</w:t>
      </w:r>
    </w:p>
    <w:p w14:paraId="36902831" w14:textId="77777777" w:rsidR="00861413" w:rsidRPr="00861413" w:rsidRDefault="00861413" w:rsidP="00861413">
      <w:pPr>
        <w:pStyle w:val="Prrafodelista"/>
        <w:rPr>
          <w:sz w:val="20"/>
          <w:szCs w:val="20"/>
        </w:rPr>
      </w:pPr>
    </w:p>
    <w:p w14:paraId="35F9431B" w14:textId="5DFF9083" w:rsidR="00861413" w:rsidRPr="00073EA2" w:rsidRDefault="00861413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861413">
        <w:rPr>
          <w:caps/>
          <w:sz w:val="20"/>
          <w:szCs w:val="20"/>
        </w:rPr>
        <w:t>Moreno García</w:t>
      </w:r>
      <w:r>
        <w:rPr>
          <w:sz w:val="20"/>
          <w:szCs w:val="20"/>
        </w:rPr>
        <w:t>, Lucía. “</w:t>
      </w:r>
      <w:r w:rsidRPr="00861413">
        <w:rPr>
          <w:sz w:val="20"/>
          <w:szCs w:val="20"/>
        </w:rPr>
        <w:t>Competencia judicial internacional en litigios sobre reclamación de compensación por cancelación de vuelo promovidos por agencias de gestión de cobros</w:t>
      </w:r>
      <w:r>
        <w:rPr>
          <w:sz w:val="20"/>
          <w:szCs w:val="20"/>
        </w:rPr>
        <w:t xml:space="preserve">”: </w:t>
      </w:r>
      <w:r w:rsidRPr="00861413">
        <w:rPr>
          <w:i/>
          <w:iCs/>
          <w:sz w:val="20"/>
          <w:szCs w:val="20"/>
        </w:rPr>
        <w:t>Revista General del Derecho de Turismo</w:t>
      </w:r>
      <w:r>
        <w:rPr>
          <w:sz w:val="20"/>
          <w:szCs w:val="20"/>
        </w:rPr>
        <w:t xml:space="preserve">, Nº 3, junio 2021. </w:t>
      </w:r>
    </w:p>
    <w:p w14:paraId="4B787D9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8782BBA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Morral Carbonell</w:t>
      </w:r>
      <w:r w:rsidRPr="00073EA2">
        <w:rPr>
          <w:sz w:val="20"/>
          <w:szCs w:val="20"/>
        </w:rPr>
        <w:t xml:space="preserve">, Marta y </w:t>
      </w:r>
      <w:r w:rsidRPr="00073EA2">
        <w:rPr>
          <w:caps/>
          <w:sz w:val="20"/>
          <w:szCs w:val="20"/>
        </w:rPr>
        <w:t>Pons Juanpere</w:t>
      </w:r>
      <w:r w:rsidRPr="00073EA2">
        <w:rPr>
          <w:sz w:val="20"/>
          <w:szCs w:val="20"/>
        </w:rPr>
        <w:t xml:space="preserve">, Marta. “El laudo de consumo: especial referencia a la anulación de los laudos arbitrales por vulneración del orden público en las recientes Sentencias del Tribunal Constitucional”: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>, Nº 9. Arbitraje de consumo, Julio 2021.</w:t>
      </w:r>
    </w:p>
    <w:p w14:paraId="65327F2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D44A2F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Munné Catarina</w:t>
      </w:r>
      <w:r w:rsidRPr="00073EA2">
        <w:rPr>
          <w:sz w:val="20"/>
          <w:szCs w:val="20"/>
        </w:rPr>
        <w:t xml:space="preserve">, Frederic. “El consumidor ante un arbitraje distinto del de consumo”: </w:t>
      </w:r>
      <w:r w:rsidRPr="00073EA2">
        <w:rPr>
          <w:i/>
          <w:iCs/>
          <w:sz w:val="20"/>
          <w:szCs w:val="20"/>
        </w:rPr>
        <w:t>Revista Jurídica sobre Consumidores y Usuarios</w:t>
      </w:r>
      <w:r w:rsidRPr="00073EA2">
        <w:rPr>
          <w:sz w:val="20"/>
          <w:szCs w:val="20"/>
        </w:rPr>
        <w:t xml:space="preserve">, Nº 9. Arbitraje de consumo, Julio 2021. </w:t>
      </w:r>
    </w:p>
    <w:p w14:paraId="2D2C55CA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8E3F67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ORTEGA GIMÉNEZ, Alfonso. “La responsabilidad de las compañías aéreas respecto al transporte aéreo de pasajeros y de sus equipajes en el territorio de la Unión Europea en casos de «accidente», tras la STJUE de 19 de diciembre de 2019 (Asunto C-532/18: Niki Luftfahrt)”: </w:t>
      </w:r>
      <w:r w:rsidRPr="00073EA2">
        <w:rPr>
          <w:i/>
          <w:iCs/>
          <w:sz w:val="20"/>
          <w:szCs w:val="20"/>
        </w:rPr>
        <w:t>Revista de derecho del transporte: Terrestre, marítimo, aéreo y multimodal</w:t>
      </w:r>
      <w:r w:rsidRPr="00073EA2">
        <w:rPr>
          <w:sz w:val="20"/>
          <w:szCs w:val="20"/>
        </w:rPr>
        <w:t>, Nº. 27, 2021, págs. 137-156.</w:t>
      </w:r>
    </w:p>
    <w:p w14:paraId="7C73AD30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1080A6E" w14:textId="2CE1E986" w:rsidR="00073EA2" w:rsidRPr="00437834" w:rsidRDefault="00073EA2" w:rsidP="00437834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PARRA LUCÁN, María Angeles. “La cláusula "rebus sic stantibus" en la jurisprudencia de la Sala Primera del Tribunal Supremo”: </w:t>
      </w:r>
      <w:r w:rsidRPr="00073EA2">
        <w:rPr>
          <w:i/>
          <w:iCs/>
          <w:sz w:val="20"/>
          <w:szCs w:val="20"/>
        </w:rPr>
        <w:t>Anuario de la Facultad de Derecho de la Universidad Autónoma de Madrid</w:t>
      </w:r>
      <w:r w:rsidRPr="00073EA2">
        <w:rPr>
          <w:sz w:val="20"/>
          <w:szCs w:val="20"/>
        </w:rPr>
        <w:t>, Nº. Extra 3, 2021 (Ejemplar dedicado a: Derecho y política ante la pandemia: Reacciones y transformaciones. Tomo II. Reacciones y transformaciones en el Derecho Privado), págs. 25-37.</w:t>
      </w:r>
    </w:p>
    <w:p w14:paraId="4C84EE35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2B355B3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>PAZOS CASTRO, Ricardo. “Préstamos y pandemia”: Anuario de la Facultad de Derecho de la Universidad Autónoma de Madrid, Nº. Extra 3, 2021 (Ejemplar dedicado a: Derecho y política ante la pandemia: Reacciones y transformaciones. Tomo II. Reacciones y transformaciones en el Derecho Privado), págs. 223-237.</w:t>
      </w:r>
    </w:p>
    <w:p w14:paraId="54EB83D3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A2D20A6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PEÑA FERNÁNDEZ, Alexis. “Constitucionalismo social y derechos del consumidor: Revisión legislativa entre Argentina y Colombia”: </w:t>
      </w:r>
      <w:r w:rsidRPr="00073EA2">
        <w:rPr>
          <w:i/>
          <w:iCs/>
          <w:sz w:val="20"/>
          <w:szCs w:val="20"/>
        </w:rPr>
        <w:t>Revista Ratio Juris</w:t>
      </w:r>
      <w:r w:rsidRPr="00073EA2">
        <w:rPr>
          <w:sz w:val="20"/>
          <w:szCs w:val="20"/>
        </w:rPr>
        <w:t>, Vol. 16, Nº. 32, 2021, págs. 249-272.</w:t>
      </w:r>
    </w:p>
    <w:p w14:paraId="604A68D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1A475C4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PÉREZ-SERRABONA GONZÁLEZ, Javier. “Indefinición de un nuevo modelo de tutela colectiva para consumidores (Directiva 2020/1828): a vigente class action europea”: </w:t>
      </w:r>
      <w:r w:rsidRPr="00073EA2">
        <w:rPr>
          <w:i/>
          <w:iCs/>
          <w:sz w:val="20"/>
          <w:szCs w:val="20"/>
        </w:rPr>
        <w:t>La Ley mercantil</w:t>
      </w:r>
      <w:r w:rsidRPr="00073EA2">
        <w:rPr>
          <w:sz w:val="20"/>
          <w:szCs w:val="20"/>
        </w:rPr>
        <w:t>, Nº. 81 (junio), 2021.</w:t>
      </w:r>
    </w:p>
    <w:p w14:paraId="3D46B77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CFA4E10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PROL, Francisco G. “Confirmación de la doctrina del Tribunal Supremo sobre 'swaps' (SAP Madrid 19 noviembre 2020)”: </w:t>
      </w:r>
      <w:r w:rsidRPr="00073EA2">
        <w:rPr>
          <w:i/>
          <w:iCs/>
          <w:sz w:val="20"/>
          <w:szCs w:val="20"/>
        </w:rPr>
        <w:t>La Ley. Mediación y arbitraje</w:t>
      </w:r>
      <w:r w:rsidRPr="00073EA2">
        <w:rPr>
          <w:sz w:val="20"/>
          <w:szCs w:val="20"/>
        </w:rPr>
        <w:t>, Nº. 7, 2021 (Ejemplar dedicado a: Inserción de los MASC en el Anteproyecto de Ley de Eficacia Procesal).</w:t>
      </w:r>
    </w:p>
    <w:p w14:paraId="0991AE3B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4D5CEE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ROSABAL ROBAINA, Yuniel.  “Luces y sombras de la publicidad material en Cuba”: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786, 2021, págs. 2259-2299.</w:t>
      </w:r>
    </w:p>
    <w:p w14:paraId="09700423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95B625F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SAN MIGUEL PRADERA, Lis Paula. “La cláusula "rebus sic stantibus" en el moderno derecho de obligaciones y contratos”: </w:t>
      </w:r>
      <w:r w:rsidRPr="00073EA2">
        <w:rPr>
          <w:i/>
          <w:iCs/>
          <w:sz w:val="20"/>
          <w:szCs w:val="20"/>
        </w:rPr>
        <w:t>Anuario de la Facultad de Derecho de la Universidad Autónoma de Madrid</w:t>
      </w:r>
      <w:r w:rsidRPr="00073EA2">
        <w:rPr>
          <w:sz w:val="20"/>
          <w:szCs w:val="20"/>
        </w:rPr>
        <w:t>, Nº. Extra 3, 2021 (Ejemplar dedicado a: Derecho y política ante la pandemia: Reacciones y transformaciones. Tomo II. Reacciones y transformaciones en el Derecho Privado), págs. 39-61.</w:t>
      </w:r>
    </w:p>
    <w:p w14:paraId="31D99E12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491DDED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SÁNCHEZ ÁLVAREZ, Eduardo y GARCÍA PACIOS, Adrián. “Tecnología blockchain y contratación electrónica: puntos críticos de integración de los denominados smart contracts en nuestro sistema de derecho contractual”: </w:t>
      </w:r>
      <w:r w:rsidRPr="00073EA2">
        <w:rPr>
          <w:i/>
          <w:iCs/>
          <w:sz w:val="20"/>
          <w:szCs w:val="20"/>
        </w:rPr>
        <w:t>CEFLegal: revista práctica de derecho. Comentarios y casos prácticos</w:t>
      </w:r>
      <w:r w:rsidRPr="00073EA2">
        <w:rPr>
          <w:sz w:val="20"/>
          <w:szCs w:val="20"/>
        </w:rPr>
        <w:t>, Nº. 246, 2021.</w:t>
      </w:r>
    </w:p>
    <w:p w14:paraId="6AFB8837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EA58BE2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Sánchez García</w:t>
      </w:r>
      <w:r w:rsidRPr="00073EA2">
        <w:rPr>
          <w:sz w:val="20"/>
          <w:szCs w:val="20"/>
        </w:rPr>
        <w:t xml:space="preserve">, Jesus Mª. “La cláusula de vencimiento anticipado en los préstamos personales sin garantía hipotecaria”: </w:t>
      </w:r>
      <w:r w:rsidRPr="00073EA2">
        <w:rPr>
          <w:i/>
          <w:iCs/>
          <w:sz w:val="20"/>
          <w:szCs w:val="20"/>
        </w:rPr>
        <w:t>Revista de Derecho vLex</w:t>
      </w:r>
      <w:r w:rsidRPr="00073EA2">
        <w:rPr>
          <w:sz w:val="20"/>
          <w:szCs w:val="20"/>
        </w:rPr>
        <w:t>, Nº 207, Agosto 2021.</w:t>
      </w:r>
    </w:p>
    <w:p w14:paraId="3FF4382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71A8B28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SÁNCHEZ GARCÍA, Jesus Mª. “Plazo para exigir la entrega de documentos bancarios que afectan a un cliente”: </w:t>
      </w:r>
      <w:r w:rsidRPr="00073EA2">
        <w:rPr>
          <w:i/>
          <w:iCs/>
          <w:sz w:val="20"/>
          <w:szCs w:val="20"/>
        </w:rPr>
        <w:t>Revista de Derecho vLex</w:t>
      </w:r>
      <w:r w:rsidRPr="00073EA2">
        <w:rPr>
          <w:sz w:val="20"/>
          <w:szCs w:val="20"/>
        </w:rPr>
        <w:t>, Nº 207, Agosto 2021.</w:t>
      </w:r>
    </w:p>
    <w:p w14:paraId="70593B58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A46998E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García</w:t>
      </w:r>
      <w:r w:rsidRPr="00073EA2">
        <w:rPr>
          <w:sz w:val="20"/>
          <w:szCs w:val="20"/>
        </w:rPr>
        <w:t xml:space="preserve">, Jesus Mª. “Sobre la prescripción de la acción de restitución de los gastos indebidamente cobrados, como consecuencia de la declaración de nulidad de una cláusula predispuesta suscrita con un consumidor”: </w:t>
      </w:r>
      <w:r w:rsidRPr="00073EA2">
        <w:rPr>
          <w:i/>
          <w:iCs/>
          <w:sz w:val="20"/>
          <w:szCs w:val="20"/>
        </w:rPr>
        <w:t>Revista de Derecho vLex</w:t>
      </w:r>
      <w:r w:rsidRPr="00073EA2">
        <w:rPr>
          <w:sz w:val="20"/>
          <w:szCs w:val="20"/>
        </w:rPr>
        <w:t xml:space="preserve">, Nº 207, Agosto 2021. </w:t>
      </w:r>
    </w:p>
    <w:p w14:paraId="717D965A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9FDFC9E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SANZ COMPANY, Rafael. “Dos años de aplicación de la Ley de Contratos de Crédito Inmobiliario y la revisión de la Directiva 2014/17/UE que la causó”: </w:t>
      </w:r>
      <w:r w:rsidRPr="00073EA2">
        <w:rPr>
          <w:i/>
          <w:iCs/>
          <w:sz w:val="20"/>
          <w:szCs w:val="20"/>
        </w:rPr>
        <w:t>El notario del siglo XXI: revista del Colegio Notarial de Madrid</w:t>
      </w:r>
      <w:r w:rsidRPr="00073EA2">
        <w:rPr>
          <w:sz w:val="20"/>
          <w:szCs w:val="20"/>
        </w:rPr>
        <w:t>, Nº. 98, 2021, págs. 12-19.</w:t>
      </w:r>
    </w:p>
    <w:p w14:paraId="1FD13867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86D9CC3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SANZ DE JUBERA HIGUERO, Beatriz. “Créditos "revolving": usura y transparencia”: </w:t>
      </w:r>
      <w:r w:rsidRPr="00073EA2">
        <w:rPr>
          <w:i/>
          <w:iCs/>
          <w:sz w:val="20"/>
          <w:szCs w:val="20"/>
        </w:rPr>
        <w:t>Revista Crítica de Derecho Inmobiliario</w:t>
      </w:r>
      <w:r w:rsidRPr="00073EA2">
        <w:rPr>
          <w:sz w:val="20"/>
          <w:szCs w:val="20"/>
        </w:rPr>
        <w:t>, Año nº 97, Nº 786, 2021, págs. 2517-2547.</w:t>
      </w:r>
    </w:p>
    <w:p w14:paraId="6023BA68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5B31241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SIRGIOVANNI, Benedetta. “Revisione del contratto al tempo del COVID-19”: </w:t>
      </w:r>
      <w:r w:rsidRPr="00073EA2">
        <w:rPr>
          <w:i/>
          <w:iCs/>
          <w:sz w:val="20"/>
          <w:szCs w:val="20"/>
        </w:rPr>
        <w:t>Rivista del diritto commerciale e del diritto generale delle obbligazioni</w:t>
      </w:r>
      <w:r w:rsidRPr="00073EA2">
        <w:rPr>
          <w:sz w:val="20"/>
          <w:szCs w:val="20"/>
        </w:rPr>
        <w:t>, Nº. 1, 2021.</w:t>
      </w:r>
    </w:p>
    <w:p w14:paraId="51D025B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9440971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TAMAYO VELASCO, Jimena. “Big data, competencia y protección de datos: el rol del Reglamento General de Protección de Datos en los modelos de negocio basados en la publicidad personalizada”: </w:t>
      </w:r>
      <w:r w:rsidRPr="00073EA2">
        <w:rPr>
          <w:i/>
          <w:iCs/>
          <w:sz w:val="20"/>
          <w:szCs w:val="20"/>
        </w:rPr>
        <w:t>Revista de estudios europeos</w:t>
      </w:r>
      <w:r w:rsidRPr="00073EA2">
        <w:rPr>
          <w:sz w:val="20"/>
          <w:szCs w:val="20"/>
        </w:rPr>
        <w:t>, Nº. 78, 2021 (Ejemplar dedicado a: Retos jurídicos en los mercados digitales), págs. 183-202.</w:t>
      </w:r>
    </w:p>
    <w:p w14:paraId="022B08B9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7FA5E6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Tapia Hermida</w:t>
      </w:r>
      <w:r w:rsidRPr="00073EA2">
        <w:rPr>
          <w:sz w:val="20"/>
          <w:szCs w:val="20"/>
        </w:rPr>
        <w:t xml:space="preserve">, Alberto Javier. “Responsabilidad civil empresarial por bienes o servicios defectuosos: Decálogo de la jurisprudencia europea y española reciente”: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9913, 2021.</w:t>
      </w:r>
    </w:p>
    <w:p w14:paraId="6B053E6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3391A11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TOBÍO FERNÁNDEZ, Jonatan. “Las relaciones contractuales entre los abogados y sus clientes: aportación para la resolución de la cuestión relativa a su calificación jurídica”: </w:t>
      </w:r>
      <w:r w:rsidRPr="00073EA2">
        <w:rPr>
          <w:i/>
          <w:iCs/>
          <w:sz w:val="20"/>
          <w:szCs w:val="20"/>
        </w:rPr>
        <w:t>RDUNED. Revista de derecho UNED</w:t>
      </w:r>
      <w:r w:rsidRPr="00073EA2">
        <w:rPr>
          <w:sz w:val="20"/>
          <w:szCs w:val="20"/>
        </w:rPr>
        <w:t>, Nº. 27, 2021, págs. 1019-1056.</w:t>
      </w:r>
    </w:p>
    <w:p w14:paraId="00A9CDD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D49F4B7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TORRELLES TORREA, Esther. “La resolución de los contratos por consumidores en tiempos de pandemia. Art. 36. 1 y 2 RD-ley 11/2020”: </w:t>
      </w:r>
      <w:r w:rsidRPr="00073EA2">
        <w:rPr>
          <w:i/>
          <w:iCs/>
          <w:sz w:val="20"/>
          <w:szCs w:val="20"/>
        </w:rPr>
        <w:t>Revista de Derecho Civil</w:t>
      </w:r>
      <w:r w:rsidRPr="00073EA2">
        <w:rPr>
          <w:sz w:val="20"/>
          <w:szCs w:val="20"/>
        </w:rPr>
        <w:t>, Vol. 8, Nº. 2 (abril-junio), 2021, págs. 93-145.</w:t>
      </w:r>
    </w:p>
    <w:p w14:paraId="693DDAE2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503039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caps/>
          <w:sz w:val="20"/>
          <w:szCs w:val="20"/>
        </w:rPr>
        <w:t>Tur Faúndez</w:t>
      </w:r>
      <w:r w:rsidRPr="00073EA2">
        <w:rPr>
          <w:sz w:val="20"/>
          <w:szCs w:val="20"/>
        </w:rPr>
        <w:t xml:space="preserve">, M.ª Nélida. “El régimen de la falta de conformidad tras la reforma de la Ley general para la defensa de los consumidores y usuarios por el Real Decreto Ley 7/2021, de 27 de abril”:  </w:t>
      </w:r>
      <w:r w:rsidRPr="00073EA2">
        <w:rPr>
          <w:i/>
          <w:iCs/>
          <w:sz w:val="20"/>
          <w:szCs w:val="20"/>
        </w:rPr>
        <w:t>La Ley mercantil</w:t>
      </w:r>
      <w:r w:rsidRPr="00073EA2">
        <w:rPr>
          <w:sz w:val="20"/>
          <w:szCs w:val="20"/>
        </w:rPr>
        <w:t xml:space="preserve">, Nº. 83 (septiembre), 2021. </w:t>
      </w:r>
    </w:p>
    <w:p w14:paraId="5FAE17E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4D763B7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VALLESPÍN PÉREZ, David. “El consumidor bancario ante el IRPH (una experiencia propia del Dragon Khan)”: </w:t>
      </w:r>
      <w:r w:rsidRPr="00073EA2">
        <w:rPr>
          <w:i/>
          <w:iCs/>
          <w:sz w:val="20"/>
          <w:szCs w:val="20"/>
        </w:rPr>
        <w:t>Justicia: revista de derecho procesal</w:t>
      </w:r>
      <w:r w:rsidRPr="00073EA2">
        <w:rPr>
          <w:sz w:val="20"/>
          <w:szCs w:val="20"/>
        </w:rPr>
        <w:t>, Nº 1, 2021, págs. 107-162.</w:t>
      </w:r>
    </w:p>
    <w:p w14:paraId="46192DCF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EFF3F3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VAQUERO LÓPEZ, Carmen. “Mercados financieros on line y protección procesal de los consumidores: cuestiones de competencia judicial internacional a la luz de la decisión del TJUE en el asunto Reliantco Investments”: </w:t>
      </w:r>
      <w:r w:rsidRPr="00073EA2">
        <w:rPr>
          <w:i/>
          <w:iCs/>
          <w:sz w:val="20"/>
          <w:szCs w:val="20"/>
        </w:rPr>
        <w:t>Revista de estudios europeos</w:t>
      </w:r>
      <w:r w:rsidRPr="00073EA2">
        <w:rPr>
          <w:sz w:val="20"/>
          <w:szCs w:val="20"/>
        </w:rPr>
        <w:t>, Nº. 78, 2021 (Ejemplar dedicado a: Retos jurídicos en los mercados digitales), págs. 255-265.</w:t>
      </w:r>
    </w:p>
    <w:p w14:paraId="31299CE4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474A43B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VÁZQUEZ RUANO, Trinidad. “Los desafíos jurídicos de la difusión promocional electrónica en relación con la defensa de la privacidad”: </w:t>
      </w:r>
      <w:r w:rsidRPr="00073EA2">
        <w:rPr>
          <w:i/>
          <w:iCs/>
          <w:sz w:val="20"/>
          <w:szCs w:val="20"/>
        </w:rPr>
        <w:t>Revista de derecho mercantil</w:t>
      </w:r>
      <w:r w:rsidRPr="00073EA2">
        <w:rPr>
          <w:sz w:val="20"/>
          <w:szCs w:val="20"/>
        </w:rPr>
        <w:t>, Nº 321, 2021.</w:t>
      </w:r>
    </w:p>
    <w:p w14:paraId="29CD3743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0CDD849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VELA TORRES, Pedro José. “Consideración de las comunidades de propietarios como consumidores”: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>, Nº 9892, 2021.</w:t>
      </w:r>
    </w:p>
    <w:p w14:paraId="33EF4548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D41B00C" w14:textId="77777777" w:rsidR="00073EA2" w:rsidRP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  <w:rPr>
          <w:sz w:val="20"/>
          <w:szCs w:val="20"/>
        </w:rPr>
      </w:pPr>
      <w:r w:rsidRPr="00073EA2">
        <w:rPr>
          <w:sz w:val="20"/>
          <w:szCs w:val="20"/>
        </w:rPr>
        <w:t xml:space="preserve">VELA TORRES, Pedro José. “Día inicial del plazo de prescripción de la acción indemnizatoria formulada por el beneficiario del seguro, que sufre una discapacidad intelectual”: </w:t>
      </w:r>
      <w:r w:rsidRPr="00073EA2">
        <w:rPr>
          <w:i/>
          <w:iCs/>
          <w:sz w:val="20"/>
          <w:szCs w:val="20"/>
        </w:rPr>
        <w:t>Diario La Ley</w:t>
      </w:r>
      <w:r w:rsidRPr="00073EA2">
        <w:rPr>
          <w:sz w:val="20"/>
          <w:szCs w:val="20"/>
        </w:rPr>
        <w:t xml:space="preserve">, Nº 9884, 2021. </w:t>
      </w:r>
    </w:p>
    <w:p w14:paraId="5C0BB4D8" w14:textId="77777777" w:rsidR="00073EA2" w:rsidRPr="00073EA2" w:rsidRDefault="00073EA2" w:rsidP="00073EA2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8259F4E" w14:textId="77777777" w:rsidR="00073EA2" w:rsidRDefault="00073EA2" w:rsidP="00073EA2">
      <w:pPr>
        <w:pStyle w:val="Prrafodelista"/>
        <w:numPr>
          <w:ilvl w:val="0"/>
          <w:numId w:val="7"/>
        </w:numPr>
        <w:spacing w:after="0" w:line="240" w:lineRule="auto"/>
        <w:ind w:left="360"/>
        <w:jc w:val="both"/>
      </w:pPr>
      <w:r w:rsidRPr="00073EA2">
        <w:rPr>
          <w:sz w:val="20"/>
          <w:szCs w:val="20"/>
        </w:rPr>
        <w:t xml:space="preserve">ZUMAQUERO GIL, Laura. “Los efectos derivados del carácter abusivo de las cláusulas de vencimiento anticipado de las hipotecas”: </w:t>
      </w:r>
      <w:r w:rsidRPr="00073EA2">
        <w:rPr>
          <w:i/>
          <w:iCs/>
          <w:sz w:val="20"/>
          <w:szCs w:val="20"/>
        </w:rPr>
        <w:t>Revista de Derecho Civil</w:t>
      </w:r>
      <w:r w:rsidRPr="00073EA2">
        <w:rPr>
          <w:sz w:val="20"/>
          <w:szCs w:val="20"/>
        </w:rPr>
        <w:t>, Vol. 8, Nº. 2 (abril-junio), 2021, págs. 221-270.</w:t>
      </w:r>
    </w:p>
    <w:p w14:paraId="3A6BA771" w14:textId="77777777" w:rsidR="00CE63DC" w:rsidRDefault="00CE63DC" w:rsidP="00673A7C">
      <w:pPr>
        <w:rPr>
          <w:rFonts w:cstheme="minorHAnsi"/>
          <w:sz w:val="20"/>
          <w:szCs w:val="20"/>
        </w:rPr>
      </w:pPr>
    </w:p>
    <w:p w14:paraId="4F035DEF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4F378964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209EACED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025CD3A6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3E3028B9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58971B7F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3806C342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767D98EF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4B61007C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635C7208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6C8F86B4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592F9383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113AE6A1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1BAE6065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0BB4B51F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2E95231B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2A70892B" w14:textId="77777777" w:rsidR="00B55B74" w:rsidRDefault="00B55B74" w:rsidP="00CE63DC">
      <w:pPr>
        <w:rPr>
          <w:rFonts w:cstheme="minorHAnsi"/>
          <w:sz w:val="20"/>
          <w:szCs w:val="20"/>
        </w:rPr>
      </w:pPr>
    </w:p>
    <w:p w14:paraId="7468D554" w14:textId="7FBA98C4" w:rsidR="00B55B74" w:rsidRDefault="00B55B74" w:rsidP="00CE63DC">
      <w:pPr>
        <w:rPr>
          <w:rFonts w:cstheme="minorHAnsi"/>
          <w:sz w:val="20"/>
          <w:szCs w:val="20"/>
        </w:rPr>
      </w:pPr>
    </w:p>
    <w:p w14:paraId="4C135382" w14:textId="77777777" w:rsidR="00073EA2" w:rsidRDefault="00073EA2" w:rsidP="00CE63DC">
      <w:pPr>
        <w:rPr>
          <w:rFonts w:cstheme="minorHAnsi"/>
          <w:sz w:val="20"/>
          <w:szCs w:val="20"/>
        </w:rPr>
      </w:pPr>
    </w:p>
    <w:p w14:paraId="7781716A" w14:textId="78DAE862" w:rsidR="00B44604" w:rsidRDefault="00B44604" w:rsidP="00CE63DC">
      <w:pPr>
        <w:rPr>
          <w:rFonts w:cstheme="minorHAnsi"/>
          <w:sz w:val="20"/>
          <w:szCs w:val="20"/>
        </w:rPr>
      </w:pPr>
    </w:p>
    <w:p w14:paraId="0111FB8E" w14:textId="29EC251E" w:rsidR="0009107E" w:rsidRDefault="0009107E" w:rsidP="00CE63DC">
      <w:pPr>
        <w:rPr>
          <w:rFonts w:cstheme="minorHAnsi"/>
          <w:sz w:val="20"/>
          <w:szCs w:val="20"/>
        </w:rPr>
      </w:pPr>
    </w:p>
    <w:p w14:paraId="3BE31CB7" w14:textId="77777777" w:rsidR="0009107E" w:rsidRPr="00CE63DC" w:rsidRDefault="0009107E" w:rsidP="00CE63DC">
      <w:pPr>
        <w:rPr>
          <w:rFonts w:cstheme="minorHAnsi"/>
          <w:sz w:val="20"/>
          <w:szCs w:val="20"/>
        </w:rPr>
      </w:pPr>
    </w:p>
    <w:p w14:paraId="3BE8FA80" w14:textId="77777777" w:rsidR="00CE63DC" w:rsidRDefault="00CE63DC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lastRenderedPageBreak/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DC47" w14:textId="77777777" w:rsidR="00A9209D" w:rsidRDefault="00A9209D" w:rsidP="000562B1">
      <w:pPr>
        <w:spacing w:after="0" w:line="240" w:lineRule="auto"/>
      </w:pPr>
      <w:r>
        <w:separator/>
      </w:r>
    </w:p>
  </w:endnote>
  <w:endnote w:type="continuationSeparator" w:id="0">
    <w:p w14:paraId="3EC225C9" w14:textId="77777777" w:rsidR="00A9209D" w:rsidRDefault="00A9209D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B44604">
          <w:rPr>
            <w:rFonts w:cstheme="minorHAnsi"/>
            <w:noProof/>
          </w:rPr>
          <w:t>7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5EB02" w14:textId="77777777" w:rsidR="00A9209D" w:rsidRDefault="00A9209D" w:rsidP="000562B1">
      <w:pPr>
        <w:spacing w:after="0" w:line="240" w:lineRule="auto"/>
      </w:pPr>
      <w:r>
        <w:separator/>
      </w:r>
    </w:p>
  </w:footnote>
  <w:footnote w:type="continuationSeparator" w:id="0">
    <w:p w14:paraId="34634C56" w14:textId="77777777" w:rsidR="00A9209D" w:rsidRDefault="00A9209D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10744"/>
    <w:multiLevelType w:val="hybridMultilevel"/>
    <w:tmpl w:val="B6D0C8A8"/>
    <w:lvl w:ilvl="0" w:tplc="5F34B06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416C3"/>
    <w:multiLevelType w:val="hybridMultilevel"/>
    <w:tmpl w:val="C9D2F9FA"/>
    <w:lvl w:ilvl="0" w:tplc="5F34B0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8D6"/>
    <w:rsid w:val="00020F4E"/>
    <w:rsid w:val="000562B1"/>
    <w:rsid w:val="00073EA2"/>
    <w:rsid w:val="0009107E"/>
    <w:rsid w:val="0012310A"/>
    <w:rsid w:val="001342BF"/>
    <w:rsid w:val="0017035A"/>
    <w:rsid w:val="00181687"/>
    <w:rsid w:val="001B39D6"/>
    <w:rsid w:val="001E467C"/>
    <w:rsid w:val="00226C2F"/>
    <w:rsid w:val="002321F9"/>
    <w:rsid w:val="002920B4"/>
    <w:rsid w:val="002C3D5D"/>
    <w:rsid w:val="00326C94"/>
    <w:rsid w:val="003662F8"/>
    <w:rsid w:val="003C7E66"/>
    <w:rsid w:val="003E66AA"/>
    <w:rsid w:val="003F49BB"/>
    <w:rsid w:val="003F4BCA"/>
    <w:rsid w:val="00410FE1"/>
    <w:rsid w:val="004158D3"/>
    <w:rsid w:val="00437834"/>
    <w:rsid w:val="00474518"/>
    <w:rsid w:val="004D794A"/>
    <w:rsid w:val="0051297C"/>
    <w:rsid w:val="005524C4"/>
    <w:rsid w:val="005527B0"/>
    <w:rsid w:val="005B7019"/>
    <w:rsid w:val="005E340F"/>
    <w:rsid w:val="005F0DEC"/>
    <w:rsid w:val="005F1DFB"/>
    <w:rsid w:val="005F3752"/>
    <w:rsid w:val="00633110"/>
    <w:rsid w:val="00656A1A"/>
    <w:rsid w:val="00673A7C"/>
    <w:rsid w:val="006B172C"/>
    <w:rsid w:val="007C2FE3"/>
    <w:rsid w:val="008251E3"/>
    <w:rsid w:val="00827C04"/>
    <w:rsid w:val="00846866"/>
    <w:rsid w:val="00861413"/>
    <w:rsid w:val="008D2AC3"/>
    <w:rsid w:val="008D6849"/>
    <w:rsid w:val="00916F83"/>
    <w:rsid w:val="00923CBC"/>
    <w:rsid w:val="0093649B"/>
    <w:rsid w:val="009432D4"/>
    <w:rsid w:val="00952BF5"/>
    <w:rsid w:val="009E7932"/>
    <w:rsid w:val="00A00862"/>
    <w:rsid w:val="00A178D6"/>
    <w:rsid w:val="00A21DDE"/>
    <w:rsid w:val="00A535EC"/>
    <w:rsid w:val="00A9209D"/>
    <w:rsid w:val="00A95CE0"/>
    <w:rsid w:val="00B00158"/>
    <w:rsid w:val="00B03532"/>
    <w:rsid w:val="00B065EF"/>
    <w:rsid w:val="00B40032"/>
    <w:rsid w:val="00B42623"/>
    <w:rsid w:val="00B44604"/>
    <w:rsid w:val="00B55B74"/>
    <w:rsid w:val="00B917BF"/>
    <w:rsid w:val="00BE3615"/>
    <w:rsid w:val="00C41A52"/>
    <w:rsid w:val="00C45C39"/>
    <w:rsid w:val="00C660D0"/>
    <w:rsid w:val="00C67BF4"/>
    <w:rsid w:val="00C943B2"/>
    <w:rsid w:val="00C97832"/>
    <w:rsid w:val="00CB0586"/>
    <w:rsid w:val="00CC74C3"/>
    <w:rsid w:val="00CE63DC"/>
    <w:rsid w:val="00CF0ADE"/>
    <w:rsid w:val="00D364FB"/>
    <w:rsid w:val="00D37249"/>
    <w:rsid w:val="00D827B7"/>
    <w:rsid w:val="00DA30E6"/>
    <w:rsid w:val="00DC326F"/>
    <w:rsid w:val="00E37172"/>
    <w:rsid w:val="00E618E3"/>
    <w:rsid w:val="00E7533D"/>
    <w:rsid w:val="00E843AB"/>
    <w:rsid w:val="00E86324"/>
    <w:rsid w:val="00EE05FD"/>
    <w:rsid w:val="00F93F29"/>
    <w:rsid w:val="00FA6DED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  <w15:docId w15:val="{D424B7B4-3C7E-4C81-A703-C46E8953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9A3F-B488-4D01-8323-D2F678ED4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2638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VICTOR BASTANTE GRANELL</cp:lastModifiedBy>
  <cp:revision>13</cp:revision>
  <cp:lastPrinted>2021-10-13T11:32:00Z</cp:lastPrinted>
  <dcterms:created xsi:type="dcterms:W3CDTF">2021-01-24T12:46:00Z</dcterms:created>
  <dcterms:modified xsi:type="dcterms:W3CDTF">2021-10-13T11:32:00Z</dcterms:modified>
</cp:coreProperties>
</file>