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41848E32" w:rsidR="00827C04" w:rsidRDefault="00467E42">
                            <w:pPr>
                              <w:rPr>
                                <w:rFonts w:ascii="Segoe UI" w:hAnsi="Segoe UI" w:cs="Segoe UI"/>
                                <w:b/>
                                <w:color w:val="FFFFFF" w:themeColor="background1"/>
                                <w:sz w:val="36"/>
                                <w:szCs w:val="36"/>
                              </w:rPr>
                            </w:pPr>
                            <w:r>
                              <w:rPr>
                                <w:rFonts w:ascii="Segoe UI" w:hAnsi="Segoe UI" w:cs="Segoe UI"/>
                                <w:b/>
                                <w:color w:val="FFFFFF" w:themeColor="background1"/>
                                <w:sz w:val="36"/>
                                <w:szCs w:val="36"/>
                              </w:rPr>
                              <w:t>Octubre</w:t>
                            </w:r>
                            <w:r w:rsidR="00B40032">
                              <w:rPr>
                                <w:rFonts w:ascii="Segoe UI" w:hAnsi="Segoe UI" w:cs="Segoe UI"/>
                                <w:b/>
                                <w:color w:val="FFFFFF" w:themeColor="background1"/>
                                <w:sz w:val="36"/>
                                <w:szCs w:val="36"/>
                              </w:rPr>
                              <w:t>-</w:t>
                            </w:r>
                            <w:r>
                              <w:rPr>
                                <w:rFonts w:ascii="Segoe UI" w:hAnsi="Segoe UI" w:cs="Segoe UI"/>
                                <w:b/>
                                <w:color w:val="FFFFFF" w:themeColor="background1"/>
                                <w:sz w:val="36"/>
                                <w:szCs w:val="36"/>
                              </w:rPr>
                              <w:t>Diciembre</w:t>
                            </w:r>
                            <w:r w:rsidR="00827C04" w:rsidRPr="00D37249">
                              <w:rPr>
                                <w:rFonts w:ascii="Segoe UI" w:hAnsi="Segoe UI" w:cs="Segoe UI"/>
                                <w:b/>
                                <w:color w:val="FFFFFF" w:themeColor="background1"/>
                                <w:sz w:val="36"/>
                                <w:szCs w:val="36"/>
                              </w:rPr>
                              <w:t xml:space="preserve"> 202</w:t>
                            </w:r>
                            <w:r w:rsidR="00816AAB">
                              <w:rPr>
                                <w:rFonts w:ascii="Segoe UI" w:hAnsi="Segoe UI" w:cs="Segoe UI"/>
                                <w:b/>
                                <w:color w:val="FFFFFF" w:themeColor="background1"/>
                                <w:sz w:val="36"/>
                                <w:szCs w:val="36"/>
                              </w:rPr>
                              <w:t>1</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41848E32" w:rsidR="00827C04" w:rsidRDefault="00467E42">
                      <w:pPr>
                        <w:rPr>
                          <w:rFonts w:ascii="Segoe UI" w:hAnsi="Segoe UI" w:cs="Segoe UI"/>
                          <w:b/>
                          <w:color w:val="FFFFFF" w:themeColor="background1"/>
                          <w:sz w:val="36"/>
                          <w:szCs w:val="36"/>
                        </w:rPr>
                      </w:pPr>
                      <w:r>
                        <w:rPr>
                          <w:rFonts w:ascii="Segoe UI" w:hAnsi="Segoe UI" w:cs="Segoe UI"/>
                          <w:b/>
                          <w:color w:val="FFFFFF" w:themeColor="background1"/>
                          <w:sz w:val="36"/>
                          <w:szCs w:val="36"/>
                        </w:rPr>
                        <w:t>Octubre</w:t>
                      </w:r>
                      <w:r w:rsidR="00B40032">
                        <w:rPr>
                          <w:rFonts w:ascii="Segoe UI" w:hAnsi="Segoe UI" w:cs="Segoe UI"/>
                          <w:b/>
                          <w:color w:val="FFFFFF" w:themeColor="background1"/>
                          <w:sz w:val="36"/>
                          <w:szCs w:val="36"/>
                        </w:rPr>
                        <w:t>-</w:t>
                      </w:r>
                      <w:r>
                        <w:rPr>
                          <w:rFonts w:ascii="Segoe UI" w:hAnsi="Segoe UI" w:cs="Segoe UI"/>
                          <w:b/>
                          <w:color w:val="FFFFFF" w:themeColor="background1"/>
                          <w:sz w:val="36"/>
                          <w:szCs w:val="36"/>
                        </w:rPr>
                        <w:t>Diciembre</w:t>
                      </w:r>
                      <w:r w:rsidR="00827C04" w:rsidRPr="00D37249">
                        <w:rPr>
                          <w:rFonts w:ascii="Segoe UI" w:hAnsi="Segoe UI" w:cs="Segoe UI"/>
                          <w:b/>
                          <w:color w:val="FFFFFF" w:themeColor="background1"/>
                          <w:sz w:val="36"/>
                          <w:szCs w:val="36"/>
                        </w:rPr>
                        <w:t xml:space="preserve"> 202</w:t>
                      </w:r>
                      <w:r w:rsidR="00816AAB">
                        <w:rPr>
                          <w:rFonts w:ascii="Segoe UI" w:hAnsi="Segoe UI" w:cs="Segoe UI"/>
                          <w:b/>
                          <w:color w:val="FFFFFF" w:themeColor="background1"/>
                          <w:sz w:val="36"/>
                          <w:szCs w:val="36"/>
                        </w:rPr>
                        <w:t>1</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12AADB1D">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7E369B4F" w:rsidR="00827C04" w:rsidRPr="00226C2F" w:rsidRDefault="00467E42" w:rsidP="00226C2F">
                            <w:pPr>
                              <w:jc w:val="center"/>
                              <w:rPr>
                                <w:rFonts w:cstheme="minorHAnsi"/>
                                <w:b/>
                                <w:color w:val="FFFFFF" w:themeColor="background1"/>
                                <w:sz w:val="20"/>
                                <w:szCs w:val="20"/>
                              </w:rPr>
                            </w:pPr>
                            <w:r>
                              <w:rPr>
                                <w:rFonts w:cstheme="minorHAnsi"/>
                                <w:b/>
                                <w:color w:val="FFFFFF" w:themeColor="background1"/>
                                <w:sz w:val="20"/>
                                <w:szCs w:val="20"/>
                              </w:rPr>
                              <w:t>Octubre</w:t>
                            </w:r>
                            <w:r w:rsidR="00B40032">
                              <w:rPr>
                                <w:rFonts w:cstheme="minorHAnsi"/>
                                <w:b/>
                                <w:color w:val="FFFFFF" w:themeColor="background1"/>
                                <w:sz w:val="20"/>
                                <w:szCs w:val="20"/>
                              </w:rPr>
                              <w:t>-</w:t>
                            </w:r>
                            <w:r>
                              <w:rPr>
                                <w:rFonts w:cstheme="minorHAnsi"/>
                                <w:b/>
                                <w:color w:val="FFFFFF" w:themeColor="background1"/>
                                <w:sz w:val="20"/>
                                <w:szCs w:val="20"/>
                              </w:rPr>
                              <w:t>Diciembre</w:t>
                            </w:r>
                            <w:r w:rsidR="00827C04" w:rsidRPr="00226C2F">
                              <w:rPr>
                                <w:rFonts w:cstheme="minorHAnsi"/>
                                <w:b/>
                                <w:color w:val="FFFFFF" w:themeColor="background1"/>
                                <w:sz w:val="20"/>
                                <w:szCs w:val="20"/>
                              </w:rPr>
                              <w:t xml:space="preserve"> 202</w:t>
                            </w:r>
                            <w:r w:rsidR="00816AAB">
                              <w:rPr>
                                <w:rFonts w:cstheme="minorHAnsi"/>
                                <w:b/>
                                <w:color w:val="FFFFFF" w:themeColor="background1"/>
                                <w:sz w:val="20"/>
                                <w:szCs w:val="20"/>
                              </w:rPr>
                              <w:t>1</w:t>
                            </w:r>
                          </w:p>
                          <w:p w14:paraId="31D940F1" w14:textId="77777777" w:rsidR="00827C04" w:rsidRDefault="00827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7E369B4F" w:rsidR="00827C04" w:rsidRPr="00226C2F" w:rsidRDefault="00467E42" w:rsidP="00226C2F">
                      <w:pPr>
                        <w:jc w:val="center"/>
                        <w:rPr>
                          <w:rFonts w:cstheme="minorHAnsi"/>
                          <w:b/>
                          <w:color w:val="FFFFFF" w:themeColor="background1"/>
                          <w:sz w:val="20"/>
                          <w:szCs w:val="20"/>
                        </w:rPr>
                      </w:pPr>
                      <w:r>
                        <w:rPr>
                          <w:rFonts w:cstheme="minorHAnsi"/>
                          <w:b/>
                          <w:color w:val="FFFFFF" w:themeColor="background1"/>
                          <w:sz w:val="20"/>
                          <w:szCs w:val="20"/>
                        </w:rPr>
                        <w:t>Octubre</w:t>
                      </w:r>
                      <w:r w:rsidR="00B40032">
                        <w:rPr>
                          <w:rFonts w:cstheme="minorHAnsi"/>
                          <w:b/>
                          <w:color w:val="FFFFFF" w:themeColor="background1"/>
                          <w:sz w:val="20"/>
                          <w:szCs w:val="20"/>
                        </w:rPr>
                        <w:t>-</w:t>
                      </w:r>
                      <w:r>
                        <w:rPr>
                          <w:rFonts w:cstheme="minorHAnsi"/>
                          <w:b/>
                          <w:color w:val="FFFFFF" w:themeColor="background1"/>
                          <w:sz w:val="20"/>
                          <w:szCs w:val="20"/>
                        </w:rPr>
                        <w:t>Diciembre</w:t>
                      </w:r>
                      <w:r w:rsidR="00827C04" w:rsidRPr="00226C2F">
                        <w:rPr>
                          <w:rFonts w:cstheme="minorHAnsi"/>
                          <w:b/>
                          <w:color w:val="FFFFFF" w:themeColor="background1"/>
                          <w:sz w:val="20"/>
                          <w:szCs w:val="20"/>
                        </w:rPr>
                        <w:t xml:space="preserve"> 202</w:t>
                      </w:r>
                      <w:r w:rsidR="00816AAB">
                        <w:rPr>
                          <w:rFonts w:cstheme="minorHAnsi"/>
                          <w:b/>
                          <w:color w:val="FFFFFF" w:themeColor="background1"/>
                          <w:sz w:val="20"/>
                          <w:szCs w:val="20"/>
                        </w:rPr>
                        <w:t>1</w:t>
                      </w:r>
                    </w:p>
                    <w:p w14:paraId="31D940F1" w14:textId="77777777" w:rsidR="00827C04" w:rsidRDefault="00827C04"/>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7777777" w:rsidR="00226C2F" w:rsidRPr="005F0DEC" w:rsidRDefault="00226C2F" w:rsidP="00C943B2">
      <w:pPr>
        <w:rPr>
          <w:rFonts w:ascii="Segoe UI" w:hAnsi="Segoe UI" w:cs="Segoe UI"/>
          <w:b/>
          <w:color w:val="000000" w:themeColor="text1"/>
          <w:sz w:val="20"/>
          <w:szCs w:val="20"/>
        </w:rPr>
      </w:pPr>
    </w:p>
    <w:p w14:paraId="3001F5EB" w14:textId="77777777" w:rsidR="00467E42" w:rsidRPr="00DB3058" w:rsidRDefault="00467E42" w:rsidP="00467E42">
      <w:pPr>
        <w:spacing w:after="0" w:line="240" w:lineRule="auto"/>
        <w:jc w:val="both"/>
        <w:rPr>
          <w:sz w:val="20"/>
          <w:szCs w:val="20"/>
        </w:rPr>
      </w:pPr>
    </w:p>
    <w:p w14:paraId="5644185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Achón Bruñén</w:t>
      </w:r>
      <w:r w:rsidRPr="00DB3058">
        <w:rPr>
          <w:sz w:val="20"/>
          <w:szCs w:val="20"/>
        </w:rPr>
        <w:t xml:space="preserve">, M. J. “Deficiencias legales que dificultan la extensión de efectos de sentencias dictadas en procesos iniciados por asociaciones de consumidores y usuarios: soluciones a problemas prácticos”: </w:t>
      </w:r>
      <w:r w:rsidRPr="00DB3058">
        <w:rPr>
          <w:i/>
          <w:sz w:val="20"/>
          <w:szCs w:val="20"/>
        </w:rPr>
        <w:t>Práctica de tribunales: revista de derecho procesal civil y mercantil</w:t>
      </w:r>
      <w:r w:rsidRPr="00DB3058">
        <w:rPr>
          <w:sz w:val="20"/>
          <w:szCs w:val="20"/>
        </w:rPr>
        <w:t>, Nº. 150, 2021.</w:t>
      </w:r>
    </w:p>
    <w:p w14:paraId="0D6728B0" w14:textId="77777777" w:rsidR="00467E42" w:rsidRPr="00DB3058" w:rsidRDefault="00467E42" w:rsidP="00467E42">
      <w:pPr>
        <w:pStyle w:val="Prrafodelista"/>
        <w:spacing w:after="0" w:line="240" w:lineRule="auto"/>
        <w:jc w:val="both"/>
        <w:rPr>
          <w:sz w:val="20"/>
          <w:szCs w:val="20"/>
        </w:rPr>
      </w:pPr>
    </w:p>
    <w:p w14:paraId="4990A24E"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Achón Bruñén, M. J.</w:t>
      </w:r>
      <w:r w:rsidRPr="00DB3058">
        <w:rPr>
          <w:sz w:val="20"/>
          <w:szCs w:val="20"/>
        </w:rPr>
        <w:t xml:space="preserve"> “Relevancia práctica de la STC 156/2021, de 16 de septiembre: inconstitucionalidad del régimen de imposición de costas en procesos de cláusulas suelo y discriminación a los consumidores que no son personas físicas”: </w:t>
      </w:r>
      <w:r w:rsidRPr="00DB3058">
        <w:rPr>
          <w:i/>
          <w:sz w:val="20"/>
          <w:szCs w:val="20"/>
        </w:rPr>
        <w:t>Diario La Ley</w:t>
      </w:r>
      <w:r w:rsidRPr="00DB3058">
        <w:rPr>
          <w:sz w:val="20"/>
          <w:szCs w:val="20"/>
        </w:rPr>
        <w:t>, Nº 9959, 2021.</w:t>
      </w:r>
    </w:p>
    <w:p w14:paraId="4CAF7748" w14:textId="77777777" w:rsidR="00467E42" w:rsidRPr="00DB3058" w:rsidRDefault="00467E42" w:rsidP="00467E42">
      <w:pPr>
        <w:pStyle w:val="Prrafodelista"/>
        <w:spacing w:after="0" w:line="240" w:lineRule="auto"/>
        <w:jc w:val="both"/>
        <w:rPr>
          <w:sz w:val="20"/>
          <w:szCs w:val="20"/>
        </w:rPr>
      </w:pPr>
    </w:p>
    <w:p w14:paraId="027FE30C"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Alonso Soto</w:t>
      </w:r>
      <w:r w:rsidRPr="00DB3058">
        <w:rPr>
          <w:sz w:val="20"/>
          <w:szCs w:val="20"/>
        </w:rPr>
        <w:t xml:space="preserve">, R. J.  “Seguros privados para la vejez”: </w:t>
      </w:r>
      <w:r w:rsidRPr="00DB3058">
        <w:rPr>
          <w:i/>
          <w:sz w:val="20"/>
          <w:szCs w:val="20"/>
        </w:rPr>
        <w:t>Anuario de la Facultad de Derecho de la Universidad Autónoma de Madrid</w:t>
      </w:r>
      <w:r w:rsidRPr="00DB3058">
        <w:rPr>
          <w:sz w:val="20"/>
          <w:szCs w:val="20"/>
        </w:rPr>
        <w:t>, Nº. 25, 2021 (Ejemplar dedicado a: El derecho de las sociedades envejecidas), págs. 179-190.</w:t>
      </w:r>
    </w:p>
    <w:p w14:paraId="7F35E752" w14:textId="77777777" w:rsidR="00467E42" w:rsidRPr="00DB3058" w:rsidRDefault="00467E42" w:rsidP="00467E42">
      <w:pPr>
        <w:pStyle w:val="Prrafodelista"/>
        <w:spacing w:after="0" w:line="240" w:lineRule="auto"/>
        <w:jc w:val="both"/>
        <w:rPr>
          <w:sz w:val="20"/>
          <w:szCs w:val="20"/>
        </w:rPr>
      </w:pPr>
    </w:p>
    <w:p w14:paraId="51F83C30"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Alvarez Royo-Villanova</w:t>
      </w:r>
      <w:r w:rsidRPr="00DB3058">
        <w:rPr>
          <w:sz w:val="20"/>
          <w:szCs w:val="20"/>
        </w:rPr>
        <w:t xml:space="preserve">, S. “La transparencia material y la Ley de contratos de crédito inmobiliario: la actuación notarial”: </w:t>
      </w:r>
      <w:r w:rsidRPr="00DB3058">
        <w:rPr>
          <w:i/>
          <w:sz w:val="20"/>
          <w:szCs w:val="20"/>
        </w:rPr>
        <w:t>Revista Jurídica del Notariado</w:t>
      </w:r>
      <w:r w:rsidRPr="00DB3058">
        <w:rPr>
          <w:sz w:val="20"/>
          <w:szCs w:val="20"/>
        </w:rPr>
        <w:t>, Nº 112, 2021, págs. 123-168.</w:t>
      </w:r>
    </w:p>
    <w:p w14:paraId="3B29D089" w14:textId="77777777" w:rsidR="00467E42" w:rsidRPr="00DB3058" w:rsidRDefault="00467E42" w:rsidP="00467E42">
      <w:pPr>
        <w:pStyle w:val="Prrafodelista"/>
        <w:spacing w:after="0" w:line="240" w:lineRule="auto"/>
        <w:jc w:val="both"/>
        <w:rPr>
          <w:sz w:val="20"/>
          <w:szCs w:val="20"/>
        </w:rPr>
      </w:pPr>
    </w:p>
    <w:p w14:paraId="4E31DC1B"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Andreu Martínez</w:t>
      </w:r>
      <w:r w:rsidRPr="00DB3058">
        <w:rPr>
          <w:sz w:val="20"/>
          <w:szCs w:val="20"/>
        </w:rPr>
        <w:t xml:space="preserve">, M. B. “Aportaciones en materia de protección de datos de la LO 8/2021, de 4 de junio, de protección integral a la infancia y la adolescencia frente a la violencia”: </w:t>
      </w:r>
      <w:r w:rsidRPr="00DB3058">
        <w:rPr>
          <w:i/>
          <w:sz w:val="20"/>
          <w:szCs w:val="20"/>
        </w:rPr>
        <w:t>La Ley privacidad</w:t>
      </w:r>
      <w:r w:rsidRPr="00DB3058">
        <w:rPr>
          <w:sz w:val="20"/>
          <w:szCs w:val="20"/>
        </w:rPr>
        <w:t>, Nº. 9, 2021.</w:t>
      </w:r>
    </w:p>
    <w:p w14:paraId="69D5C475" w14:textId="77777777" w:rsidR="00467E42" w:rsidRPr="00DB3058" w:rsidRDefault="00467E42" w:rsidP="00467E42">
      <w:pPr>
        <w:pStyle w:val="Prrafodelista"/>
        <w:spacing w:after="0" w:line="240" w:lineRule="auto"/>
        <w:jc w:val="both"/>
        <w:rPr>
          <w:sz w:val="20"/>
          <w:szCs w:val="20"/>
        </w:rPr>
      </w:pPr>
    </w:p>
    <w:p w14:paraId="48DEB5BD"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Anguita Ríos</w:t>
      </w:r>
      <w:r w:rsidRPr="00DB3058">
        <w:rPr>
          <w:sz w:val="20"/>
          <w:szCs w:val="20"/>
        </w:rPr>
        <w:t xml:space="preserve">, R. M. “La vivienda integrada en una doble dimensión: como residencia y como alojamiento turístico”: </w:t>
      </w:r>
      <w:r w:rsidRPr="00DB3058">
        <w:rPr>
          <w:i/>
          <w:sz w:val="20"/>
          <w:szCs w:val="20"/>
        </w:rPr>
        <w:t>Revista de Derecho Civil</w:t>
      </w:r>
      <w:r w:rsidRPr="00DB3058">
        <w:rPr>
          <w:sz w:val="20"/>
          <w:szCs w:val="20"/>
        </w:rPr>
        <w:t>, Vol. 8, Nº. 3 (julio-septiembre), 2021, págs. 85-129.</w:t>
      </w:r>
    </w:p>
    <w:p w14:paraId="22EEE975" w14:textId="77777777" w:rsidR="00467E42" w:rsidRPr="00DB3058" w:rsidRDefault="00467E42" w:rsidP="00467E42">
      <w:pPr>
        <w:pStyle w:val="Prrafodelista"/>
        <w:spacing w:after="0" w:line="240" w:lineRule="auto"/>
        <w:jc w:val="both"/>
        <w:rPr>
          <w:sz w:val="20"/>
          <w:szCs w:val="20"/>
        </w:rPr>
      </w:pPr>
    </w:p>
    <w:p w14:paraId="427EE02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Antonio Rodrigues, G. M</w:t>
      </w:r>
      <w:r w:rsidRPr="00DB3058">
        <w:rPr>
          <w:sz w:val="20"/>
          <w:szCs w:val="20"/>
        </w:rPr>
        <w:t xml:space="preserve">. “Los deberes precontractuales de información en la contratación de servicios de </w:t>
      </w:r>
      <w:proofErr w:type="spellStart"/>
      <w:r w:rsidRPr="00DB3058">
        <w:rPr>
          <w:sz w:val="20"/>
          <w:szCs w:val="20"/>
        </w:rPr>
        <w:t>Roboadvisor</w:t>
      </w:r>
      <w:proofErr w:type="spellEnd"/>
      <w:r w:rsidRPr="00DB3058">
        <w:rPr>
          <w:sz w:val="20"/>
          <w:szCs w:val="20"/>
        </w:rPr>
        <w:t xml:space="preserve">”: </w:t>
      </w:r>
      <w:r w:rsidRPr="00DB3058">
        <w:rPr>
          <w:i/>
          <w:sz w:val="20"/>
          <w:szCs w:val="20"/>
        </w:rPr>
        <w:t>Diario La Ley</w:t>
      </w:r>
      <w:r w:rsidRPr="00DB3058">
        <w:rPr>
          <w:sz w:val="20"/>
          <w:szCs w:val="20"/>
        </w:rPr>
        <w:t>, Nº 9951, 2021.</w:t>
      </w:r>
    </w:p>
    <w:p w14:paraId="186A3048" w14:textId="77777777" w:rsidR="00467E42" w:rsidRPr="00DB3058" w:rsidRDefault="00467E42" w:rsidP="00467E42">
      <w:pPr>
        <w:pStyle w:val="Prrafodelista"/>
        <w:spacing w:after="0" w:line="240" w:lineRule="auto"/>
        <w:jc w:val="both"/>
        <w:rPr>
          <w:sz w:val="20"/>
          <w:szCs w:val="20"/>
        </w:rPr>
      </w:pPr>
    </w:p>
    <w:p w14:paraId="3CCAF427"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Argelich Comelles, C</w:t>
      </w:r>
      <w:r w:rsidRPr="00DB3058">
        <w:rPr>
          <w:sz w:val="20"/>
          <w:szCs w:val="20"/>
        </w:rPr>
        <w:t xml:space="preserve">. “Hacia una </w:t>
      </w:r>
      <w:proofErr w:type="spellStart"/>
      <w:r w:rsidRPr="00DB3058">
        <w:rPr>
          <w:sz w:val="20"/>
          <w:szCs w:val="20"/>
        </w:rPr>
        <w:t>smart</w:t>
      </w:r>
      <w:proofErr w:type="spellEnd"/>
      <w:r w:rsidRPr="00DB3058">
        <w:rPr>
          <w:sz w:val="20"/>
          <w:szCs w:val="20"/>
        </w:rPr>
        <w:t xml:space="preserve"> </w:t>
      </w:r>
      <w:proofErr w:type="spellStart"/>
      <w:r w:rsidRPr="00DB3058">
        <w:rPr>
          <w:sz w:val="20"/>
          <w:szCs w:val="20"/>
        </w:rPr>
        <w:t>property</w:t>
      </w:r>
      <w:proofErr w:type="spellEnd"/>
      <w:r w:rsidRPr="00DB3058">
        <w:rPr>
          <w:sz w:val="20"/>
          <w:szCs w:val="20"/>
        </w:rPr>
        <w:t xml:space="preserve"> inmobiliaria: </w:t>
      </w:r>
      <w:proofErr w:type="spellStart"/>
      <w:r w:rsidRPr="00DB3058">
        <w:rPr>
          <w:sz w:val="20"/>
          <w:szCs w:val="20"/>
        </w:rPr>
        <w:t>tokenización</w:t>
      </w:r>
      <w:proofErr w:type="spellEnd"/>
      <w:r w:rsidRPr="00DB3058">
        <w:rPr>
          <w:sz w:val="20"/>
          <w:szCs w:val="20"/>
        </w:rPr>
        <w:t xml:space="preserve">, internet of </w:t>
      </w:r>
      <w:proofErr w:type="spellStart"/>
      <w:r w:rsidRPr="00DB3058">
        <w:rPr>
          <w:sz w:val="20"/>
          <w:szCs w:val="20"/>
        </w:rPr>
        <w:t>things</w:t>
      </w:r>
      <w:proofErr w:type="spellEnd"/>
      <w:r w:rsidRPr="00DB3058">
        <w:rPr>
          <w:sz w:val="20"/>
          <w:szCs w:val="20"/>
        </w:rPr>
        <w:t xml:space="preserve"> y </w:t>
      </w:r>
      <w:proofErr w:type="spellStart"/>
      <w:r w:rsidRPr="00DB3058">
        <w:rPr>
          <w:sz w:val="20"/>
          <w:szCs w:val="20"/>
        </w:rPr>
        <w:t>blockchainización</w:t>
      </w:r>
      <w:proofErr w:type="spellEnd"/>
      <w:r w:rsidRPr="00DB3058">
        <w:rPr>
          <w:sz w:val="20"/>
          <w:szCs w:val="20"/>
        </w:rPr>
        <w:t xml:space="preserve"> registral”: </w:t>
      </w:r>
      <w:proofErr w:type="spellStart"/>
      <w:r w:rsidRPr="00DB3058">
        <w:rPr>
          <w:i/>
          <w:sz w:val="20"/>
          <w:szCs w:val="20"/>
        </w:rPr>
        <w:t>Dereito</w:t>
      </w:r>
      <w:proofErr w:type="spellEnd"/>
      <w:r w:rsidRPr="00DB3058">
        <w:rPr>
          <w:i/>
          <w:sz w:val="20"/>
          <w:szCs w:val="20"/>
        </w:rPr>
        <w:t xml:space="preserve">: Revista </w:t>
      </w:r>
      <w:proofErr w:type="spellStart"/>
      <w:r w:rsidRPr="00DB3058">
        <w:rPr>
          <w:i/>
          <w:sz w:val="20"/>
          <w:szCs w:val="20"/>
        </w:rPr>
        <w:t>xuridica</w:t>
      </w:r>
      <w:proofErr w:type="spellEnd"/>
      <w:r w:rsidRPr="00DB3058">
        <w:rPr>
          <w:i/>
          <w:sz w:val="20"/>
          <w:szCs w:val="20"/>
        </w:rPr>
        <w:t xml:space="preserve"> da </w:t>
      </w:r>
      <w:proofErr w:type="spellStart"/>
      <w:r w:rsidRPr="00DB3058">
        <w:rPr>
          <w:i/>
          <w:sz w:val="20"/>
          <w:szCs w:val="20"/>
        </w:rPr>
        <w:t>Universidade</w:t>
      </w:r>
      <w:proofErr w:type="spellEnd"/>
      <w:r w:rsidRPr="00DB3058">
        <w:rPr>
          <w:i/>
          <w:sz w:val="20"/>
          <w:szCs w:val="20"/>
        </w:rPr>
        <w:t xml:space="preserve"> de Santiago de Compostela</w:t>
      </w:r>
      <w:r w:rsidRPr="00DB3058">
        <w:rPr>
          <w:sz w:val="20"/>
          <w:szCs w:val="20"/>
        </w:rPr>
        <w:t>, Vol. 30, Nº 1, 2021, págs. 81-100.</w:t>
      </w:r>
    </w:p>
    <w:p w14:paraId="51054645" w14:textId="77777777" w:rsidR="00467E42" w:rsidRPr="00DB3058" w:rsidRDefault="00467E42" w:rsidP="00467E42">
      <w:pPr>
        <w:pStyle w:val="Prrafodelista"/>
        <w:spacing w:after="0" w:line="240" w:lineRule="auto"/>
        <w:jc w:val="both"/>
        <w:rPr>
          <w:sz w:val="20"/>
          <w:szCs w:val="20"/>
        </w:rPr>
      </w:pPr>
    </w:p>
    <w:p w14:paraId="5265B78E"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Arroyo Egido,</w:t>
      </w:r>
      <w:r w:rsidRPr="00DB3058">
        <w:rPr>
          <w:sz w:val="20"/>
          <w:szCs w:val="20"/>
        </w:rPr>
        <w:t xml:space="preserve"> I. “El deudor de buena fe y el BEPI en el marco de la Directiva Europea 2019/1023”: </w:t>
      </w:r>
      <w:r w:rsidRPr="00DB3058">
        <w:rPr>
          <w:i/>
          <w:sz w:val="20"/>
          <w:szCs w:val="20"/>
        </w:rPr>
        <w:t>Diario La Ley</w:t>
      </w:r>
      <w:r w:rsidRPr="00DB3058">
        <w:rPr>
          <w:sz w:val="20"/>
          <w:szCs w:val="20"/>
        </w:rPr>
        <w:t>, Nº 9958, 2021.</w:t>
      </w:r>
    </w:p>
    <w:p w14:paraId="233FB168" w14:textId="77777777" w:rsidR="00467E42" w:rsidRPr="00DB3058" w:rsidRDefault="00467E42" w:rsidP="00467E42">
      <w:pPr>
        <w:pStyle w:val="Prrafodelista"/>
        <w:spacing w:after="0" w:line="240" w:lineRule="auto"/>
        <w:jc w:val="both"/>
        <w:rPr>
          <w:sz w:val="20"/>
          <w:szCs w:val="20"/>
        </w:rPr>
      </w:pPr>
    </w:p>
    <w:p w14:paraId="5D85AF0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Azevedo de Amorim, A. C</w:t>
      </w:r>
      <w:r w:rsidRPr="00DB3058">
        <w:rPr>
          <w:sz w:val="20"/>
          <w:szCs w:val="20"/>
        </w:rPr>
        <w:t>. “</w:t>
      </w:r>
      <w:proofErr w:type="spellStart"/>
      <w:r w:rsidRPr="00DB3058">
        <w:rPr>
          <w:sz w:val="20"/>
          <w:szCs w:val="20"/>
        </w:rPr>
        <w:t>Avaliações</w:t>
      </w:r>
      <w:proofErr w:type="spellEnd"/>
      <w:r w:rsidRPr="00DB3058">
        <w:rPr>
          <w:sz w:val="20"/>
          <w:szCs w:val="20"/>
        </w:rPr>
        <w:t xml:space="preserve"> e </w:t>
      </w:r>
      <w:proofErr w:type="spellStart"/>
      <w:r w:rsidRPr="00DB3058">
        <w:rPr>
          <w:sz w:val="20"/>
          <w:szCs w:val="20"/>
        </w:rPr>
        <w:t>recomendações</w:t>
      </w:r>
      <w:proofErr w:type="spellEnd"/>
      <w:r w:rsidRPr="00DB3058">
        <w:rPr>
          <w:sz w:val="20"/>
          <w:szCs w:val="20"/>
        </w:rPr>
        <w:t xml:space="preserve"> de consumidores: as novas </w:t>
      </w:r>
      <w:proofErr w:type="spellStart"/>
      <w:r w:rsidRPr="00DB3058">
        <w:rPr>
          <w:sz w:val="20"/>
          <w:szCs w:val="20"/>
        </w:rPr>
        <w:t>práticas</w:t>
      </w:r>
      <w:proofErr w:type="spellEnd"/>
      <w:r w:rsidRPr="00DB3058">
        <w:rPr>
          <w:sz w:val="20"/>
          <w:szCs w:val="20"/>
        </w:rPr>
        <w:t xml:space="preserve"> </w:t>
      </w:r>
      <w:proofErr w:type="spellStart"/>
      <w:r w:rsidRPr="00DB3058">
        <w:rPr>
          <w:sz w:val="20"/>
          <w:szCs w:val="20"/>
        </w:rPr>
        <w:t>comerciais</w:t>
      </w:r>
      <w:proofErr w:type="spellEnd"/>
      <w:r w:rsidRPr="00DB3058">
        <w:rPr>
          <w:sz w:val="20"/>
          <w:szCs w:val="20"/>
        </w:rPr>
        <w:t xml:space="preserve"> </w:t>
      </w:r>
      <w:proofErr w:type="spellStart"/>
      <w:r w:rsidRPr="00DB3058">
        <w:rPr>
          <w:sz w:val="20"/>
          <w:szCs w:val="20"/>
        </w:rPr>
        <w:t>desleais</w:t>
      </w:r>
      <w:proofErr w:type="spellEnd"/>
      <w:r w:rsidRPr="00DB3058">
        <w:rPr>
          <w:sz w:val="20"/>
          <w:szCs w:val="20"/>
        </w:rPr>
        <w:t xml:space="preserve"> </w:t>
      </w:r>
      <w:proofErr w:type="spellStart"/>
      <w:r w:rsidRPr="00DB3058">
        <w:rPr>
          <w:sz w:val="20"/>
          <w:szCs w:val="20"/>
        </w:rPr>
        <w:t>introduzidas</w:t>
      </w:r>
      <w:proofErr w:type="spellEnd"/>
      <w:r w:rsidRPr="00DB3058">
        <w:rPr>
          <w:sz w:val="20"/>
          <w:szCs w:val="20"/>
        </w:rPr>
        <w:t xml:space="preserve"> pela </w:t>
      </w:r>
      <w:proofErr w:type="spellStart"/>
      <w:r w:rsidRPr="00DB3058">
        <w:rPr>
          <w:sz w:val="20"/>
          <w:szCs w:val="20"/>
        </w:rPr>
        <w:t>diretiva</w:t>
      </w:r>
      <w:proofErr w:type="spellEnd"/>
      <w:r w:rsidRPr="00DB3058">
        <w:rPr>
          <w:sz w:val="20"/>
          <w:szCs w:val="20"/>
        </w:rPr>
        <w:t xml:space="preserve"> (UE) 2019/2161”: </w:t>
      </w:r>
      <w:r w:rsidRPr="00DB3058">
        <w:rPr>
          <w:i/>
          <w:sz w:val="20"/>
          <w:szCs w:val="20"/>
        </w:rPr>
        <w:t>Actas de Derecho Industrial y Derecho de Autor</w:t>
      </w:r>
      <w:r w:rsidRPr="00DB3058">
        <w:rPr>
          <w:sz w:val="20"/>
          <w:szCs w:val="20"/>
        </w:rPr>
        <w:t xml:space="preserve">, Tomo XLI (2020-2021), Crónica y doctrina breve, págs. 221-234. </w:t>
      </w:r>
    </w:p>
    <w:p w14:paraId="6C99A8D7" w14:textId="77777777" w:rsidR="00467E42" w:rsidRPr="00DB3058" w:rsidRDefault="00467E42" w:rsidP="00467E42">
      <w:pPr>
        <w:pStyle w:val="Prrafodelista"/>
        <w:spacing w:after="0" w:line="240" w:lineRule="auto"/>
        <w:jc w:val="both"/>
        <w:rPr>
          <w:sz w:val="20"/>
          <w:szCs w:val="20"/>
        </w:rPr>
      </w:pPr>
    </w:p>
    <w:p w14:paraId="5DEF2A81"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Beneyto Pallás, K</w:t>
      </w:r>
      <w:r w:rsidRPr="00DB3058">
        <w:rPr>
          <w:sz w:val="20"/>
          <w:szCs w:val="20"/>
        </w:rPr>
        <w:t xml:space="preserve">. “El concurso de acreedores de la persona física: reformas de sus presupuestos; especialidades en el texto refundido de la ley concursal y su anteproyecto de ley de reforma”: </w:t>
      </w:r>
      <w:r w:rsidRPr="00DB3058">
        <w:rPr>
          <w:i/>
          <w:sz w:val="20"/>
          <w:szCs w:val="20"/>
        </w:rPr>
        <w:t>Revista jurídica de la Comunidad Valenciana</w:t>
      </w:r>
      <w:r w:rsidRPr="00DB3058">
        <w:rPr>
          <w:sz w:val="20"/>
          <w:szCs w:val="20"/>
        </w:rPr>
        <w:t>, Nº. 80, 2021, págs. 61-85.</w:t>
      </w:r>
    </w:p>
    <w:p w14:paraId="3B3E6E01" w14:textId="77777777" w:rsidR="00467E42" w:rsidRPr="00DB3058" w:rsidRDefault="00467E42" w:rsidP="00467E42">
      <w:pPr>
        <w:pStyle w:val="Prrafodelista"/>
        <w:spacing w:after="0" w:line="240" w:lineRule="auto"/>
        <w:jc w:val="both"/>
        <w:rPr>
          <w:sz w:val="20"/>
          <w:szCs w:val="20"/>
        </w:rPr>
      </w:pPr>
    </w:p>
    <w:p w14:paraId="650EFFB7" w14:textId="77777777" w:rsidR="00467E42" w:rsidRDefault="00467E42" w:rsidP="00467E42">
      <w:pPr>
        <w:pStyle w:val="Prrafodelista"/>
        <w:numPr>
          <w:ilvl w:val="0"/>
          <w:numId w:val="8"/>
        </w:numPr>
        <w:spacing w:after="0" w:line="240" w:lineRule="auto"/>
        <w:jc w:val="both"/>
        <w:rPr>
          <w:sz w:val="20"/>
          <w:szCs w:val="20"/>
        </w:rPr>
      </w:pPr>
      <w:r w:rsidRPr="00DB3058">
        <w:rPr>
          <w:sz w:val="20"/>
          <w:szCs w:val="20"/>
        </w:rPr>
        <w:t xml:space="preserve">BERMUDEZ BALLESTEROS, M. S. “Mayor transparencia en las transacciones realizadas a través de mercados en línea: novedades en el Real Decreto-ley 24/2021, de 2 de noviembre”: </w:t>
      </w:r>
      <w:r w:rsidRPr="00DB3058">
        <w:rPr>
          <w:i/>
          <w:sz w:val="20"/>
          <w:szCs w:val="20"/>
        </w:rPr>
        <w:t>Revista CESCO de Derecho de Consumo</w:t>
      </w:r>
      <w:r w:rsidRPr="00DB3058">
        <w:rPr>
          <w:sz w:val="20"/>
          <w:szCs w:val="20"/>
        </w:rPr>
        <w:t xml:space="preserve">, Nº 40 (octubre-diciembre) 2021, págs. 38-53. </w:t>
      </w:r>
    </w:p>
    <w:p w14:paraId="0B750A24" w14:textId="77777777" w:rsidR="00467E42" w:rsidRPr="00DB3058" w:rsidRDefault="00467E42" w:rsidP="00467E42">
      <w:pPr>
        <w:pStyle w:val="Prrafodelista"/>
        <w:spacing w:after="0" w:line="240" w:lineRule="auto"/>
        <w:ind w:left="360"/>
        <w:jc w:val="both"/>
        <w:rPr>
          <w:sz w:val="20"/>
          <w:szCs w:val="20"/>
        </w:rPr>
      </w:pPr>
    </w:p>
    <w:p w14:paraId="2412C7D1"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lastRenderedPageBreak/>
        <w:t>Berrocal Lanzarot,</w:t>
      </w:r>
      <w:r w:rsidRPr="00DB3058">
        <w:rPr>
          <w:sz w:val="20"/>
          <w:szCs w:val="20"/>
        </w:rPr>
        <w:t xml:space="preserve"> A. I. “La protección del consumidor en los créditos o tarjetas "</w:t>
      </w:r>
      <w:proofErr w:type="spellStart"/>
      <w:r w:rsidRPr="00DB3058">
        <w:rPr>
          <w:sz w:val="20"/>
          <w:szCs w:val="20"/>
        </w:rPr>
        <w:t>revolving</w:t>
      </w:r>
      <w:proofErr w:type="spellEnd"/>
      <w:r w:rsidRPr="00DB3058">
        <w:rPr>
          <w:sz w:val="20"/>
          <w:szCs w:val="20"/>
        </w:rPr>
        <w:t xml:space="preserve">": La importancia de la información y el control de transparencia en su contratación (y II)”: </w:t>
      </w:r>
      <w:r w:rsidRPr="00DB3058">
        <w:rPr>
          <w:i/>
          <w:sz w:val="20"/>
          <w:szCs w:val="20"/>
        </w:rPr>
        <w:t>Revista general de legislación y jurisprudencia</w:t>
      </w:r>
      <w:r w:rsidRPr="00DB3058">
        <w:rPr>
          <w:sz w:val="20"/>
          <w:szCs w:val="20"/>
        </w:rPr>
        <w:t>, Nº 2, 2021, págs. 393-451.</w:t>
      </w:r>
    </w:p>
    <w:p w14:paraId="7F88745D" w14:textId="77777777" w:rsidR="00467E42" w:rsidRPr="00DB3058" w:rsidRDefault="00467E42" w:rsidP="00467E42">
      <w:pPr>
        <w:pStyle w:val="Prrafodelista"/>
        <w:spacing w:after="0" w:line="240" w:lineRule="auto"/>
        <w:ind w:left="360"/>
        <w:jc w:val="both"/>
        <w:rPr>
          <w:sz w:val="20"/>
          <w:szCs w:val="20"/>
        </w:rPr>
      </w:pPr>
      <w:bookmarkStart w:id="0" w:name="_GoBack"/>
      <w:bookmarkEnd w:id="0"/>
    </w:p>
    <w:p w14:paraId="30E51304" w14:textId="77777777" w:rsidR="00467E42" w:rsidRPr="00DB3058" w:rsidRDefault="00467E42" w:rsidP="00467E42">
      <w:pPr>
        <w:pStyle w:val="Prrafodelista"/>
        <w:numPr>
          <w:ilvl w:val="0"/>
          <w:numId w:val="8"/>
        </w:numPr>
        <w:spacing w:after="0" w:line="240" w:lineRule="auto"/>
        <w:jc w:val="both"/>
        <w:rPr>
          <w:sz w:val="20"/>
          <w:szCs w:val="20"/>
        </w:rPr>
      </w:pPr>
      <w:r w:rsidRPr="00DB3058">
        <w:rPr>
          <w:sz w:val="20"/>
          <w:szCs w:val="20"/>
        </w:rPr>
        <w:t xml:space="preserve">BURRERO DEL CASTILLO, D. “Cuestiones polémicas en los procedimientos monitorios relativos a la reclamación de saldo de tarjetas </w:t>
      </w:r>
      <w:proofErr w:type="spellStart"/>
      <w:r w:rsidRPr="00DB3058">
        <w:rPr>
          <w:sz w:val="20"/>
          <w:szCs w:val="20"/>
        </w:rPr>
        <w:t>revolving</w:t>
      </w:r>
      <w:proofErr w:type="spellEnd"/>
      <w:r w:rsidRPr="00DB3058">
        <w:rPr>
          <w:sz w:val="20"/>
          <w:szCs w:val="20"/>
        </w:rPr>
        <w:t xml:space="preserve">”: </w:t>
      </w:r>
      <w:r w:rsidRPr="00DB3058">
        <w:rPr>
          <w:i/>
          <w:sz w:val="20"/>
          <w:szCs w:val="20"/>
        </w:rPr>
        <w:t>Revista CESCO de Derecho de Consumo</w:t>
      </w:r>
      <w:r w:rsidRPr="00DB3058">
        <w:rPr>
          <w:sz w:val="20"/>
          <w:szCs w:val="20"/>
        </w:rPr>
        <w:t xml:space="preserve">, Nº 40 (octubre-diciembre) 2021, págs. 65-89. </w:t>
      </w:r>
    </w:p>
    <w:p w14:paraId="5F174469" w14:textId="77777777" w:rsidR="00467E42" w:rsidRPr="00DB3058" w:rsidRDefault="00467E42" w:rsidP="00467E42">
      <w:pPr>
        <w:pStyle w:val="Prrafodelista"/>
        <w:spacing w:after="0" w:line="240" w:lineRule="auto"/>
        <w:jc w:val="both"/>
        <w:rPr>
          <w:sz w:val="20"/>
          <w:szCs w:val="20"/>
        </w:rPr>
      </w:pPr>
    </w:p>
    <w:p w14:paraId="1AA866A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Cabanas Trejo, R., Rivas Ruiz</w:t>
      </w:r>
      <w:r w:rsidRPr="00DB3058">
        <w:rPr>
          <w:sz w:val="20"/>
          <w:szCs w:val="20"/>
        </w:rPr>
        <w:t>, A. “"</w:t>
      </w:r>
      <w:proofErr w:type="spellStart"/>
      <w:r w:rsidRPr="00DB3058">
        <w:rPr>
          <w:sz w:val="20"/>
          <w:szCs w:val="20"/>
        </w:rPr>
        <w:t>Requiescat</w:t>
      </w:r>
      <w:proofErr w:type="spellEnd"/>
      <w:r w:rsidRPr="00DB3058">
        <w:rPr>
          <w:sz w:val="20"/>
          <w:szCs w:val="20"/>
        </w:rPr>
        <w:t xml:space="preserve"> in pace" - RIP- la acuerdo extrajudicial de pagos. Larga vida a los planes de reestructuración y la exoneración del pasivo insatisfecho”: </w:t>
      </w:r>
      <w:r w:rsidRPr="00DB3058">
        <w:rPr>
          <w:i/>
          <w:sz w:val="20"/>
          <w:szCs w:val="20"/>
        </w:rPr>
        <w:t>El notario del siglo XXI: revista del Colegio Notarial de Madrid</w:t>
      </w:r>
      <w:r w:rsidRPr="00DB3058">
        <w:rPr>
          <w:sz w:val="20"/>
          <w:szCs w:val="20"/>
        </w:rPr>
        <w:t>, Nº. 99, 2021, págs. 56-63.</w:t>
      </w:r>
    </w:p>
    <w:p w14:paraId="497808B0" w14:textId="77777777" w:rsidR="00467E42" w:rsidRPr="00DB3058" w:rsidRDefault="00467E42" w:rsidP="00467E42">
      <w:pPr>
        <w:pStyle w:val="Prrafodelista"/>
        <w:spacing w:after="0" w:line="240" w:lineRule="auto"/>
        <w:jc w:val="both"/>
        <w:rPr>
          <w:sz w:val="20"/>
          <w:szCs w:val="20"/>
        </w:rPr>
      </w:pPr>
    </w:p>
    <w:p w14:paraId="1CF21BDC"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Cabrera del Barrio, C</w:t>
      </w:r>
      <w:r w:rsidRPr="00DB3058">
        <w:rPr>
          <w:sz w:val="20"/>
          <w:szCs w:val="20"/>
        </w:rPr>
        <w:t xml:space="preserve">. “Medicamentos y productos sanitarios defectuosos: un análisis de la protección de consumidores bajo el régimen general”: </w:t>
      </w:r>
      <w:r w:rsidRPr="00DB3058">
        <w:rPr>
          <w:i/>
          <w:sz w:val="20"/>
          <w:szCs w:val="20"/>
        </w:rPr>
        <w:t>Revista jurídica Universidad Autónoma de Madrid</w:t>
      </w:r>
      <w:r w:rsidRPr="00DB3058">
        <w:rPr>
          <w:sz w:val="20"/>
          <w:szCs w:val="20"/>
        </w:rPr>
        <w:t>, Nº. 44, 2021, págs. 127-154.</w:t>
      </w:r>
    </w:p>
    <w:p w14:paraId="0F238B2F" w14:textId="77777777" w:rsidR="00467E42" w:rsidRPr="00DB3058" w:rsidRDefault="00467E42" w:rsidP="00467E42">
      <w:pPr>
        <w:pStyle w:val="Prrafodelista"/>
        <w:spacing w:after="0" w:line="240" w:lineRule="auto"/>
        <w:jc w:val="both"/>
        <w:rPr>
          <w:sz w:val="20"/>
          <w:szCs w:val="20"/>
        </w:rPr>
      </w:pPr>
    </w:p>
    <w:p w14:paraId="619F4FC1" w14:textId="77777777" w:rsidR="00467E42" w:rsidRPr="00DB3058" w:rsidRDefault="00467E42" w:rsidP="00467E42">
      <w:pPr>
        <w:pStyle w:val="Prrafodelista"/>
        <w:numPr>
          <w:ilvl w:val="0"/>
          <w:numId w:val="8"/>
        </w:numPr>
        <w:spacing w:after="0" w:line="240" w:lineRule="auto"/>
        <w:jc w:val="both"/>
        <w:rPr>
          <w:sz w:val="20"/>
          <w:szCs w:val="20"/>
        </w:rPr>
      </w:pPr>
      <w:r w:rsidRPr="00DB3058">
        <w:rPr>
          <w:sz w:val="20"/>
          <w:szCs w:val="20"/>
        </w:rPr>
        <w:t xml:space="preserve">CARRASCO PERERA, A. F. “Novaciones y transacciones sobre tipos de interés usurario. Otra vez contra una tendencia equivocada”: </w:t>
      </w:r>
      <w:r w:rsidRPr="00DB3058">
        <w:rPr>
          <w:i/>
          <w:sz w:val="20"/>
          <w:szCs w:val="20"/>
        </w:rPr>
        <w:t>Revista CESCO de Derecho de Consumo</w:t>
      </w:r>
      <w:r w:rsidRPr="00DB3058">
        <w:rPr>
          <w:sz w:val="20"/>
          <w:szCs w:val="20"/>
        </w:rPr>
        <w:t xml:space="preserve">, Nº 40 (octubre-diciembre) 2021, págs. 54-64. </w:t>
      </w:r>
    </w:p>
    <w:p w14:paraId="37C39C78" w14:textId="77777777" w:rsidR="00467E42" w:rsidRPr="00DB3058" w:rsidRDefault="00467E42" w:rsidP="00467E42">
      <w:pPr>
        <w:pStyle w:val="Prrafodelista"/>
        <w:spacing w:after="0" w:line="240" w:lineRule="auto"/>
        <w:jc w:val="both"/>
        <w:rPr>
          <w:sz w:val="20"/>
          <w:szCs w:val="20"/>
        </w:rPr>
      </w:pPr>
    </w:p>
    <w:p w14:paraId="66567D0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Cervera Martínez,</w:t>
      </w:r>
      <w:r w:rsidRPr="00DB3058">
        <w:rPr>
          <w:sz w:val="20"/>
          <w:szCs w:val="20"/>
        </w:rPr>
        <w:t xml:space="preserve"> M. “Comentario a la resolución de la Audiencia Provincial de Barcelona, Sección 15ª, de 17 de junio de 2021 sobre la extralimitación del TRLC en la exoneración pasivo insatisfecho”: </w:t>
      </w:r>
      <w:r w:rsidRPr="00DB3058">
        <w:rPr>
          <w:i/>
          <w:sz w:val="20"/>
          <w:szCs w:val="20"/>
        </w:rPr>
        <w:t xml:space="preserve">Revista General de Insolvencias &amp; Reestructuraciones: </w:t>
      </w:r>
      <w:proofErr w:type="spellStart"/>
      <w:r w:rsidRPr="00DB3058">
        <w:rPr>
          <w:i/>
          <w:sz w:val="20"/>
          <w:szCs w:val="20"/>
        </w:rPr>
        <w:t>Journal</w:t>
      </w:r>
      <w:proofErr w:type="spellEnd"/>
      <w:r w:rsidRPr="00DB3058">
        <w:rPr>
          <w:i/>
          <w:sz w:val="20"/>
          <w:szCs w:val="20"/>
        </w:rPr>
        <w:t xml:space="preserve"> of </w:t>
      </w:r>
      <w:proofErr w:type="spellStart"/>
      <w:r w:rsidRPr="00DB3058">
        <w:rPr>
          <w:i/>
          <w:sz w:val="20"/>
          <w:szCs w:val="20"/>
        </w:rPr>
        <w:t>Insolvency</w:t>
      </w:r>
      <w:proofErr w:type="spellEnd"/>
      <w:r w:rsidRPr="00DB3058">
        <w:rPr>
          <w:i/>
          <w:sz w:val="20"/>
          <w:szCs w:val="20"/>
        </w:rPr>
        <w:t xml:space="preserve"> &amp; </w:t>
      </w:r>
      <w:proofErr w:type="spellStart"/>
      <w:r w:rsidRPr="00DB3058">
        <w:rPr>
          <w:i/>
          <w:sz w:val="20"/>
          <w:szCs w:val="20"/>
        </w:rPr>
        <w:t>Restructuring</w:t>
      </w:r>
      <w:proofErr w:type="spellEnd"/>
      <w:r w:rsidRPr="00DB3058">
        <w:rPr>
          <w:i/>
          <w:sz w:val="20"/>
          <w:szCs w:val="20"/>
        </w:rPr>
        <w:t xml:space="preserve"> (I&amp;R)</w:t>
      </w:r>
      <w:r w:rsidRPr="00DB3058">
        <w:rPr>
          <w:sz w:val="20"/>
          <w:szCs w:val="20"/>
        </w:rPr>
        <w:t xml:space="preserve">, Nº. 4, 2021, págs. 445-454. </w:t>
      </w:r>
    </w:p>
    <w:p w14:paraId="1F06B8A1" w14:textId="77777777" w:rsidR="00467E42" w:rsidRPr="00DB3058" w:rsidRDefault="00467E42" w:rsidP="00467E42">
      <w:pPr>
        <w:pStyle w:val="Prrafodelista"/>
        <w:spacing w:after="0" w:line="240" w:lineRule="auto"/>
        <w:jc w:val="both"/>
        <w:rPr>
          <w:sz w:val="20"/>
          <w:szCs w:val="20"/>
        </w:rPr>
      </w:pPr>
    </w:p>
    <w:p w14:paraId="5FE5B87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Cortés Borrero</w:t>
      </w:r>
      <w:r w:rsidRPr="00DB3058">
        <w:rPr>
          <w:sz w:val="20"/>
          <w:szCs w:val="20"/>
        </w:rPr>
        <w:t xml:space="preserve">, R., </w:t>
      </w:r>
      <w:r w:rsidRPr="00DB3058">
        <w:rPr>
          <w:caps/>
          <w:sz w:val="20"/>
          <w:szCs w:val="20"/>
        </w:rPr>
        <w:t>Castellanos Peña</w:t>
      </w:r>
      <w:r w:rsidRPr="00DB3058">
        <w:rPr>
          <w:sz w:val="20"/>
          <w:szCs w:val="20"/>
        </w:rPr>
        <w:t xml:space="preserve">, M. P. “La defensa de los consumidores en el sector </w:t>
      </w:r>
      <w:proofErr w:type="spellStart"/>
      <w:r w:rsidRPr="00DB3058">
        <w:rPr>
          <w:sz w:val="20"/>
          <w:szCs w:val="20"/>
        </w:rPr>
        <w:t>fintech</w:t>
      </w:r>
      <w:proofErr w:type="spellEnd"/>
      <w:r w:rsidRPr="00DB3058">
        <w:rPr>
          <w:sz w:val="20"/>
          <w:szCs w:val="20"/>
        </w:rPr>
        <w:t xml:space="preserve">-financiero”: </w:t>
      </w:r>
      <w:r w:rsidRPr="00DB3058">
        <w:rPr>
          <w:i/>
          <w:sz w:val="20"/>
          <w:szCs w:val="20"/>
        </w:rPr>
        <w:t>Informática y Derecho: Revista Iberoamericana de Derecho Informático (segunda época)</w:t>
      </w:r>
      <w:r w:rsidRPr="00DB3058">
        <w:rPr>
          <w:sz w:val="20"/>
          <w:szCs w:val="20"/>
        </w:rPr>
        <w:t>, Nº. 10, 2021, págs. 11-23.</w:t>
      </w:r>
    </w:p>
    <w:p w14:paraId="0AE2FECF" w14:textId="77777777" w:rsidR="00467E42" w:rsidRPr="00DB3058" w:rsidRDefault="00467E42" w:rsidP="00467E42">
      <w:pPr>
        <w:pStyle w:val="Prrafodelista"/>
        <w:spacing w:after="0" w:line="240" w:lineRule="auto"/>
        <w:jc w:val="both"/>
        <w:rPr>
          <w:sz w:val="20"/>
          <w:szCs w:val="20"/>
        </w:rPr>
      </w:pPr>
    </w:p>
    <w:p w14:paraId="4156008C"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Cuena Casas</w:t>
      </w:r>
      <w:r w:rsidRPr="00DB3058">
        <w:rPr>
          <w:sz w:val="20"/>
          <w:szCs w:val="20"/>
        </w:rPr>
        <w:t xml:space="preserve">, M. “La exoneración del pasivo insatisfecho en el Anteproyecto de reforma del texto Refundido de la Ley Concursal”: </w:t>
      </w:r>
      <w:r w:rsidRPr="00DB3058">
        <w:rPr>
          <w:i/>
          <w:sz w:val="20"/>
          <w:szCs w:val="20"/>
        </w:rPr>
        <w:t xml:space="preserve">Revista General de Insolvencias &amp; Reestructuraciones: </w:t>
      </w:r>
      <w:proofErr w:type="spellStart"/>
      <w:r w:rsidRPr="00DB3058">
        <w:rPr>
          <w:i/>
          <w:sz w:val="20"/>
          <w:szCs w:val="20"/>
        </w:rPr>
        <w:t>Journal</w:t>
      </w:r>
      <w:proofErr w:type="spellEnd"/>
      <w:r w:rsidRPr="00DB3058">
        <w:rPr>
          <w:i/>
          <w:sz w:val="20"/>
          <w:szCs w:val="20"/>
        </w:rPr>
        <w:t xml:space="preserve"> of </w:t>
      </w:r>
      <w:proofErr w:type="spellStart"/>
      <w:r w:rsidRPr="00DB3058">
        <w:rPr>
          <w:i/>
          <w:sz w:val="20"/>
          <w:szCs w:val="20"/>
        </w:rPr>
        <w:t>Insolvency</w:t>
      </w:r>
      <w:proofErr w:type="spellEnd"/>
      <w:r w:rsidRPr="00DB3058">
        <w:rPr>
          <w:i/>
          <w:sz w:val="20"/>
          <w:szCs w:val="20"/>
        </w:rPr>
        <w:t xml:space="preserve"> &amp; </w:t>
      </w:r>
      <w:proofErr w:type="spellStart"/>
      <w:r w:rsidRPr="00DB3058">
        <w:rPr>
          <w:i/>
          <w:sz w:val="20"/>
          <w:szCs w:val="20"/>
        </w:rPr>
        <w:t>Restructuring</w:t>
      </w:r>
      <w:proofErr w:type="spellEnd"/>
      <w:r w:rsidRPr="00DB3058">
        <w:rPr>
          <w:i/>
          <w:sz w:val="20"/>
          <w:szCs w:val="20"/>
        </w:rPr>
        <w:t xml:space="preserve"> (I&amp;R)</w:t>
      </w:r>
      <w:r w:rsidRPr="00DB3058">
        <w:rPr>
          <w:sz w:val="20"/>
          <w:szCs w:val="20"/>
        </w:rPr>
        <w:t>, Nº. 4, 2021, págs. 37-78.</w:t>
      </w:r>
    </w:p>
    <w:p w14:paraId="1B5FE14A" w14:textId="77777777" w:rsidR="00467E42" w:rsidRPr="00DB3058" w:rsidRDefault="00467E42" w:rsidP="00467E42">
      <w:pPr>
        <w:pStyle w:val="Prrafodelista"/>
        <w:spacing w:after="0" w:line="240" w:lineRule="auto"/>
        <w:jc w:val="both"/>
        <w:rPr>
          <w:sz w:val="20"/>
          <w:szCs w:val="20"/>
        </w:rPr>
      </w:pPr>
    </w:p>
    <w:p w14:paraId="485292F9"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de la Iglesia Monje, M. I</w:t>
      </w:r>
      <w:r w:rsidRPr="00DB3058">
        <w:rPr>
          <w:sz w:val="20"/>
          <w:szCs w:val="20"/>
        </w:rPr>
        <w:t xml:space="preserve">. “La inteligencia artificial aplicada a la robótica en los juguetes: el colectivo vulnerable de los menores. Responsabilidad de los padres”: </w:t>
      </w:r>
      <w:r w:rsidRPr="00DB3058">
        <w:rPr>
          <w:i/>
          <w:sz w:val="20"/>
          <w:szCs w:val="20"/>
        </w:rPr>
        <w:t>Revista Crítica de Derecho Inmobiliario</w:t>
      </w:r>
      <w:r w:rsidRPr="00DB3058">
        <w:rPr>
          <w:sz w:val="20"/>
          <w:szCs w:val="20"/>
        </w:rPr>
        <w:t>, Año nº 97, Nº 787, 2021, págs. 3075-3093.</w:t>
      </w:r>
    </w:p>
    <w:p w14:paraId="22DD320D" w14:textId="77777777" w:rsidR="00467E42" w:rsidRPr="00DB3058" w:rsidRDefault="00467E42" w:rsidP="00467E42">
      <w:pPr>
        <w:pStyle w:val="Prrafodelista"/>
        <w:spacing w:after="0" w:line="240" w:lineRule="auto"/>
        <w:jc w:val="both"/>
        <w:rPr>
          <w:sz w:val="20"/>
          <w:szCs w:val="20"/>
        </w:rPr>
      </w:pPr>
    </w:p>
    <w:p w14:paraId="1AD5DD2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Díez García, H</w:t>
      </w:r>
      <w:r w:rsidRPr="00DB3058">
        <w:rPr>
          <w:sz w:val="20"/>
          <w:szCs w:val="20"/>
        </w:rPr>
        <w:t xml:space="preserve">. “Legalidad, transparencia y </w:t>
      </w:r>
      <w:proofErr w:type="spellStart"/>
      <w:r w:rsidRPr="00DB3058">
        <w:rPr>
          <w:sz w:val="20"/>
          <w:szCs w:val="20"/>
        </w:rPr>
        <w:t>abusividad</w:t>
      </w:r>
      <w:proofErr w:type="spellEnd"/>
      <w:r w:rsidRPr="00DB3058">
        <w:rPr>
          <w:sz w:val="20"/>
          <w:szCs w:val="20"/>
        </w:rPr>
        <w:t xml:space="preserve">: Análisis de la cláusula de intereses variables de un préstamo hipotecario convenido al amparo del RD 801/2005 (Plan Vivienda 2005-2008) en el que se subroga el comprador de la vivienda gravada. Comentario a la STS 585/2020, de 6 de noviembre. (RJ 2020, 38579)”: </w:t>
      </w:r>
      <w:r w:rsidRPr="00DB3058">
        <w:rPr>
          <w:i/>
          <w:sz w:val="20"/>
          <w:szCs w:val="20"/>
        </w:rPr>
        <w:t xml:space="preserve">Cuadernos </w:t>
      </w:r>
      <w:proofErr w:type="spellStart"/>
      <w:r w:rsidRPr="00DB3058">
        <w:rPr>
          <w:i/>
          <w:sz w:val="20"/>
          <w:szCs w:val="20"/>
        </w:rPr>
        <w:t>Civitas</w:t>
      </w:r>
      <w:proofErr w:type="spellEnd"/>
      <w:r w:rsidRPr="00DB3058">
        <w:rPr>
          <w:i/>
          <w:sz w:val="20"/>
          <w:szCs w:val="20"/>
        </w:rPr>
        <w:t xml:space="preserve"> de jurisprudencia civil</w:t>
      </w:r>
      <w:r w:rsidRPr="00DB3058">
        <w:rPr>
          <w:sz w:val="20"/>
          <w:szCs w:val="20"/>
        </w:rPr>
        <w:t>, Nº 116, 2021, págs. 179-222.</w:t>
      </w:r>
    </w:p>
    <w:p w14:paraId="19924FD4" w14:textId="77777777" w:rsidR="00467E42" w:rsidRPr="00DB3058" w:rsidRDefault="00467E42" w:rsidP="00467E42">
      <w:pPr>
        <w:pStyle w:val="Prrafodelista"/>
        <w:spacing w:after="0" w:line="240" w:lineRule="auto"/>
        <w:jc w:val="both"/>
        <w:rPr>
          <w:sz w:val="20"/>
          <w:szCs w:val="20"/>
        </w:rPr>
      </w:pPr>
    </w:p>
    <w:p w14:paraId="1D0D3B01"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Durán Cardo</w:t>
      </w:r>
      <w:r w:rsidRPr="00DB3058">
        <w:rPr>
          <w:sz w:val="20"/>
          <w:szCs w:val="20"/>
        </w:rPr>
        <w:t xml:space="preserve">, A. B. “Los servicios de computación en la nube y las transferencias internacionales de datos post sentencia </w:t>
      </w:r>
      <w:proofErr w:type="spellStart"/>
      <w:r w:rsidRPr="00DB3058">
        <w:rPr>
          <w:sz w:val="20"/>
          <w:szCs w:val="20"/>
        </w:rPr>
        <w:t>Schrems</w:t>
      </w:r>
      <w:proofErr w:type="spellEnd"/>
      <w:r w:rsidRPr="00DB3058">
        <w:rPr>
          <w:sz w:val="20"/>
          <w:szCs w:val="20"/>
        </w:rPr>
        <w:t xml:space="preserve"> II”: </w:t>
      </w:r>
      <w:r w:rsidRPr="00DB3058">
        <w:rPr>
          <w:i/>
          <w:sz w:val="20"/>
          <w:szCs w:val="20"/>
        </w:rPr>
        <w:t>La Ley privacidad</w:t>
      </w:r>
      <w:r w:rsidRPr="00DB3058">
        <w:rPr>
          <w:sz w:val="20"/>
          <w:szCs w:val="20"/>
        </w:rPr>
        <w:t>, Nº. 9, 2021.</w:t>
      </w:r>
    </w:p>
    <w:p w14:paraId="1F9D57AD" w14:textId="77777777" w:rsidR="00467E42" w:rsidRPr="00DB3058" w:rsidRDefault="00467E42" w:rsidP="00467E42">
      <w:pPr>
        <w:pStyle w:val="Prrafodelista"/>
        <w:spacing w:after="0" w:line="240" w:lineRule="auto"/>
        <w:jc w:val="both"/>
        <w:rPr>
          <w:sz w:val="20"/>
          <w:szCs w:val="20"/>
        </w:rPr>
      </w:pPr>
    </w:p>
    <w:p w14:paraId="7239582B"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Espuga Torné</w:t>
      </w:r>
      <w:r w:rsidRPr="00DB3058">
        <w:rPr>
          <w:sz w:val="20"/>
          <w:szCs w:val="20"/>
        </w:rPr>
        <w:t xml:space="preserve">, G. “Compatibilidad y encaje legal de la tecnología </w:t>
      </w:r>
      <w:proofErr w:type="spellStart"/>
      <w:r w:rsidRPr="00DB3058">
        <w:rPr>
          <w:sz w:val="20"/>
          <w:szCs w:val="20"/>
        </w:rPr>
        <w:t>blockchain</w:t>
      </w:r>
      <w:proofErr w:type="spellEnd"/>
      <w:r w:rsidRPr="00DB3058">
        <w:rPr>
          <w:sz w:val="20"/>
          <w:szCs w:val="20"/>
        </w:rPr>
        <w:t xml:space="preserve"> con la normativa sobre protección de datos personales”: </w:t>
      </w:r>
      <w:r w:rsidRPr="00DB3058">
        <w:rPr>
          <w:i/>
          <w:sz w:val="20"/>
          <w:szCs w:val="20"/>
        </w:rPr>
        <w:t>La Ley mercantil</w:t>
      </w:r>
      <w:r w:rsidRPr="00DB3058">
        <w:rPr>
          <w:sz w:val="20"/>
          <w:szCs w:val="20"/>
        </w:rPr>
        <w:t>, Nº. 84 (octubre), 2021.</w:t>
      </w:r>
    </w:p>
    <w:p w14:paraId="1CF85F09" w14:textId="77777777" w:rsidR="00467E42" w:rsidRPr="00DB3058" w:rsidRDefault="00467E42" w:rsidP="00467E42">
      <w:pPr>
        <w:pStyle w:val="Prrafodelista"/>
        <w:spacing w:after="0" w:line="240" w:lineRule="auto"/>
        <w:jc w:val="both"/>
        <w:rPr>
          <w:sz w:val="20"/>
          <w:szCs w:val="20"/>
        </w:rPr>
      </w:pPr>
    </w:p>
    <w:p w14:paraId="7F62A805"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García Casas, M</w:t>
      </w:r>
      <w:r w:rsidRPr="00DB3058">
        <w:rPr>
          <w:sz w:val="20"/>
          <w:szCs w:val="20"/>
        </w:rPr>
        <w:t xml:space="preserve">. “Requisitos para ser considerado consumidor a los efectos de la competencia judicial internacional en contratos celebrados con consumidores. Reflexiones al hilo de la Sentencia del Tribunal de Justicia de la Unión Europea de 10 de diciembre de 2020 (C-774/2019)”: </w:t>
      </w:r>
      <w:r w:rsidRPr="00DB3058">
        <w:rPr>
          <w:i/>
          <w:sz w:val="20"/>
          <w:szCs w:val="20"/>
        </w:rPr>
        <w:t>REDE. Revista española de derecho europeo</w:t>
      </w:r>
      <w:r w:rsidRPr="00DB3058">
        <w:rPr>
          <w:sz w:val="20"/>
          <w:szCs w:val="20"/>
        </w:rPr>
        <w:t>, Nº. 78-79, 2021, págs. 339-356.</w:t>
      </w:r>
    </w:p>
    <w:p w14:paraId="06D4BA29" w14:textId="77777777" w:rsidR="00467E42" w:rsidRPr="00DB3058" w:rsidRDefault="00467E42" w:rsidP="00467E42">
      <w:pPr>
        <w:pStyle w:val="Prrafodelista"/>
        <w:spacing w:after="0" w:line="240" w:lineRule="auto"/>
        <w:jc w:val="both"/>
        <w:rPr>
          <w:sz w:val="20"/>
          <w:szCs w:val="20"/>
        </w:rPr>
      </w:pPr>
    </w:p>
    <w:p w14:paraId="29F67191" w14:textId="77777777" w:rsidR="00467E42" w:rsidRPr="00DB3058" w:rsidRDefault="00467E42" w:rsidP="00467E42">
      <w:pPr>
        <w:pStyle w:val="Prrafodelista"/>
        <w:numPr>
          <w:ilvl w:val="0"/>
          <w:numId w:val="8"/>
        </w:numPr>
        <w:spacing w:after="0" w:line="240" w:lineRule="auto"/>
        <w:jc w:val="both"/>
        <w:rPr>
          <w:sz w:val="20"/>
          <w:szCs w:val="20"/>
        </w:rPr>
      </w:pPr>
      <w:r w:rsidRPr="00DB3058">
        <w:rPr>
          <w:sz w:val="20"/>
          <w:szCs w:val="20"/>
        </w:rPr>
        <w:t xml:space="preserve">GONZALEZ CARRASCO, M. C. “Responsabilidad patrimonial sanitaria por error en la identificación de neonatos: Comentario a la Sentencia de Juzgado de lo Contencioso Administrativo de </w:t>
      </w:r>
      <w:r w:rsidRPr="00DB3058">
        <w:rPr>
          <w:sz w:val="20"/>
          <w:szCs w:val="20"/>
        </w:rPr>
        <w:lastRenderedPageBreak/>
        <w:t xml:space="preserve">Pamplona/Iruña (Sección 3) de 6 de septiembre de 2021”: </w:t>
      </w:r>
      <w:r w:rsidRPr="00DB3058">
        <w:rPr>
          <w:i/>
          <w:sz w:val="20"/>
          <w:szCs w:val="20"/>
        </w:rPr>
        <w:t>Revista CESCO de Derecho de Consumo</w:t>
      </w:r>
      <w:r w:rsidRPr="00DB3058">
        <w:rPr>
          <w:sz w:val="20"/>
          <w:szCs w:val="20"/>
        </w:rPr>
        <w:t xml:space="preserve">, Nº 40 (octubre-diciembre) 2021, págs. 1-12. </w:t>
      </w:r>
    </w:p>
    <w:p w14:paraId="6E6F83C4" w14:textId="77777777" w:rsidR="00467E42" w:rsidRPr="00DB3058" w:rsidRDefault="00467E42" w:rsidP="00467E42">
      <w:pPr>
        <w:pStyle w:val="Prrafodelista"/>
        <w:spacing w:after="0" w:line="240" w:lineRule="auto"/>
        <w:jc w:val="both"/>
        <w:rPr>
          <w:sz w:val="20"/>
          <w:szCs w:val="20"/>
        </w:rPr>
      </w:pPr>
    </w:p>
    <w:p w14:paraId="471EE9F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González</w:t>
      </w:r>
      <w:r w:rsidRPr="00DB3058">
        <w:rPr>
          <w:sz w:val="20"/>
          <w:szCs w:val="20"/>
        </w:rPr>
        <w:t xml:space="preserve">, U. “Cláusulas lesivas en contratos de seguro: en qué consisten y jurisprudencia del TS al respecto”: </w:t>
      </w:r>
      <w:r w:rsidRPr="00DB3058">
        <w:rPr>
          <w:i/>
          <w:sz w:val="20"/>
          <w:szCs w:val="20"/>
        </w:rPr>
        <w:t>Actualidad jurídica Aranzadi</w:t>
      </w:r>
      <w:r w:rsidRPr="00DB3058">
        <w:rPr>
          <w:sz w:val="20"/>
          <w:szCs w:val="20"/>
        </w:rPr>
        <w:t>, Nº 977, 2021.</w:t>
      </w:r>
    </w:p>
    <w:p w14:paraId="08029B00" w14:textId="77777777" w:rsidR="00467E42" w:rsidRPr="00DB3058" w:rsidRDefault="00467E42" w:rsidP="00467E42">
      <w:pPr>
        <w:pStyle w:val="Prrafodelista"/>
        <w:spacing w:after="0" w:line="240" w:lineRule="auto"/>
        <w:jc w:val="both"/>
        <w:rPr>
          <w:sz w:val="20"/>
          <w:szCs w:val="20"/>
        </w:rPr>
      </w:pPr>
    </w:p>
    <w:p w14:paraId="6701028C"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González-Orús Charro, M.</w:t>
      </w:r>
      <w:r w:rsidRPr="00DB3058">
        <w:rPr>
          <w:sz w:val="20"/>
          <w:szCs w:val="20"/>
        </w:rPr>
        <w:t xml:space="preserve"> “Buena fe y exoneración de pasivo en el anteproyecto de reforma del texto refundido de la ley concursal”: </w:t>
      </w:r>
      <w:r w:rsidRPr="00DB3058">
        <w:rPr>
          <w:i/>
          <w:sz w:val="20"/>
          <w:szCs w:val="20"/>
        </w:rPr>
        <w:t xml:space="preserve">Revista General de Insolvencias &amp; Reestructuraciones: </w:t>
      </w:r>
      <w:proofErr w:type="spellStart"/>
      <w:r w:rsidRPr="00DB3058">
        <w:rPr>
          <w:i/>
          <w:sz w:val="20"/>
          <w:szCs w:val="20"/>
        </w:rPr>
        <w:t>Journal</w:t>
      </w:r>
      <w:proofErr w:type="spellEnd"/>
      <w:r w:rsidRPr="00DB3058">
        <w:rPr>
          <w:i/>
          <w:sz w:val="20"/>
          <w:szCs w:val="20"/>
        </w:rPr>
        <w:t xml:space="preserve"> of </w:t>
      </w:r>
      <w:proofErr w:type="spellStart"/>
      <w:r w:rsidRPr="00DB3058">
        <w:rPr>
          <w:i/>
          <w:sz w:val="20"/>
          <w:szCs w:val="20"/>
        </w:rPr>
        <w:t>Insolvency</w:t>
      </w:r>
      <w:proofErr w:type="spellEnd"/>
      <w:r w:rsidRPr="00DB3058">
        <w:rPr>
          <w:i/>
          <w:sz w:val="20"/>
          <w:szCs w:val="20"/>
        </w:rPr>
        <w:t xml:space="preserve"> &amp; </w:t>
      </w:r>
      <w:proofErr w:type="spellStart"/>
      <w:r w:rsidRPr="00DB3058">
        <w:rPr>
          <w:i/>
          <w:sz w:val="20"/>
          <w:szCs w:val="20"/>
        </w:rPr>
        <w:t>Restructuring</w:t>
      </w:r>
      <w:proofErr w:type="spellEnd"/>
      <w:r w:rsidRPr="00DB3058">
        <w:rPr>
          <w:i/>
          <w:sz w:val="20"/>
          <w:szCs w:val="20"/>
        </w:rPr>
        <w:t xml:space="preserve"> (I&amp;R)</w:t>
      </w:r>
      <w:r w:rsidRPr="00DB3058">
        <w:rPr>
          <w:sz w:val="20"/>
          <w:szCs w:val="20"/>
        </w:rPr>
        <w:t xml:space="preserve">, Nº. 4, 2021, págs. 337-360. </w:t>
      </w:r>
    </w:p>
    <w:p w14:paraId="2CCBB3DD" w14:textId="77777777" w:rsidR="00467E42" w:rsidRPr="00DB3058" w:rsidRDefault="00467E42" w:rsidP="00467E42">
      <w:pPr>
        <w:pStyle w:val="Prrafodelista"/>
        <w:spacing w:after="0" w:line="240" w:lineRule="auto"/>
        <w:jc w:val="both"/>
        <w:rPr>
          <w:sz w:val="20"/>
          <w:szCs w:val="20"/>
        </w:rPr>
      </w:pPr>
    </w:p>
    <w:p w14:paraId="1DBFFA8E"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Gudín Rodríguez-Magariños</w:t>
      </w:r>
      <w:r w:rsidRPr="00DB3058">
        <w:rPr>
          <w:sz w:val="20"/>
          <w:szCs w:val="20"/>
        </w:rPr>
        <w:t xml:space="preserve">, A-E. “El derecho al recuerdo: examen comparado de la normativa de preservación de datos en los Estados Unidos y en la Unión Europea”: </w:t>
      </w:r>
      <w:r w:rsidRPr="00DB3058">
        <w:rPr>
          <w:i/>
          <w:sz w:val="20"/>
          <w:szCs w:val="20"/>
        </w:rPr>
        <w:t>Revista jurídica de Castilla y León</w:t>
      </w:r>
      <w:r w:rsidRPr="00DB3058">
        <w:rPr>
          <w:sz w:val="20"/>
          <w:szCs w:val="20"/>
        </w:rPr>
        <w:t>, Nº. 55, 2021, págs. 35-76.</w:t>
      </w:r>
    </w:p>
    <w:p w14:paraId="68FBE82F" w14:textId="77777777" w:rsidR="00467E42" w:rsidRPr="00DB3058" w:rsidRDefault="00467E42" w:rsidP="00467E42">
      <w:pPr>
        <w:pStyle w:val="Prrafodelista"/>
        <w:spacing w:after="0" w:line="240" w:lineRule="auto"/>
        <w:jc w:val="both"/>
        <w:rPr>
          <w:sz w:val="20"/>
          <w:szCs w:val="20"/>
        </w:rPr>
      </w:pPr>
    </w:p>
    <w:p w14:paraId="230741AC"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Herrada Bazán, V</w:t>
      </w:r>
      <w:r w:rsidRPr="00DB3058">
        <w:rPr>
          <w:sz w:val="20"/>
          <w:szCs w:val="20"/>
        </w:rPr>
        <w:t xml:space="preserve">. “La aplicación del anatocismo legal del Código Civil a los intereses moratorios de la Ley 3/2004 de lucha contra la morosidad”: </w:t>
      </w:r>
      <w:r w:rsidRPr="00DB3058">
        <w:rPr>
          <w:i/>
          <w:sz w:val="20"/>
          <w:szCs w:val="20"/>
        </w:rPr>
        <w:t>Diario La Ley</w:t>
      </w:r>
      <w:r w:rsidRPr="00DB3058">
        <w:rPr>
          <w:sz w:val="20"/>
          <w:szCs w:val="20"/>
        </w:rPr>
        <w:t>, Nº 9955, 2021.</w:t>
      </w:r>
    </w:p>
    <w:p w14:paraId="686F1ADB" w14:textId="77777777" w:rsidR="00467E42" w:rsidRPr="00DB3058" w:rsidRDefault="00467E42" w:rsidP="00467E42">
      <w:pPr>
        <w:pStyle w:val="Prrafodelista"/>
        <w:spacing w:after="0" w:line="240" w:lineRule="auto"/>
        <w:jc w:val="both"/>
        <w:rPr>
          <w:sz w:val="20"/>
          <w:szCs w:val="20"/>
        </w:rPr>
      </w:pPr>
    </w:p>
    <w:p w14:paraId="09662651"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Iturmendi Morales</w:t>
      </w:r>
      <w:r w:rsidRPr="00DB3058">
        <w:rPr>
          <w:sz w:val="20"/>
          <w:szCs w:val="20"/>
        </w:rPr>
        <w:t xml:space="preserve">, G. “Acciones colectivas en el ámbito del contrato de seguro”: </w:t>
      </w:r>
      <w:r w:rsidRPr="00DB3058">
        <w:rPr>
          <w:i/>
          <w:sz w:val="20"/>
          <w:szCs w:val="20"/>
        </w:rPr>
        <w:t>Práctica de tribunales: revista de derecho procesal civil y mercantil</w:t>
      </w:r>
      <w:r w:rsidRPr="00DB3058">
        <w:rPr>
          <w:sz w:val="20"/>
          <w:szCs w:val="20"/>
        </w:rPr>
        <w:t>, Nº. 150, 2021.</w:t>
      </w:r>
    </w:p>
    <w:p w14:paraId="2ED8B457" w14:textId="77777777" w:rsidR="00467E42" w:rsidRPr="00DB3058" w:rsidRDefault="00467E42" w:rsidP="00467E42">
      <w:pPr>
        <w:pStyle w:val="Prrafodelista"/>
        <w:spacing w:after="0" w:line="240" w:lineRule="auto"/>
        <w:jc w:val="both"/>
        <w:rPr>
          <w:sz w:val="20"/>
          <w:szCs w:val="20"/>
        </w:rPr>
      </w:pPr>
    </w:p>
    <w:p w14:paraId="4A8B28F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Juan Gómez,</w:t>
      </w:r>
      <w:r w:rsidRPr="00DB3058">
        <w:rPr>
          <w:sz w:val="20"/>
          <w:szCs w:val="20"/>
        </w:rPr>
        <w:t xml:space="preserve"> M. “Concurso de persona física. Liquidación y Segunda Oportunidad”: </w:t>
      </w:r>
      <w:r w:rsidRPr="00DB3058">
        <w:rPr>
          <w:i/>
          <w:sz w:val="20"/>
          <w:szCs w:val="20"/>
        </w:rPr>
        <w:t>Práctica de tribunales: revista de derecho procesal civil y mercantil</w:t>
      </w:r>
      <w:r w:rsidRPr="00DB3058">
        <w:rPr>
          <w:sz w:val="20"/>
          <w:szCs w:val="20"/>
        </w:rPr>
        <w:t>, Nº. 152, 2021.</w:t>
      </w:r>
    </w:p>
    <w:p w14:paraId="57AEC6B8" w14:textId="77777777" w:rsidR="00467E42" w:rsidRPr="00DB3058" w:rsidRDefault="00467E42" w:rsidP="00467E42">
      <w:pPr>
        <w:pStyle w:val="Prrafodelista"/>
        <w:spacing w:after="0" w:line="240" w:lineRule="auto"/>
        <w:jc w:val="both"/>
        <w:rPr>
          <w:sz w:val="20"/>
          <w:szCs w:val="20"/>
        </w:rPr>
      </w:pPr>
    </w:p>
    <w:p w14:paraId="670A75E1"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Kilgus</w:t>
      </w:r>
      <w:r w:rsidRPr="00DB3058">
        <w:rPr>
          <w:sz w:val="20"/>
          <w:szCs w:val="20"/>
        </w:rPr>
        <w:t>, N. “</w:t>
      </w:r>
      <w:proofErr w:type="spellStart"/>
      <w:r w:rsidRPr="00DB3058">
        <w:rPr>
          <w:sz w:val="20"/>
          <w:szCs w:val="20"/>
        </w:rPr>
        <w:t>Obligations</w:t>
      </w:r>
      <w:proofErr w:type="spellEnd"/>
      <w:r w:rsidRPr="00DB3058">
        <w:rPr>
          <w:sz w:val="20"/>
          <w:szCs w:val="20"/>
        </w:rPr>
        <w:t xml:space="preserve"> </w:t>
      </w:r>
      <w:proofErr w:type="spellStart"/>
      <w:r w:rsidRPr="00DB3058">
        <w:rPr>
          <w:sz w:val="20"/>
          <w:szCs w:val="20"/>
        </w:rPr>
        <w:t>précontractuelles</w:t>
      </w:r>
      <w:proofErr w:type="spellEnd"/>
      <w:r w:rsidRPr="00DB3058">
        <w:rPr>
          <w:sz w:val="20"/>
          <w:szCs w:val="20"/>
        </w:rPr>
        <w:t xml:space="preserve"> du </w:t>
      </w:r>
      <w:proofErr w:type="spellStart"/>
      <w:r w:rsidRPr="00DB3058">
        <w:rPr>
          <w:sz w:val="20"/>
          <w:szCs w:val="20"/>
        </w:rPr>
        <w:t>prêteur</w:t>
      </w:r>
      <w:proofErr w:type="spellEnd"/>
      <w:r w:rsidRPr="00DB3058">
        <w:rPr>
          <w:sz w:val="20"/>
          <w:szCs w:val="20"/>
        </w:rPr>
        <w:t xml:space="preserve">: </w:t>
      </w:r>
      <w:proofErr w:type="spellStart"/>
      <w:r w:rsidRPr="00DB3058">
        <w:rPr>
          <w:sz w:val="20"/>
          <w:szCs w:val="20"/>
        </w:rPr>
        <w:t>quelle</w:t>
      </w:r>
      <w:proofErr w:type="spellEnd"/>
      <w:r w:rsidRPr="00DB3058">
        <w:rPr>
          <w:sz w:val="20"/>
          <w:szCs w:val="20"/>
        </w:rPr>
        <w:t xml:space="preserve"> </w:t>
      </w:r>
      <w:proofErr w:type="spellStart"/>
      <w:r w:rsidRPr="00DB3058">
        <w:rPr>
          <w:sz w:val="20"/>
          <w:szCs w:val="20"/>
        </w:rPr>
        <w:t>protée</w:t>
      </w:r>
      <w:proofErr w:type="spellEnd"/>
      <w:r w:rsidRPr="00DB3058">
        <w:rPr>
          <w:sz w:val="20"/>
          <w:szCs w:val="20"/>
        </w:rPr>
        <w:t xml:space="preserve"> </w:t>
      </w:r>
      <w:proofErr w:type="spellStart"/>
      <w:r w:rsidRPr="00DB3058">
        <w:rPr>
          <w:sz w:val="20"/>
          <w:szCs w:val="20"/>
        </w:rPr>
        <w:t>pour</w:t>
      </w:r>
      <w:proofErr w:type="spellEnd"/>
      <w:r w:rsidRPr="00DB3058">
        <w:rPr>
          <w:sz w:val="20"/>
          <w:szCs w:val="20"/>
        </w:rPr>
        <w:t xml:space="preserve"> les </w:t>
      </w:r>
      <w:proofErr w:type="spellStart"/>
      <w:r w:rsidRPr="00DB3058">
        <w:rPr>
          <w:sz w:val="20"/>
          <w:szCs w:val="20"/>
        </w:rPr>
        <w:t>clauses</w:t>
      </w:r>
      <w:proofErr w:type="spellEnd"/>
      <w:r w:rsidRPr="00DB3058">
        <w:rPr>
          <w:sz w:val="20"/>
          <w:szCs w:val="20"/>
        </w:rPr>
        <w:t xml:space="preserve"> de "</w:t>
      </w:r>
      <w:proofErr w:type="spellStart"/>
      <w:r w:rsidRPr="00DB3058">
        <w:rPr>
          <w:sz w:val="20"/>
          <w:szCs w:val="20"/>
        </w:rPr>
        <w:t>reconnaissance</w:t>
      </w:r>
      <w:proofErr w:type="spellEnd"/>
      <w:r w:rsidRPr="00DB3058">
        <w:rPr>
          <w:sz w:val="20"/>
          <w:szCs w:val="20"/>
        </w:rPr>
        <w:t>"</w:t>
      </w:r>
      <w:proofErr w:type="gramStart"/>
      <w:r w:rsidRPr="00DB3058">
        <w:rPr>
          <w:sz w:val="20"/>
          <w:szCs w:val="20"/>
        </w:rPr>
        <w:t>?</w:t>
      </w:r>
      <w:proofErr w:type="gramEnd"/>
      <w:r w:rsidRPr="00DB3058">
        <w:rPr>
          <w:sz w:val="20"/>
          <w:szCs w:val="20"/>
        </w:rPr>
        <w:t xml:space="preserve">”: </w:t>
      </w:r>
      <w:r w:rsidRPr="00DB3058">
        <w:rPr>
          <w:i/>
          <w:sz w:val="20"/>
          <w:szCs w:val="20"/>
        </w:rPr>
        <w:t xml:space="preserve">La </w:t>
      </w:r>
      <w:proofErr w:type="spellStart"/>
      <w:r w:rsidRPr="00DB3058">
        <w:rPr>
          <w:i/>
          <w:sz w:val="20"/>
          <w:szCs w:val="20"/>
        </w:rPr>
        <w:t>Semaine</w:t>
      </w:r>
      <w:proofErr w:type="spellEnd"/>
      <w:r w:rsidRPr="00DB3058">
        <w:rPr>
          <w:i/>
          <w:sz w:val="20"/>
          <w:szCs w:val="20"/>
        </w:rPr>
        <w:t xml:space="preserve"> </w:t>
      </w:r>
      <w:proofErr w:type="spellStart"/>
      <w:r w:rsidRPr="00DB3058">
        <w:rPr>
          <w:i/>
          <w:sz w:val="20"/>
          <w:szCs w:val="20"/>
        </w:rPr>
        <w:t>Juridique</w:t>
      </w:r>
      <w:proofErr w:type="spellEnd"/>
      <w:r w:rsidRPr="00DB3058">
        <w:rPr>
          <w:sz w:val="20"/>
          <w:szCs w:val="20"/>
        </w:rPr>
        <w:t>, Nº 25, 2021, págs. 1194-1197.</w:t>
      </w:r>
    </w:p>
    <w:p w14:paraId="17592E4E" w14:textId="77777777" w:rsidR="00467E42" w:rsidRPr="00DB3058" w:rsidRDefault="00467E42" w:rsidP="00467E42">
      <w:pPr>
        <w:pStyle w:val="Prrafodelista"/>
        <w:spacing w:after="0" w:line="240" w:lineRule="auto"/>
        <w:jc w:val="both"/>
        <w:rPr>
          <w:sz w:val="20"/>
          <w:szCs w:val="20"/>
        </w:rPr>
      </w:pPr>
    </w:p>
    <w:p w14:paraId="53521996"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Learreta Olarra</w:t>
      </w:r>
      <w:r w:rsidRPr="00DB3058">
        <w:rPr>
          <w:sz w:val="20"/>
          <w:szCs w:val="20"/>
        </w:rPr>
        <w:t xml:space="preserve">, P. “A vueltas con la “comisión por reclamación de posiciones deudoras”: aún hay margen para el litigio. Comentario a la Sentencia núm.431/2020, de 24 de julio de la Sala Primera del Tribunal Supremo. (RJ 2020, 2489)”: </w:t>
      </w:r>
      <w:r w:rsidRPr="00DB3058">
        <w:rPr>
          <w:i/>
          <w:sz w:val="20"/>
          <w:szCs w:val="20"/>
        </w:rPr>
        <w:t xml:space="preserve">Cuadernos </w:t>
      </w:r>
      <w:proofErr w:type="spellStart"/>
      <w:r w:rsidRPr="00DB3058">
        <w:rPr>
          <w:i/>
          <w:sz w:val="20"/>
          <w:szCs w:val="20"/>
        </w:rPr>
        <w:t>Civitas</w:t>
      </w:r>
      <w:proofErr w:type="spellEnd"/>
      <w:r w:rsidRPr="00DB3058">
        <w:rPr>
          <w:i/>
          <w:sz w:val="20"/>
          <w:szCs w:val="20"/>
        </w:rPr>
        <w:t xml:space="preserve"> de jurisprudencia civil</w:t>
      </w:r>
      <w:r w:rsidRPr="00DB3058">
        <w:rPr>
          <w:sz w:val="20"/>
          <w:szCs w:val="20"/>
        </w:rPr>
        <w:t>, Nº 116, 2021, págs. 75-96.</w:t>
      </w:r>
    </w:p>
    <w:p w14:paraId="0FAC72A0" w14:textId="77777777" w:rsidR="00467E42" w:rsidRPr="00DB3058" w:rsidRDefault="00467E42" w:rsidP="00467E42">
      <w:pPr>
        <w:pStyle w:val="Prrafodelista"/>
        <w:spacing w:after="0" w:line="240" w:lineRule="auto"/>
        <w:jc w:val="both"/>
        <w:rPr>
          <w:sz w:val="20"/>
          <w:szCs w:val="20"/>
        </w:rPr>
      </w:pPr>
    </w:p>
    <w:p w14:paraId="65B6238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López Calvo</w:t>
      </w:r>
      <w:r w:rsidRPr="00DB3058">
        <w:rPr>
          <w:sz w:val="20"/>
          <w:szCs w:val="20"/>
        </w:rPr>
        <w:t xml:space="preserve">, J. “Carta de Derechos Digitales y </w:t>
      </w:r>
      <w:proofErr w:type="spellStart"/>
      <w:r w:rsidRPr="00DB3058">
        <w:rPr>
          <w:sz w:val="20"/>
          <w:szCs w:val="20"/>
        </w:rPr>
        <w:t>privacidadComentariosResumen</w:t>
      </w:r>
      <w:proofErr w:type="spellEnd"/>
      <w:r w:rsidRPr="00DB3058">
        <w:rPr>
          <w:sz w:val="20"/>
          <w:szCs w:val="20"/>
        </w:rPr>
        <w:t xml:space="preserve">”: </w:t>
      </w:r>
      <w:r w:rsidRPr="00DB3058">
        <w:rPr>
          <w:i/>
          <w:sz w:val="20"/>
          <w:szCs w:val="20"/>
        </w:rPr>
        <w:t>La Ley privacidad</w:t>
      </w:r>
      <w:r w:rsidRPr="00DB3058">
        <w:rPr>
          <w:sz w:val="20"/>
          <w:szCs w:val="20"/>
        </w:rPr>
        <w:t>, Nº. 9, 2021.</w:t>
      </w:r>
    </w:p>
    <w:p w14:paraId="177D4C0F" w14:textId="77777777" w:rsidR="00467E42" w:rsidRPr="00DB3058" w:rsidRDefault="00467E42" w:rsidP="00467E42">
      <w:pPr>
        <w:pStyle w:val="Prrafodelista"/>
        <w:tabs>
          <w:tab w:val="left" w:pos="900"/>
        </w:tabs>
        <w:rPr>
          <w:sz w:val="20"/>
          <w:szCs w:val="20"/>
        </w:rPr>
      </w:pPr>
    </w:p>
    <w:p w14:paraId="3CDB8B67" w14:textId="77777777" w:rsidR="00467E42" w:rsidRPr="00DB3058" w:rsidRDefault="00467E42" w:rsidP="00467E42">
      <w:pPr>
        <w:pStyle w:val="Prrafodelista"/>
        <w:numPr>
          <w:ilvl w:val="0"/>
          <w:numId w:val="8"/>
        </w:numPr>
        <w:tabs>
          <w:tab w:val="left" w:pos="900"/>
        </w:tabs>
        <w:rPr>
          <w:sz w:val="20"/>
          <w:szCs w:val="20"/>
        </w:rPr>
      </w:pPr>
      <w:r w:rsidRPr="00DB3058">
        <w:rPr>
          <w:sz w:val="20"/>
          <w:szCs w:val="20"/>
        </w:rPr>
        <w:t>LÓPEZ SÁNCHEZ, C. (Coord.).</w:t>
      </w:r>
      <w:r w:rsidRPr="00DB3058">
        <w:rPr>
          <w:i/>
          <w:sz w:val="20"/>
          <w:szCs w:val="20"/>
        </w:rPr>
        <w:t xml:space="preserve"> El alojamiento colaborativo. Problemática jurídica actual de las viviendas de uso turístico</w:t>
      </w:r>
      <w:r w:rsidRPr="00DB3058">
        <w:rPr>
          <w:sz w:val="20"/>
          <w:szCs w:val="20"/>
        </w:rPr>
        <w:t xml:space="preserve">. </w:t>
      </w:r>
      <w:proofErr w:type="spellStart"/>
      <w:r w:rsidRPr="00DB3058">
        <w:rPr>
          <w:sz w:val="20"/>
          <w:szCs w:val="20"/>
        </w:rPr>
        <w:t>Dykinson</w:t>
      </w:r>
      <w:proofErr w:type="spellEnd"/>
      <w:r w:rsidRPr="00DB3058">
        <w:rPr>
          <w:sz w:val="20"/>
          <w:szCs w:val="20"/>
        </w:rPr>
        <w:t xml:space="preserve">, 2021, 350 págs. </w:t>
      </w:r>
    </w:p>
    <w:p w14:paraId="4D7FD1D9" w14:textId="77777777" w:rsidR="00467E42" w:rsidRPr="00DB3058" w:rsidRDefault="00467E42" w:rsidP="00467E42">
      <w:pPr>
        <w:pStyle w:val="Prrafodelista"/>
        <w:spacing w:after="0" w:line="240" w:lineRule="auto"/>
        <w:jc w:val="both"/>
        <w:rPr>
          <w:sz w:val="20"/>
          <w:szCs w:val="20"/>
        </w:rPr>
      </w:pPr>
    </w:p>
    <w:p w14:paraId="3BA24D1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Lozano Gago</w:t>
      </w:r>
      <w:r w:rsidRPr="00DB3058">
        <w:rPr>
          <w:sz w:val="20"/>
          <w:szCs w:val="20"/>
        </w:rPr>
        <w:t xml:space="preserve">, M. L. “Ventajas e inconvenientes de las acciones colectivas en el Derecho español”: </w:t>
      </w:r>
      <w:r w:rsidRPr="00DB3058">
        <w:rPr>
          <w:i/>
          <w:sz w:val="20"/>
          <w:szCs w:val="20"/>
        </w:rPr>
        <w:t>Práctica de tribunales: revista de derecho procesal civil y mercantil</w:t>
      </w:r>
      <w:r w:rsidRPr="00DB3058">
        <w:rPr>
          <w:sz w:val="20"/>
          <w:szCs w:val="20"/>
        </w:rPr>
        <w:t>, Nº. 150, 2021.</w:t>
      </w:r>
    </w:p>
    <w:p w14:paraId="5C7474B3" w14:textId="77777777" w:rsidR="00467E42" w:rsidRPr="00DB3058" w:rsidRDefault="00467E42" w:rsidP="00467E42">
      <w:pPr>
        <w:pStyle w:val="Prrafodelista"/>
        <w:spacing w:after="0" w:line="240" w:lineRule="auto"/>
        <w:jc w:val="both"/>
        <w:rPr>
          <w:sz w:val="20"/>
          <w:szCs w:val="20"/>
        </w:rPr>
      </w:pPr>
    </w:p>
    <w:p w14:paraId="7AADCED7"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Magro Servet</w:t>
      </w:r>
      <w:r w:rsidRPr="00DB3058">
        <w:rPr>
          <w:sz w:val="20"/>
          <w:szCs w:val="20"/>
        </w:rPr>
        <w:t xml:space="preserve">, V. “Doctrina jurisprudencial sobre acciones colectivas en el proceso civil”: </w:t>
      </w:r>
      <w:r w:rsidRPr="00DB3058">
        <w:rPr>
          <w:i/>
          <w:sz w:val="20"/>
          <w:szCs w:val="20"/>
        </w:rPr>
        <w:t>Práctica de tribunales: revista de derecho procesal civil y mercantil</w:t>
      </w:r>
      <w:r w:rsidRPr="00DB3058">
        <w:rPr>
          <w:sz w:val="20"/>
          <w:szCs w:val="20"/>
        </w:rPr>
        <w:t>, Nº. 150, 2021.</w:t>
      </w:r>
    </w:p>
    <w:p w14:paraId="78E509CF" w14:textId="77777777" w:rsidR="00467E42" w:rsidRPr="00DB3058" w:rsidRDefault="00467E42" w:rsidP="00467E42">
      <w:pPr>
        <w:pStyle w:val="Prrafodelista"/>
        <w:spacing w:after="0" w:line="240" w:lineRule="auto"/>
        <w:jc w:val="both"/>
        <w:rPr>
          <w:sz w:val="20"/>
          <w:szCs w:val="20"/>
        </w:rPr>
      </w:pPr>
    </w:p>
    <w:p w14:paraId="05B64636" w14:textId="77777777" w:rsidR="00467E42" w:rsidRPr="00DB3058" w:rsidRDefault="00467E42" w:rsidP="00467E42">
      <w:pPr>
        <w:pStyle w:val="Prrafodelista"/>
        <w:numPr>
          <w:ilvl w:val="0"/>
          <w:numId w:val="8"/>
        </w:numPr>
        <w:spacing w:after="0" w:line="240" w:lineRule="auto"/>
        <w:jc w:val="both"/>
        <w:rPr>
          <w:sz w:val="20"/>
          <w:szCs w:val="20"/>
        </w:rPr>
      </w:pPr>
      <w:r w:rsidRPr="00DB3058">
        <w:rPr>
          <w:sz w:val="20"/>
          <w:szCs w:val="20"/>
        </w:rPr>
        <w:t xml:space="preserve">MARIN LOPEZ, M. J. “Dos cuestiones prejudiciales sobre la prescripción de la acción de restitución de los gastos hipotecarios y sus efectos en el crédito </w:t>
      </w:r>
      <w:proofErr w:type="spellStart"/>
      <w:r w:rsidRPr="00DB3058">
        <w:rPr>
          <w:sz w:val="20"/>
          <w:szCs w:val="20"/>
        </w:rPr>
        <w:t>revolving</w:t>
      </w:r>
      <w:proofErr w:type="spellEnd"/>
      <w:r w:rsidRPr="00DB3058">
        <w:rPr>
          <w:sz w:val="20"/>
          <w:szCs w:val="20"/>
        </w:rPr>
        <w:t xml:space="preserve"> usurario”: </w:t>
      </w:r>
      <w:r w:rsidRPr="00DB3058">
        <w:rPr>
          <w:i/>
          <w:sz w:val="20"/>
          <w:szCs w:val="20"/>
        </w:rPr>
        <w:t>Revista CESCO de Derecho de Consumo</w:t>
      </w:r>
      <w:r w:rsidRPr="00DB3058">
        <w:rPr>
          <w:sz w:val="20"/>
          <w:szCs w:val="20"/>
        </w:rPr>
        <w:t xml:space="preserve">, Nº 40 (octubre-diciembre) 2021, págs. 13-37. </w:t>
      </w:r>
    </w:p>
    <w:p w14:paraId="3CB02A68" w14:textId="77777777" w:rsidR="00467E42" w:rsidRPr="00DB3058" w:rsidRDefault="00467E42" w:rsidP="00467E42">
      <w:pPr>
        <w:pStyle w:val="Prrafodelista"/>
        <w:spacing w:after="0" w:line="240" w:lineRule="auto"/>
        <w:jc w:val="both"/>
        <w:rPr>
          <w:sz w:val="20"/>
          <w:szCs w:val="20"/>
        </w:rPr>
      </w:pPr>
    </w:p>
    <w:p w14:paraId="4D57B8BD"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Martín Fuster, J. M</w:t>
      </w:r>
      <w:r w:rsidRPr="00DB3058">
        <w:rPr>
          <w:sz w:val="20"/>
          <w:szCs w:val="20"/>
        </w:rPr>
        <w:t xml:space="preserve">. “El impago de la prima en los seguros de vida y la aplicación del art. 95 LCS: entre la </w:t>
      </w:r>
      <w:proofErr w:type="spellStart"/>
      <w:r w:rsidRPr="00DB3058">
        <w:rPr>
          <w:sz w:val="20"/>
          <w:szCs w:val="20"/>
        </w:rPr>
        <w:t>imperatividad</w:t>
      </w:r>
      <w:proofErr w:type="spellEnd"/>
      <w:r w:rsidRPr="00DB3058">
        <w:rPr>
          <w:sz w:val="20"/>
          <w:szCs w:val="20"/>
        </w:rPr>
        <w:t xml:space="preserve"> de la norma y la desprotección”: </w:t>
      </w:r>
      <w:r w:rsidRPr="00DB3058">
        <w:rPr>
          <w:i/>
          <w:sz w:val="20"/>
          <w:szCs w:val="20"/>
        </w:rPr>
        <w:t>La Ley mercantil</w:t>
      </w:r>
      <w:r w:rsidRPr="00DB3058">
        <w:rPr>
          <w:sz w:val="20"/>
          <w:szCs w:val="20"/>
        </w:rPr>
        <w:t>, Nº. 85 (noviembre), 2021.</w:t>
      </w:r>
    </w:p>
    <w:p w14:paraId="39570626" w14:textId="77777777" w:rsidR="00467E42" w:rsidRPr="00DB3058" w:rsidRDefault="00467E42" w:rsidP="00467E42">
      <w:pPr>
        <w:pStyle w:val="Prrafodelista"/>
        <w:spacing w:after="0" w:line="240" w:lineRule="auto"/>
        <w:jc w:val="both"/>
        <w:rPr>
          <w:sz w:val="20"/>
          <w:szCs w:val="20"/>
        </w:rPr>
      </w:pPr>
    </w:p>
    <w:p w14:paraId="5A93B15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Martínez Calvo</w:t>
      </w:r>
      <w:r w:rsidRPr="00DB3058">
        <w:rPr>
          <w:sz w:val="20"/>
          <w:szCs w:val="20"/>
        </w:rPr>
        <w:t xml:space="preserve">, J. “Los datos personales como posible contraprestación en los contratos de suministro de contenidos y servicios digitales”: </w:t>
      </w:r>
      <w:proofErr w:type="spellStart"/>
      <w:r w:rsidRPr="00DB3058">
        <w:rPr>
          <w:i/>
          <w:sz w:val="20"/>
          <w:szCs w:val="20"/>
        </w:rPr>
        <w:t>InDret</w:t>
      </w:r>
      <w:proofErr w:type="spellEnd"/>
      <w:r w:rsidRPr="00DB3058">
        <w:rPr>
          <w:i/>
          <w:sz w:val="20"/>
          <w:szCs w:val="20"/>
        </w:rPr>
        <w:t>: Revista para el Análisis del Derecho</w:t>
      </w:r>
      <w:r w:rsidRPr="00DB3058">
        <w:rPr>
          <w:sz w:val="20"/>
          <w:szCs w:val="20"/>
        </w:rPr>
        <w:t>, Nº 4, 2021, págs. 88-135.</w:t>
      </w:r>
    </w:p>
    <w:p w14:paraId="6F06AEF7" w14:textId="77777777" w:rsidR="00467E42" w:rsidRPr="00DB3058" w:rsidRDefault="00467E42" w:rsidP="00467E42">
      <w:pPr>
        <w:pStyle w:val="Prrafodelista"/>
        <w:spacing w:after="0" w:line="240" w:lineRule="auto"/>
        <w:jc w:val="both"/>
        <w:rPr>
          <w:sz w:val="20"/>
          <w:szCs w:val="20"/>
        </w:rPr>
      </w:pPr>
    </w:p>
    <w:p w14:paraId="6E73368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lastRenderedPageBreak/>
        <w:t>Martínez del Toro</w:t>
      </w:r>
      <w:r w:rsidRPr="00DB3058">
        <w:rPr>
          <w:sz w:val="20"/>
          <w:szCs w:val="20"/>
        </w:rPr>
        <w:t xml:space="preserve">, S. “Líneas generales del sistema de acciones colectivas planteado por la Directiva europea sobre acciones de representación”: </w:t>
      </w:r>
      <w:r w:rsidRPr="00DB3058">
        <w:rPr>
          <w:i/>
          <w:sz w:val="20"/>
          <w:szCs w:val="20"/>
        </w:rPr>
        <w:t>Práctica de tribunales: revista de derecho procesal civil y mercantil</w:t>
      </w:r>
      <w:r w:rsidRPr="00DB3058">
        <w:rPr>
          <w:sz w:val="20"/>
          <w:szCs w:val="20"/>
        </w:rPr>
        <w:t>, Nº. 150, 2021.</w:t>
      </w:r>
    </w:p>
    <w:p w14:paraId="5500FD77" w14:textId="77777777" w:rsidR="00467E42" w:rsidRPr="00DB3058" w:rsidRDefault="00467E42" w:rsidP="00467E42">
      <w:pPr>
        <w:pStyle w:val="Prrafodelista"/>
        <w:spacing w:after="0" w:line="240" w:lineRule="auto"/>
        <w:jc w:val="both"/>
        <w:rPr>
          <w:sz w:val="20"/>
          <w:szCs w:val="20"/>
        </w:rPr>
      </w:pPr>
    </w:p>
    <w:p w14:paraId="22089F44" w14:textId="77777777" w:rsidR="00467E42" w:rsidRPr="00DB3058" w:rsidRDefault="00467E42" w:rsidP="00467E42">
      <w:pPr>
        <w:pStyle w:val="Prrafodelista"/>
        <w:numPr>
          <w:ilvl w:val="0"/>
          <w:numId w:val="8"/>
        </w:numPr>
        <w:spacing w:after="0" w:line="240" w:lineRule="auto"/>
        <w:jc w:val="both"/>
        <w:rPr>
          <w:sz w:val="20"/>
          <w:szCs w:val="20"/>
        </w:rPr>
      </w:pPr>
      <w:r w:rsidRPr="00DB3058">
        <w:rPr>
          <w:sz w:val="20"/>
          <w:szCs w:val="20"/>
        </w:rPr>
        <w:t xml:space="preserve">MARTINEZ ESPIN, P. “¿Qué pasó con las cláusulas suelo? Análisis de las recientes sentencias del Tribunal Supremo”: </w:t>
      </w:r>
      <w:r w:rsidRPr="00DB3058">
        <w:rPr>
          <w:i/>
          <w:sz w:val="20"/>
          <w:szCs w:val="20"/>
        </w:rPr>
        <w:t>Revista CESCO de Derecho de Consumo</w:t>
      </w:r>
      <w:r w:rsidRPr="00DB3058">
        <w:rPr>
          <w:sz w:val="20"/>
          <w:szCs w:val="20"/>
        </w:rPr>
        <w:t xml:space="preserve">, Nº 40 (octubre-diciembre) 2021, págs. 90-100. </w:t>
      </w:r>
    </w:p>
    <w:p w14:paraId="3FD2AFCC" w14:textId="77777777" w:rsidR="00467E42" w:rsidRPr="00DB3058" w:rsidRDefault="00467E42" w:rsidP="00467E42">
      <w:pPr>
        <w:pStyle w:val="Prrafodelista"/>
        <w:spacing w:after="0" w:line="240" w:lineRule="auto"/>
        <w:jc w:val="both"/>
        <w:rPr>
          <w:sz w:val="20"/>
          <w:szCs w:val="20"/>
        </w:rPr>
      </w:pPr>
    </w:p>
    <w:p w14:paraId="10AEF28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Martínez Espín,</w:t>
      </w:r>
      <w:r w:rsidRPr="00DB3058">
        <w:rPr>
          <w:sz w:val="20"/>
          <w:szCs w:val="20"/>
        </w:rPr>
        <w:t xml:space="preserve"> P. “</w:t>
      </w:r>
      <w:proofErr w:type="spellStart"/>
      <w:r w:rsidRPr="00DB3058">
        <w:rPr>
          <w:sz w:val="20"/>
          <w:szCs w:val="20"/>
        </w:rPr>
        <w:t>Abusividad</w:t>
      </w:r>
      <w:proofErr w:type="spellEnd"/>
      <w:r w:rsidRPr="00DB3058">
        <w:rPr>
          <w:sz w:val="20"/>
          <w:szCs w:val="20"/>
        </w:rPr>
        <w:t xml:space="preserve"> de la cláusula de vencimiento anticipado de un contrato de arrendamiento financiero de acciones. STJUE (Sala Primera) de 27 de enero de 2021. (TJCE 2021, 21)”: </w:t>
      </w:r>
      <w:r w:rsidRPr="00DB3058">
        <w:rPr>
          <w:i/>
          <w:sz w:val="20"/>
          <w:szCs w:val="20"/>
        </w:rPr>
        <w:t xml:space="preserve">Cuadernos </w:t>
      </w:r>
      <w:proofErr w:type="spellStart"/>
      <w:r w:rsidRPr="00DB3058">
        <w:rPr>
          <w:i/>
          <w:sz w:val="20"/>
          <w:szCs w:val="20"/>
        </w:rPr>
        <w:t>Civitas</w:t>
      </w:r>
      <w:proofErr w:type="spellEnd"/>
      <w:r w:rsidRPr="00DB3058">
        <w:rPr>
          <w:i/>
          <w:sz w:val="20"/>
          <w:szCs w:val="20"/>
        </w:rPr>
        <w:t xml:space="preserve"> de jurisprudencia civil</w:t>
      </w:r>
      <w:r w:rsidRPr="00DB3058">
        <w:rPr>
          <w:sz w:val="20"/>
          <w:szCs w:val="20"/>
        </w:rPr>
        <w:t>, Nº 116, 2021, págs. 313-330.</w:t>
      </w:r>
    </w:p>
    <w:p w14:paraId="229A576B" w14:textId="77777777" w:rsidR="00467E42" w:rsidRPr="00DB3058" w:rsidRDefault="00467E42" w:rsidP="00467E42">
      <w:pPr>
        <w:pStyle w:val="Prrafodelista"/>
        <w:spacing w:after="0" w:line="240" w:lineRule="auto"/>
        <w:jc w:val="both"/>
        <w:rPr>
          <w:sz w:val="20"/>
          <w:szCs w:val="20"/>
        </w:rPr>
      </w:pPr>
    </w:p>
    <w:p w14:paraId="161876D2"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Mato Pacín</w:t>
      </w:r>
      <w:r w:rsidRPr="00DB3058">
        <w:rPr>
          <w:sz w:val="20"/>
          <w:szCs w:val="20"/>
        </w:rPr>
        <w:t xml:space="preserve">, M. N. “El consumidor ante la venta en pública subasta de obras de arte”: </w:t>
      </w:r>
      <w:r w:rsidRPr="00DB3058">
        <w:rPr>
          <w:i/>
          <w:sz w:val="20"/>
          <w:szCs w:val="20"/>
        </w:rPr>
        <w:t>Revista de Derecho Civil</w:t>
      </w:r>
      <w:r w:rsidRPr="00DB3058">
        <w:rPr>
          <w:sz w:val="20"/>
          <w:szCs w:val="20"/>
        </w:rPr>
        <w:t>, Vol. 8, Nº. 3 (julio-septiembre), 2021, págs. 1-44.</w:t>
      </w:r>
    </w:p>
    <w:p w14:paraId="43930CB0" w14:textId="77777777" w:rsidR="00467E42" w:rsidRPr="00DB3058" w:rsidRDefault="00467E42" w:rsidP="00467E42">
      <w:pPr>
        <w:pStyle w:val="Prrafodelista"/>
        <w:spacing w:after="0" w:line="240" w:lineRule="auto"/>
        <w:jc w:val="both"/>
        <w:rPr>
          <w:sz w:val="20"/>
          <w:szCs w:val="20"/>
        </w:rPr>
      </w:pPr>
    </w:p>
    <w:p w14:paraId="7B5A90D4"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Mayaux, L</w:t>
      </w:r>
      <w:r w:rsidRPr="00DB3058">
        <w:rPr>
          <w:sz w:val="20"/>
          <w:szCs w:val="20"/>
        </w:rPr>
        <w:t xml:space="preserve">. “Le </w:t>
      </w:r>
      <w:proofErr w:type="spellStart"/>
      <w:r w:rsidRPr="00DB3058">
        <w:rPr>
          <w:sz w:val="20"/>
          <w:szCs w:val="20"/>
        </w:rPr>
        <w:t>information</w:t>
      </w:r>
      <w:proofErr w:type="spellEnd"/>
      <w:r w:rsidRPr="00DB3058">
        <w:rPr>
          <w:sz w:val="20"/>
          <w:szCs w:val="20"/>
        </w:rPr>
        <w:t xml:space="preserve"> sur le </w:t>
      </w:r>
      <w:proofErr w:type="spellStart"/>
      <w:r w:rsidRPr="00DB3058">
        <w:rPr>
          <w:sz w:val="20"/>
          <w:szCs w:val="20"/>
        </w:rPr>
        <w:t>contenu</w:t>
      </w:r>
      <w:proofErr w:type="spellEnd"/>
      <w:r w:rsidRPr="00DB3058">
        <w:rPr>
          <w:sz w:val="20"/>
          <w:szCs w:val="20"/>
        </w:rPr>
        <w:t xml:space="preserve"> du </w:t>
      </w:r>
      <w:proofErr w:type="spellStart"/>
      <w:r w:rsidRPr="00DB3058">
        <w:rPr>
          <w:sz w:val="20"/>
          <w:szCs w:val="20"/>
        </w:rPr>
        <w:t>contrat</w:t>
      </w:r>
      <w:proofErr w:type="spellEnd"/>
      <w:r w:rsidRPr="00DB3058">
        <w:rPr>
          <w:sz w:val="20"/>
          <w:szCs w:val="20"/>
        </w:rPr>
        <w:t xml:space="preserve"> </w:t>
      </w:r>
      <w:proofErr w:type="spellStart"/>
      <w:r w:rsidRPr="00DB3058">
        <w:rPr>
          <w:sz w:val="20"/>
          <w:szCs w:val="20"/>
        </w:rPr>
        <w:t>d'assurance</w:t>
      </w:r>
      <w:proofErr w:type="spellEnd"/>
      <w:r w:rsidRPr="00DB3058">
        <w:rPr>
          <w:sz w:val="20"/>
          <w:szCs w:val="20"/>
        </w:rPr>
        <w:t xml:space="preserve">”: </w:t>
      </w:r>
      <w:r w:rsidRPr="00DB3058">
        <w:rPr>
          <w:i/>
          <w:sz w:val="20"/>
          <w:szCs w:val="20"/>
        </w:rPr>
        <w:t xml:space="preserve">La </w:t>
      </w:r>
      <w:proofErr w:type="spellStart"/>
      <w:r w:rsidRPr="00DB3058">
        <w:rPr>
          <w:i/>
          <w:sz w:val="20"/>
          <w:szCs w:val="20"/>
        </w:rPr>
        <w:t>Semaine</w:t>
      </w:r>
      <w:proofErr w:type="spellEnd"/>
      <w:r w:rsidRPr="00DB3058">
        <w:rPr>
          <w:i/>
          <w:sz w:val="20"/>
          <w:szCs w:val="20"/>
        </w:rPr>
        <w:t xml:space="preserve"> </w:t>
      </w:r>
      <w:proofErr w:type="spellStart"/>
      <w:r w:rsidRPr="00DB3058">
        <w:rPr>
          <w:i/>
          <w:sz w:val="20"/>
          <w:szCs w:val="20"/>
        </w:rPr>
        <w:t>Juridique</w:t>
      </w:r>
      <w:proofErr w:type="spellEnd"/>
      <w:r w:rsidRPr="00DB3058">
        <w:rPr>
          <w:sz w:val="20"/>
          <w:szCs w:val="20"/>
        </w:rPr>
        <w:t>, Nº 42, 2021, págs. 1903-1905.</w:t>
      </w:r>
    </w:p>
    <w:p w14:paraId="5C730D80" w14:textId="77777777" w:rsidR="00467E42" w:rsidRPr="00DB3058" w:rsidRDefault="00467E42" w:rsidP="00467E42">
      <w:pPr>
        <w:pStyle w:val="Prrafodelista"/>
        <w:spacing w:after="0" w:line="240" w:lineRule="auto"/>
        <w:jc w:val="both"/>
        <w:rPr>
          <w:sz w:val="20"/>
          <w:szCs w:val="20"/>
        </w:rPr>
      </w:pPr>
    </w:p>
    <w:p w14:paraId="44D9C456"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Mínguez Prieto</w:t>
      </w:r>
      <w:r w:rsidRPr="00DB3058">
        <w:rPr>
          <w:sz w:val="20"/>
          <w:szCs w:val="20"/>
        </w:rPr>
        <w:t xml:space="preserve">, R. “El nuevo marco normativo europeo sobre la </w:t>
      </w:r>
      <w:proofErr w:type="spellStart"/>
      <w:r w:rsidRPr="00DB3058">
        <w:rPr>
          <w:sz w:val="20"/>
          <w:szCs w:val="20"/>
        </w:rPr>
        <w:t>titulizacion</w:t>
      </w:r>
      <w:proofErr w:type="spellEnd"/>
      <w:r w:rsidRPr="00DB3058">
        <w:rPr>
          <w:sz w:val="20"/>
          <w:szCs w:val="20"/>
        </w:rPr>
        <w:t xml:space="preserve"> tradicional de préstamos dudosos y sus efectos en la </w:t>
      </w:r>
      <w:proofErr w:type="spellStart"/>
      <w:r w:rsidRPr="00DB3058">
        <w:rPr>
          <w:sz w:val="20"/>
          <w:szCs w:val="20"/>
        </w:rPr>
        <w:t>legislacion</w:t>
      </w:r>
      <w:proofErr w:type="spellEnd"/>
      <w:r w:rsidRPr="00DB3058">
        <w:rPr>
          <w:sz w:val="20"/>
          <w:szCs w:val="20"/>
        </w:rPr>
        <w:t xml:space="preserve"> española”: </w:t>
      </w:r>
      <w:r w:rsidRPr="00DB3058">
        <w:rPr>
          <w:i/>
          <w:sz w:val="20"/>
          <w:szCs w:val="20"/>
        </w:rPr>
        <w:t>Diario La Ley</w:t>
      </w:r>
      <w:r w:rsidRPr="00DB3058">
        <w:rPr>
          <w:sz w:val="20"/>
          <w:szCs w:val="20"/>
        </w:rPr>
        <w:t>, Nº 9941, 2021.</w:t>
      </w:r>
    </w:p>
    <w:p w14:paraId="714DF31A" w14:textId="77777777" w:rsidR="00467E42" w:rsidRPr="00DB3058" w:rsidRDefault="00467E42" w:rsidP="00467E42">
      <w:pPr>
        <w:pStyle w:val="Prrafodelista"/>
        <w:spacing w:after="0" w:line="240" w:lineRule="auto"/>
        <w:jc w:val="both"/>
        <w:rPr>
          <w:sz w:val="20"/>
          <w:szCs w:val="20"/>
        </w:rPr>
      </w:pPr>
    </w:p>
    <w:p w14:paraId="567420C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Mora Astaburuaga</w:t>
      </w:r>
      <w:r w:rsidRPr="00DB3058">
        <w:rPr>
          <w:sz w:val="20"/>
          <w:szCs w:val="20"/>
        </w:rPr>
        <w:t xml:space="preserve">, A. “El acercamiento entre el error vicio del consentimiento y el control de transparencia en busca de la nulidad parcial. Comentario a la STS 666/2020, de 11 de diciembre [(RJ 2020, 4877), (RJ 2020, 4877) (RJ 2020, 4877)]”: </w:t>
      </w:r>
      <w:r w:rsidRPr="00DB3058">
        <w:rPr>
          <w:i/>
          <w:sz w:val="20"/>
          <w:szCs w:val="20"/>
        </w:rPr>
        <w:t xml:space="preserve">Cuadernos </w:t>
      </w:r>
      <w:proofErr w:type="spellStart"/>
      <w:r w:rsidRPr="00DB3058">
        <w:rPr>
          <w:i/>
          <w:sz w:val="20"/>
          <w:szCs w:val="20"/>
        </w:rPr>
        <w:t>Civitas</w:t>
      </w:r>
      <w:proofErr w:type="spellEnd"/>
      <w:r w:rsidRPr="00DB3058">
        <w:rPr>
          <w:i/>
          <w:sz w:val="20"/>
          <w:szCs w:val="20"/>
        </w:rPr>
        <w:t xml:space="preserve"> de jurisprudencia civil</w:t>
      </w:r>
      <w:r w:rsidRPr="00DB3058">
        <w:rPr>
          <w:sz w:val="20"/>
          <w:szCs w:val="20"/>
        </w:rPr>
        <w:t>, Nº 116, 2021, págs. 299-312.</w:t>
      </w:r>
    </w:p>
    <w:p w14:paraId="401B827C" w14:textId="77777777" w:rsidR="00467E42" w:rsidRPr="00DB3058" w:rsidRDefault="00467E42" w:rsidP="00467E42">
      <w:pPr>
        <w:pStyle w:val="Prrafodelista"/>
        <w:spacing w:after="0" w:line="240" w:lineRule="auto"/>
        <w:jc w:val="both"/>
        <w:rPr>
          <w:sz w:val="20"/>
          <w:szCs w:val="20"/>
        </w:rPr>
      </w:pPr>
    </w:p>
    <w:p w14:paraId="7A69AE5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Moralejo Imbernón</w:t>
      </w:r>
      <w:r w:rsidRPr="00DB3058">
        <w:rPr>
          <w:sz w:val="20"/>
          <w:szCs w:val="20"/>
        </w:rPr>
        <w:t xml:space="preserve">, N. I. “Control de transparencia en los préstamos hipotecarios con consumidores en relación con aquellas condiciones generales que versan sobre el objeto principal del contrato. Deberes de información del prestamista en los contratos de venta con subrogación del comprador en la posición del promotor. Comentario a la STS, de 27 de octubre de 2020. (RJ 2020, 4141)”: </w:t>
      </w:r>
      <w:r w:rsidRPr="00DB3058">
        <w:rPr>
          <w:i/>
          <w:sz w:val="20"/>
          <w:szCs w:val="20"/>
        </w:rPr>
        <w:t xml:space="preserve">Cuadernos </w:t>
      </w:r>
      <w:proofErr w:type="spellStart"/>
      <w:r w:rsidRPr="00DB3058">
        <w:rPr>
          <w:i/>
          <w:sz w:val="20"/>
          <w:szCs w:val="20"/>
        </w:rPr>
        <w:t>Civitas</w:t>
      </w:r>
      <w:proofErr w:type="spellEnd"/>
      <w:r w:rsidRPr="00DB3058">
        <w:rPr>
          <w:i/>
          <w:sz w:val="20"/>
          <w:szCs w:val="20"/>
        </w:rPr>
        <w:t xml:space="preserve"> de jurisprudencia civil</w:t>
      </w:r>
      <w:r w:rsidRPr="00DB3058">
        <w:rPr>
          <w:sz w:val="20"/>
          <w:szCs w:val="20"/>
        </w:rPr>
        <w:t>, Nº 116, 2021, págs. 139-166.</w:t>
      </w:r>
    </w:p>
    <w:p w14:paraId="4352B4B2" w14:textId="77777777" w:rsidR="00467E42" w:rsidRPr="00DB3058" w:rsidRDefault="00467E42" w:rsidP="00467E42">
      <w:pPr>
        <w:pStyle w:val="Prrafodelista"/>
        <w:spacing w:after="0" w:line="240" w:lineRule="auto"/>
        <w:jc w:val="both"/>
        <w:rPr>
          <w:sz w:val="20"/>
          <w:szCs w:val="20"/>
        </w:rPr>
      </w:pPr>
    </w:p>
    <w:p w14:paraId="56EAF032"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Moreno-Torres Herrera</w:t>
      </w:r>
      <w:r w:rsidRPr="00DB3058">
        <w:rPr>
          <w:sz w:val="20"/>
          <w:szCs w:val="20"/>
        </w:rPr>
        <w:t xml:space="preserve">, M. L., </w:t>
      </w:r>
      <w:r w:rsidRPr="00DB3058">
        <w:rPr>
          <w:caps/>
          <w:sz w:val="20"/>
          <w:szCs w:val="20"/>
        </w:rPr>
        <w:t>Martens</w:t>
      </w:r>
      <w:r w:rsidRPr="00DB3058">
        <w:rPr>
          <w:sz w:val="20"/>
          <w:szCs w:val="20"/>
        </w:rPr>
        <w:t xml:space="preserve">, I. “Pasado, presente y futuro de la regulación de los arrendamientos de viviendas turísticas en el ordenamiento español”: </w:t>
      </w:r>
      <w:r w:rsidRPr="00DB3058">
        <w:rPr>
          <w:i/>
          <w:sz w:val="20"/>
          <w:szCs w:val="20"/>
        </w:rPr>
        <w:t>Revista Jurídica del Notariado</w:t>
      </w:r>
      <w:r w:rsidRPr="00DB3058">
        <w:rPr>
          <w:sz w:val="20"/>
          <w:szCs w:val="20"/>
        </w:rPr>
        <w:t>, Nº 112, 2021, págs. 271-312.</w:t>
      </w:r>
    </w:p>
    <w:p w14:paraId="0E0D9EB6" w14:textId="77777777" w:rsidR="00467E42" w:rsidRPr="00DB3058" w:rsidRDefault="00467E42" w:rsidP="00467E42">
      <w:pPr>
        <w:pStyle w:val="Prrafodelista"/>
        <w:spacing w:after="0" w:line="240" w:lineRule="auto"/>
        <w:jc w:val="both"/>
        <w:rPr>
          <w:sz w:val="20"/>
          <w:szCs w:val="20"/>
        </w:rPr>
      </w:pPr>
    </w:p>
    <w:p w14:paraId="3B8E58D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Mulder, J.</w:t>
      </w:r>
      <w:r w:rsidRPr="00DB3058">
        <w:rPr>
          <w:sz w:val="20"/>
          <w:szCs w:val="20"/>
        </w:rPr>
        <w:t xml:space="preserve"> “</w:t>
      </w:r>
      <w:proofErr w:type="spellStart"/>
      <w:r w:rsidRPr="00DB3058">
        <w:rPr>
          <w:sz w:val="20"/>
          <w:szCs w:val="20"/>
        </w:rPr>
        <w:t>What</w:t>
      </w:r>
      <w:proofErr w:type="spellEnd"/>
      <w:r w:rsidRPr="00DB3058">
        <w:rPr>
          <w:sz w:val="20"/>
          <w:szCs w:val="20"/>
        </w:rPr>
        <w:t xml:space="preserve"> </w:t>
      </w:r>
      <w:proofErr w:type="spellStart"/>
      <w:r w:rsidRPr="00DB3058">
        <w:rPr>
          <w:sz w:val="20"/>
          <w:szCs w:val="20"/>
        </w:rPr>
        <w:t>is</w:t>
      </w:r>
      <w:proofErr w:type="spellEnd"/>
      <w:r w:rsidRPr="00DB3058">
        <w:rPr>
          <w:sz w:val="20"/>
          <w:szCs w:val="20"/>
        </w:rPr>
        <w:t xml:space="preserve"> </w:t>
      </w:r>
      <w:proofErr w:type="spellStart"/>
      <w:r w:rsidRPr="00DB3058">
        <w:rPr>
          <w:sz w:val="20"/>
          <w:szCs w:val="20"/>
        </w:rPr>
        <w:t>Vulnerability</w:t>
      </w:r>
      <w:proofErr w:type="spellEnd"/>
      <w:r w:rsidRPr="00DB3058">
        <w:rPr>
          <w:sz w:val="20"/>
          <w:szCs w:val="20"/>
        </w:rPr>
        <w:t xml:space="preserve"> </w:t>
      </w:r>
      <w:proofErr w:type="spellStart"/>
      <w:r w:rsidRPr="00DB3058">
        <w:rPr>
          <w:sz w:val="20"/>
          <w:szCs w:val="20"/>
        </w:rPr>
        <w:t>Anyway</w:t>
      </w:r>
      <w:proofErr w:type="spellEnd"/>
      <w:r w:rsidRPr="00DB3058">
        <w:rPr>
          <w:sz w:val="20"/>
          <w:szCs w:val="20"/>
        </w:rPr>
        <w:t xml:space="preserve">? </w:t>
      </w:r>
      <w:proofErr w:type="spellStart"/>
      <w:r w:rsidRPr="00DB3058">
        <w:rPr>
          <w:sz w:val="20"/>
          <w:szCs w:val="20"/>
        </w:rPr>
        <w:t>Tracing</w:t>
      </w:r>
      <w:proofErr w:type="spellEnd"/>
      <w:r w:rsidRPr="00DB3058">
        <w:rPr>
          <w:sz w:val="20"/>
          <w:szCs w:val="20"/>
        </w:rPr>
        <w:t xml:space="preserve"> </w:t>
      </w:r>
      <w:proofErr w:type="spellStart"/>
      <w:r w:rsidRPr="00DB3058">
        <w:rPr>
          <w:sz w:val="20"/>
          <w:szCs w:val="20"/>
        </w:rPr>
        <w:t>the</w:t>
      </w:r>
      <w:proofErr w:type="spellEnd"/>
      <w:r w:rsidRPr="00DB3058">
        <w:rPr>
          <w:sz w:val="20"/>
          <w:szCs w:val="20"/>
        </w:rPr>
        <w:t xml:space="preserve"> EU </w:t>
      </w:r>
      <w:proofErr w:type="spellStart"/>
      <w:r w:rsidRPr="00DB3058">
        <w:rPr>
          <w:sz w:val="20"/>
          <w:szCs w:val="20"/>
        </w:rPr>
        <w:t>Notion</w:t>
      </w:r>
      <w:proofErr w:type="spellEnd"/>
      <w:r w:rsidRPr="00DB3058">
        <w:rPr>
          <w:sz w:val="20"/>
          <w:szCs w:val="20"/>
        </w:rPr>
        <w:t xml:space="preserve"> of </w:t>
      </w:r>
      <w:proofErr w:type="spellStart"/>
      <w:r w:rsidRPr="00DB3058">
        <w:rPr>
          <w:sz w:val="20"/>
          <w:szCs w:val="20"/>
        </w:rPr>
        <w:t>the</w:t>
      </w:r>
      <w:proofErr w:type="spellEnd"/>
      <w:r w:rsidRPr="00DB3058">
        <w:rPr>
          <w:sz w:val="20"/>
          <w:szCs w:val="20"/>
        </w:rPr>
        <w:t xml:space="preserve"> Vulnerable </w:t>
      </w:r>
      <w:proofErr w:type="spellStart"/>
      <w:r w:rsidRPr="00DB3058">
        <w:rPr>
          <w:sz w:val="20"/>
          <w:szCs w:val="20"/>
        </w:rPr>
        <w:t>Consumer</w:t>
      </w:r>
      <w:proofErr w:type="spellEnd"/>
      <w:r w:rsidRPr="00DB3058">
        <w:rPr>
          <w:sz w:val="20"/>
          <w:szCs w:val="20"/>
        </w:rPr>
        <w:t xml:space="preserve"> </w:t>
      </w:r>
      <w:proofErr w:type="spellStart"/>
      <w:r w:rsidRPr="00DB3058">
        <w:rPr>
          <w:sz w:val="20"/>
          <w:szCs w:val="20"/>
        </w:rPr>
        <w:t>through</w:t>
      </w:r>
      <w:proofErr w:type="spellEnd"/>
      <w:r w:rsidRPr="00DB3058">
        <w:rPr>
          <w:sz w:val="20"/>
          <w:szCs w:val="20"/>
        </w:rPr>
        <w:t xml:space="preserve"> </w:t>
      </w:r>
      <w:proofErr w:type="spellStart"/>
      <w:r w:rsidRPr="00DB3058">
        <w:rPr>
          <w:sz w:val="20"/>
          <w:szCs w:val="20"/>
        </w:rPr>
        <w:t>the</w:t>
      </w:r>
      <w:proofErr w:type="spellEnd"/>
      <w:r w:rsidRPr="00DB3058">
        <w:rPr>
          <w:sz w:val="20"/>
          <w:szCs w:val="20"/>
        </w:rPr>
        <w:t xml:space="preserve"> </w:t>
      </w:r>
      <w:proofErr w:type="spellStart"/>
      <w:r w:rsidRPr="00DB3058">
        <w:rPr>
          <w:sz w:val="20"/>
          <w:szCs w:val="20"/>
        </w:rPr>
        <w:t>Eyes</w:t>
      </w:r>
      <w:proofErr w:type="spellEnd"/>
      <w:r w:rsidRPr="00DB3058">
        <w:rPr>
          <w:sz w:val="20"/>
          <w:szCs w:val="20"/>
        </w:rPr>
        <w:t xml:space="preserve"> of EU Non-</w:t>
      </w:r>
      <w:proofErr w:type="spellStart"/>
      <w:r w:rsidRPr="00DB3058">
        <w:rPr>
          <w:sz w:val="20"/>
          <w:szCs w:val="20"/>
        </w:rPr>
        <w:t>discrimination</w:t>
      </w:r>
      <w:proofErr w:type="spellEnd"/>
      <w:r w:rsidRPr="00DB3058">
        <w:rPr>
          <w:sz w:val="20"/>
          <w:szCs w:val="20"/>
        </w:rPr>
        <w:t xml:space="preserve"> </w:t>
      </w:r>
      <w:proofErr w:type="spellStart"/>
      <w:r w:rsidRPr="00DB3058">
        <w:rPr>
          <w:sz w:val="20"/>
          <w:szCs w:val="20"/>
        </w:rPr>
        <w:t>Law</w:t>
      </w:r>
      <w:proofErr w:type="spellEnd"/>
      <w:r w:rsidRPr="00DB3058">
        <w:rPr>
          <w:sz w:val="20"/>
          <w:szCs w:val="20"/>
        </w:rPr>
        <w:t xml:space="preserve">”: </w:t>
      </w:r>
      <w:proofErr w:type="spellStart"/>
      <w:r w:rsidRPr="00DB3058">
        <w:rPr>
          <w:i/>
          <w:sz w:val="20"/>
          <w:szCs w:val="20"/>
        </w:rPr>
        <w:t>European</w:t>
      </w:r>
      <w:proofErr w:type="spellEnd"/>
      <w:r w:rsidRPr="00DB3058">
        <w:rPr>
          <w:i/>
          <w:sz w:val="20"/>
          <w:szCs w:val="20"/>
        </w:rPr>
        <w:t xml:space="preserve"> </w:t>
      </w:r>
      <w:proofErr w:type="spellStart"/>
      <w:r w:rsidRPr="00DB3058">
        <w:rPr>
          <w:i/>
          <w:sz w:val="20"/>
          <w:szCs w:val="20"/>
        </w:rPr>
        <w:t>law</w:t>
      </w:r>
      <w:proofErr w:type="spellEnd"/>
      <w:r w:rsidRPr="00DB3058">
        <w:rPr>
          <w:i/>
          <w:sz w:val="20"/>
          <w:szCs w:val="20"/>
        </w:rPr>
        <w:t xml:space="preserve"> </w:t>
      </w:r>
      <w:proofErr w:type="spellStart"/>
      <w:r w:rsidRPr="00DB3058">
        <w:rPr>
          <w:i/>
          <w:sz w:val="20"/>
          <w:szCs w:val="20"/>
        </w:rPr>
        <w:t>review</w:t>
      </w:r>
      <w:proofErr w:type="spellEnd"/>
      <w:r w:rsidRPr="00DB3058">
        <w:rPr>
          <w:sz w:val="20"/>
          <w:szCs w:val="20"/>
        </w:rPr>
        <w:t>, Nº 6, 2021, págs. 719-745.</w:t>
      </w:r>
    </w:p>
    <w:p w14:paraId="5EF36787" w14:textId="77777777" w:rsidR="00467E42" w:rsidRPr="00DB3058" w:rsidRDefault="00467E42" w:rsidP="00467E42">
      <w:pPr>
        <w:pStyle w:val="Prrafodelista"/>
        <w:spacing w:after="0" w:line="240" w:lineRule="auto"/>
        <w:jc w:val="both"/>
        <w:rPr>
          <w:sz w:val="20"/>
          <w:szCs w:val="20"/>
        </w:rPr>
      </w:pPr>
    </w:p>
    <w:p w14:paraId="3AD7990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Murillo Piquer, I.</w:t>
      </w:r>
      <w:r w:rsidRPr="00DB3058">
        <w:rPr>
          <w:sz w:val="20"/>
          <w:szCs w:val="20"/>
        </w:rPr>
        <w:t xml:space="preserve"> M. “Los acuerdos de refinanciación y sus acreedores determinantes. Breve análisis en materia </w:t>
      </w:r>
      <w:proofErr w:type="spellStart"/>
      <w:r w:rsidRPr="00DB3058">
        <w:rPr>
          <w:sz w:val="20"/>
          <w:szCs w:val="20"/>
        </w:rPr>
        <w:t>preconcursal</w:t>
      </w:r>
      <w:proofErr w:type="spellEnd"/>
      <w:r w:rsidRPr="00DB3058">
        <w:rPr>
          <w:sz w:val="20"/>
          <w:szCs w:val="20"/>
        </w:rPr>
        <w:t xml:space="preserve"> del anteproyecto de ley de reforma del TRLC y de la Directiva de la UE 2019/1023”: </w:t>
      </w:r>
      <w:r w:rsidRPr="00DB3058">
        <w:rPr>
          <w:i/>
          <w:sz w:val="20"/>
          <w:szCs w:val="20"/>
        </w:rPr>
        <w:t>Diario La Ley</w:t>
      </w:r>
      <w:r w:rsidRPr="00DB3058">
        <w:rPr>
          <w:sz w:val="20"/>
          <w:szCs w:val="20"/>
        </w:rPr>
        <w:t>, Nº 9957, 2021.</w:t>
      </w:r>
    </w:p>
    <w:p w14:paraId="7C17A751" w14:textId="77777777" w:rsidR="00467E42" w:rsidRPr="00DB3058" w:rsidRDefault="00467E42" w:rsidP="00467E42">
      <w:pPr>
        <w:pStyle w:val="Prrafodelista"/>
        <w:spacing w:after="0" w:line="240" w:lineRule="auto"/>
        <w:jc w:val="both"/>
        <w:rPr>
          <w:sz w:val="20"/>
          <w:szCs w:val="20"/>
        </w:rPr>
      </w:pPr>
    </w:p>
    <w:p w14:paraId="327ACA95"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Nadal Gómez</w:t>
      </w:r>
      <w:r w:rsidRPr="00DB3058">
        <w:rPr>
          <w:sz w:val="20"/>
          <w:szCs w:val="20"/>
        </w:rPr>
        <w:t>, I. “Ejecución forzosa y "</w:t>
      </w:r>
      <w:proofErr w:type="spellStart"/>
      <w:r w:rsidRPr="00DB3058">
        <w:rPr>
          <w:sz w:val="20"/>
          <w:szCs w:val="20"/>
        </w:rPr>
        <w:t>blockchain</w:t>
      </w:r>
      <w:proofErr w:type="spellEnd"/>
      <w:r w:rsidRPr="00DB3058">
        <w:rPr>
          <w:sz w:val="20"/>
          <w:szCs w:val="20"/>
        </w:rPr>
        <w:t xml:space="preserve">": panorámica general con especial atención a las monedas virtuales”: </w:t>
      </w:r>
      <w:r w:rsidRPr="00DB3058">
        <w:rPr>
          <w:i/>
          <w:sz w:val="20"/>
          <w:szCs w:val="20"/>
        </w:rPr>
        <w:t>Revista Jurídica del Notariado</w:t>
      </w:r>
      <w:r w:rsidRPr="00DB3058">
        <w:rPr>
          <w:sz w:val="20"/>
          <w:szCs w:val="20"/>
        </w:rPr>
        <w:t>, Nº 112, 2021, págs. 313-374.</w:t>
      </w:r>
    </w:p>
    <w:p w14:paraId="2BBA8F38" w14:textId="77777777" w:rsidR="00467E42" w:rsidRPr="00DB3058" w:rsidRDefault="00467E42" w:rsidP="00467E42">
      <w:pPr>
        <w:pStyle w:val="Prrafodelista"/>
        <w:spacing w:after="0" w:line="240" w:lineRule="auto"/>
        <w:jc w:val="both"/>
        <w:rPr>
          <w:sz w:val="20"/>
          <w:szCs w:val="20"/>
        </w:rPr>
      </w:pPr>
    </w:p>
    <w:p w14:paraId="2F15300F"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Navas Navarro, S.</w:t>
      </w:r>
      <w:r w:rsidRPr="00DB3058">
        <w:rPr>
          <w:sz w:val="20"/>
          <w:szCs w:val="20"/>
        </w:rPr>
        <w:t xml:space="preserve"> “El suministro en línea de contenido digital en la encrucijada entre la propiedad intelectual y el derecho de consumo”:</w:t>
      </w:r>
      <w:r w:rsidRPr="00DB3058">
        <w:rPr>
          <w:i/>
          <w:sz w:val="20"/>
          <w:szCs w:val="20"/>
        </w:rPr>
        <w:t xml:space="preserve"> Actas de Derecho Industrial y Derecho de Autor</w:t>
      </w:r>
      <w:r w:rsidRPr="00DB3058">
        <w:rPr>
          <w:sz w:val="20"/>
          <w:szCs w:val="20"/>
        </w:rPr>
        <w:t xml:space="preserve">, Tomo XLI (2020-2021), págs.  133-153. </w:t>
      </w:r>
    </w:p>
    <w:p w14:paraId="5AE18BAF" w14:textId="77777777" w:rsidR="00467E42" w:rsidRPr="00DB3058" w:rsidRDefault="00467E42" w:rsidP="00467E42">
      <w:pPr>
        <w:pStyle w:val="Prrafodelista"/>
        <w:spacing w:after="0" w:line="240" w:lineRule="auto"/>
        <w:jc w:val="both"/>
        <w:rPr>
          <w:sz w:val="20"/>
          <w:szCs w:val="20"/>
        </w:rPr>
      </w:pPr>
    </w:p>
    <w:p w14:paraId="19B8A96B"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Núñez Zorrilla, M. C</w:t>
      </w:r>
      <w:r w:rsidRPr="00DB3058">
        <w:rPr>
          <w:sz w:val="20"/>
          <w:szCs w:val="20"/>
        </w:rPr>
        <w:t xml:space="preserve">. “Los nuevos avances en la regulación europea de la responsabilidad civil por los daños ocasionados en el ámbito del transporte con inteligencia artificial”: </w:t>
      </w:r>
      <w:r w:rsidRPr="00DB3058">
        <w:rPr>
          <w:i/>
          <w:sz w:val="20"/>
          <w:szCs w:val="20"/>
        </w:rPr>
        <w:t>REDE. Revista española de derecho europeo</w:t>
      </w:r>
      <w:r w:rsidRPr="00DB3058">
        <w:rPr>
          <w:sz w:val="20"/>
          <w:szCs w:val="20"/>
        </w:rPr>
        <w:t>, Nº. 78-79, 2021, págs. 201-255.</w:t>
      </w:r>
    </w:p>
    <w:p w14:paraId="5C48367A" w14:textId="77777777" w:rsidR="00467E42" w:rsidRPr="00DB3058" w:rsidRDefault="00467E42" w:rsidP="00467E42">
      <w:pPr>
        <w:pStyle w:val="Prrafodelista"/>
        <w:spacing w:after="0" w:line="240" w:lineRule="auto"/>
        <w:jc w:val="both"/>
        <w:rPr>
          <w:sz w:val="20"/>
          <w:szCs w:val="20"/>
        </w:rPr>
      </w:pPr>
    </w:p>
    <w:p w14:paraId="595EC08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Ortega Giménez</w:t>
      </w:r>
      <w:r w:rsidRPr="00DB3058">
        <w:rPr>
          <w:sz w:val="20"/>
          <w:szCs w:val="20"/>
        </w:rPr>
        <w:t xml:space="preserve">, A. “Decisiones relativas a las cláusulas contractuales tipo para las transferencias internacionales de datos personales a terceros países y entre los responsables y encargados del tratamiento”: </w:t>
      </w:r>
      <w:r w:rsidRPr="00DB3058">
        <w:rPr>
          <w:i/>
          <w:sz w:val="20"/>
          <w:szCs w:val="20"/>
        </w:rPr>
        <w:t>La Ley privacidad</w:t>
      </w:r>
      <w:r w:rsidRPr="00DB3058">
        <w:rPr>
          <w:sz w:val="20"/>
          <w:szCs w:val="20"/>
        </w:rPr>
        <w:t>, Nº. 9, 2021.</w:t>
      </w:r>
    </w:p>
    <w:p w14:paraId="230D15EC" w14:textId="77777777" w:rsidR="00467E42" w:rsidRPr="00DB3058" w:rsidRDefault="00467E42" w:rsidP="00467E42">
      <w:pPr>
        <w:pStyle w:val="Prrafodelista"/>
        <w:spacing w:after="0" w:line="240" w:lineRule="auto"/>
        <w:jc w:val="both"/>
        <w:rPr>
          <w:sz w:val="20"/>
          <w:szCs w:val="20"/>
        </w:rPr>
      </w:pPr>
    </w:p>
    <w:p w14:paraId="480EC385"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Ortiz Pradillo, J. C.</w:t>
      </w:r>
      <w:r w:rsidRPr="00DB3058">
        <w:rPr>
          <w:sz w:val="20"/>
          <w:szCs w:val="20"/>
        </w:rPr>
        <w:t xml:space="preserve"> “Big Data, vigilancias policiales y geolocalización: nuevas dimensiones de los derechos fundamentales en el proceso penal”: </w:t>
      </w:r>
      <w:r w:rsidRPr="00DB3058">
        <w:rPr>
          <w:i/>
          <w:sz w:val="20"/>
          <w:szCs w:val="20"/>
        </w:rPr>
        <w:t>Diario La Ley</w:t>
      </w:r>
      <w:r w:rsidRPr="00DB3058">
        <w:rPr>
          <w:sz w:val="20"/>
          <w:szCs w:val="20"/>
        </w:rPr>
        <w:t>, Nº 9955, 2021.</w:t>
      </w:r>
    </w:p>
    <w:p w14:paraId="796F9569" w14:textId="77777777" w:rsidR="00467E42" w:rsidRPr="00DB3058" w:rsidRDefault="00467E42" w:rsidP="00467E42">
      <w:pPr>
        <w:pStyle w:val="Prrafodelista"/>
        <w:spacing w:after="0" w:line="240" w:lineRule="auto"/>
        <w:jc w:val="both"/>
        <w:rPr>
          <w:sz w:val="20"/>
          <w:szCs w:val="20"/>
        </w:rPr>
      </w:pPr>
    </w:p>
    <w:p w14:paraId="48C3E404"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Pellier, J. D</w:t>
      </w:r>
      <w:r w:rsidRPr="00DB3058">
        <w:rPr>
          <w:sz w:val="20"/>
          <w:szCs w:val="20"/>
        </w:rPr>
        <w:t xml:space="preserve">. “Les </w:t>
      </w:r>
      <w:proofErr w:type="spellStart"/>
      <w:r w:rsidRPr="00DB3058">
        <w:rPr>
          <w:sz w:val="20"/>
          <w:szCs w:val="20"/>
        </w:rPr>
        <w:t>dispositions</w:t>
      </w:r>
      <w:proofErr w:type="spellEnd"/>
      <w:r w:rsidRPr="00DB3058">
        <w:rPr>
          <w:sz w:val="20"/>
          <w:szCs w:val="20"/>
        </w:rPr>
        <w:t xml:space="preserve"> </w:t>
      </w:r>
      <w:proofErr w:type="spellStart"/>
      <w:r w:rsidRPr="00DB3058">
        <w:rPr>
          <w:sz w:val="20"/>
          <w:szCs w:val="20"/>
        </w:rPr>
        <w:t>générales</w:t>
      </w:r>
      <w:proofErr w:type="spellEnd"/>
      <w:r w:rsidRPr="00DB3058">
        <w:rPr>
          <w:sz w:val="20"/>
          <w:szCs w:val="20"/>
        </w:rPr>
        <w:t xml:space="preserve"> </w:t>
      </w:r>
      <w:proofErr w:type="spellStart"/>
      <w:r w:rsidRPr="00DB3058">
        <w:rPr>
          <w:sz w:val="20"/>
          <w:szCs w:val="20"/>
        </w:rPr>
        <w:t>relatives</w:t>
      </w:r>
      <w:proofErr w:type="spellEnd"/>
      <w:r w:rsidRPr="00DB3058">
        <w:rPr>
          <w:sz w:val="20"/>
          <w:szCs w:val="20"/>
        </w:rPr>
        <w:t xml:space="preserve"> </w:t>
      </w:r>
      <w:proofErr w:type="spellStart"/>
      <w:r w:rsidRPr="00DB3058">
        <w:rPr>
          <w:sz w:val="20"/>
          <w:szCs w:val="20"/>
        </w:rPr>
        <w:t>aux</w:t>
      </w:r>
      <w:proofErr w:type="spellEnd"/>
      <w:r w:rsidRPr="00DB3058">
        <w:rPr>
          <w:sz w:val="20"/>
          <w:szCs w:val="20"/>
        </w:rPr>
        <w:t xml:space="preserve"> </w:t>
      </w:r>
      <w:proofErr w:type="spellStart"/>
      <w:r w:rsidRPr="00DB3058">
        <w:rPr>
          <w:sz w:val="20"/>
          <w:szCs w:val="20"/>
        </w:rPr>
        <w:t>sûretés</w:t>
      </w:r>
      <w:proofErr w:type="spellEnd"/>
      <w:r w:rsidRPr="00DB3058">
        <w:rPr>
          <w:sz w:val="20"/>
          <w:szCs w:val="20"/>
        </w:rPr>
        <w:t xml:space="preserve"> </w:t>
      </w:r>
      <w:proofErr w:type="spellStart"/>
      <w:r w:rsidRPr="00DB3058">
        <w:rPr>
          <w:sz w:val="20"/>
          <w:szCs w:val="20"/>
        </w:rPr>
        <w:t>réelles</w:t>
      </w:r>
      <w:proofErr w:type="spellEnd"/>
      <w:r w:rsidRPr="00DB3058">
        <w:rPr>
          <w:sz w:val="20"/>
          <w:szCs w:val="20"/>
        </w:rPr>
        <w:t xml:space="preserve">”: </w:t>
      </w:r>
      <w:r w:rsidRPr="00DB3058">
        <w:rPr>
          <w:i/>
          <w:sz w:val="20"/>
          <w:szCs w:val="20"/>
        </w:rPr>
        <w:t xml:space="preserve">La </w:t>
      </w:r>
      <w:proofErr w:type="spellStart"/>
      <w:r w:rsidRPr="00DB3058">
        <w:rPr>
          <w:i/>
          <w:sz w:val="20"/>
          <w:szCs w:val="20"/>
        </w:rPr>
        <w:t>Semaine</w:t>
      </w:r>
      <w:proofErr w:type="spellEnd"/>
      <w:r w:rsidRPr="00DB3058">
        <w:rPr>
          <w:i/>
          <w:sz w:val="20"/>
          <w:szCs w:val="20"/>
        </w:rPr>
        <w:t xml:space="preserve"> </w:t>
      </w:r>
      <w:proofErr w:type="spellStart"/>
      <w:r w:rsidRPr="00DB3058">
        <w:rPr>
          <w:i/>
          <w:sz w:val="20"/>
          <w:szCs w:val="20"/>
        </w:rPr>
        <w:t>Juridique</w:t>
      </w:r>
      <w:proofErr w:type="spellEnd"/>
      <w:r w:rsidRPr="00DB3058">
        <w:rPr>
          <w:sz w:val="20"/>
          <w:szCs w:val="20"/>
        </w:rPr>
        <w:t xml:space="preserve">, Nº Extra 43-44, 2021 (Ejemplar dedicado a: </w:t>
      </w:r>
      <w:proofErr w:type="spellStart"/>
      <w:r w:rsidRPr="00DB3058">
        <w:rPr>
          <w:sz w:val="20"/>
          <w:szCs w:val="20"/>
        </w:rPr>
        <w:t>Réforme</w:t>
      </w:r>
      <w:proofErr w:type="spellEnd"/>
      <w:r w:rsidRPr="00DB3058">
        <w:rPr>
          <w:sz w:val="20"/>
          <w:szCs w:val="20"/>
        </w:rPr>
        <w:t xml:space="preserve"> du </w:t>
      </w:r>
      <w:proofErr w:type="spellStart"/>
      <w:r w:rsidRPr="00DB3058">
        <w:rPr>
          <w:sz w:val="20"/>
          <w:szCs w:val="20"/>
        </w:rPr>
        <w:t>droit</w:t>
      </w:r>
      <w:proofErr w:type="spellEnd"/>
      <w:r w:rsidRPr="00DB3058">
        <w:rPr>
          <w:sz w:val="20"/>
          <w:szCs w:val="20"/>
        </w:rPr>
        <w:t xml:space="preserve"> des </w:t>
      </w:r>
      <w:proofErr w:type="spellStart"/>
      <w:r w:rsidRPr="00DB3058">
        <w:rPr>
          <w:sz w:val="20"/>
          <w:szCs w:val="20"/>
        </w:rPr>
        <w:t>sûretés</w:t>
      </w:r>
      <w:proofErr w:type="spellEnd"/>
      <w:r w:rsidRPr="00DB3058">
        <w:rPr>
          <w:sz w:val="20"/>
          <w:szCs w:val="20"/>
        </w:rPr>
        <w:t>), págs. 30-33.</w:t>
      </w:r>
    </w:p>
    <w:p w14:paraId="1E0F457F" w14:textId="77777777" w:rsidR="00467E42" w:rsidRPr="00DB3058" w:rsidRDefault="00467E42" w:rsidP="00467E42">
      <w:pPr>
        <w:pStyle w:val="Prrafodelista"/>
        <w:spacing w:after="0" w:line="240" w:lineRule="auto"/>
        <w:jc w:val="both"/>
        <w:rPr>
          <w:sz w:val="20"/>
          <w:szCs w:val="20"/>
        </w:rPr>
      </w:pPr>
    </w:p>
    <w:p w14:paraId="4AE9DD05"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Pérez Moreno</w:t>
      </w:r>
      <w:r w:rsidRPr="00DB3058">
        <w:rPr>
          <w:sz w:val="20"/>
          <w:szCs w:val="20"/>
        </w:rPr>
        <w:t xml:space="preserve">, J. C. “El Tribunal Supremo pregunta al TJUE sobre el inicio de la prescripción de las acciones de restitución de lo pagado en aplicación de una cláusula abusiva”: </w:t>
      </w:r>
      <w:r w:rsidRPr="00DB3058">
        <w:rPr>
          <w:i/>
          <w:sz w:val="20"/>
          <w:szCs w:val="20"/>
        </w:rPr>
        <w:t>Diario La Ley</w:t>
      </w:r>
      <w:r w:rsidRPr="00DB3058">
        <w:rPr>
          <w:sz w:val="20"/>
          <w:szCs w:val="20"/>
        </w:rPr>
        <w:t>, Nº 9941, 2021.</w:t>
      </w:r>
    </w:p>
    <w:p w14:paraId="08D0F863" w14:textId="77777777" w:rsidR="00467E42" w:rsidRPr="00DB3058" w:rsidRDefault="00467E42" w:rsidP="00467E42">
      <w:pPr>
        <w:pStyle w:val="Prrafodelista"/>
        <w:spacing w:after="0" w:line="240" w:lineRule="auto"/>
        <w:jc w:val="both"/>
        <w:rPr>
          <w:sz w:val="20"/>
          <w:szCs w:val="20"/>
        </w:rPr>
      </w:pPr>
    </w:p>
    <w:p w14:paraId="53D5B33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Peris Brines, N., Matei, R., Cervera Navas</w:t>
      </w:r>
      <w:r w:rsidRPr="00DB3058">
        <w:rPr>
          <w:sz w:val="20"/>
          <w:szCs w:val="20"/>
        </w:rPr>
        <w:t xml:space="preserve">, L. “La protección de datos en un nuevo ciclo de transformación digital”: </w:t>
      </w:r>
      <w:r w:rsidRPr="00DB3058">
        <w:rPr>
          <w:i/>
          <w:sz w:val="20"/>
          <w:szCs w:val="20"/>
        </w:rPr>
        <w:t>La Ley privacidad</w:t>
      </w:r>
      <w:r w:rsidRPr="00DB3058">
        <w:rPr>
          <w:sz w:val="20"/>
          <w:szCs w:val="20"/>
        </w:rPr>
        <w:t>, Nº. 9, 2021.</w:t>
      </w:r>
    </w:p>
    <w:p w14:paraId="48487F12" w14:textId="77777777" w:rsidR="00467E42" w:rsidRPr="00DB3058" w:rsidRDefault="00467E42" w:rsidP="00467E42">
      <w:pPr>
        <w:pStyle w:val="Prrafodelista"/>
        <w:spacing w:after="0" w:line="240" w:lineRule="auto"/>
        <w:jc w:val="both"/>
        <w:rPr>
          <w:sz w:val="20"/>
          <w:szCs w:val="20"/>
        </w:rPr>
      </w:pPr>
    </w:p>
    <w:p w14:paraId="203FC3B0"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Rubio Vicente,</w:t>
      </w:r>
      <w:r w:rsidRPr="00DB3058">
        <w:rPr>
          <w:sz w:val="20"/>
          <w:szCs w:val="20"/>
        </w:rPr>
        <w:t xml:space="preserve"> P. J. “Impugnación y revocación de la exoneración del pasivo insatisfecho en el Anteproyecto de Ley de reforma del Texto refundido de la Ley Concursal”: </w:t>
      </w:r>
      <w:r w:rsidRPr="00DB3058">
        <w:rPr>
          <w:i/>
          <w:sz w:val="20"/>
          <w:szCs w:val="20"/>
        </w:rPr>
        <w:t xml:space="preserve">Revista General de Insolvencias &amp; Reestructuraciones: </w:t>
      </w:r>
      <w:proofErr w:type="spellStart"/>
      <w:r w:rsidRPr="00DB3058">
        <w:rPr>
          <w:i/>
          <w:sz w:val="20"/>
          <w:szCs w:val="20"/>
        </w:rPr>
        <w:t>Journal</w:t>
      </w:r>
      <w:proofErr w:type="spellEnd"/>
      <w:r w:rsidRPr="00DB3058">
        <w:rPr>
          <w:i/>
          <w:sz w:val="20"/>
          <w:szCs w:val="20"/>
        </w:rPr>
        <w:t xml:space="preserve"> of </w:t>
      </w:r>
      <w:proofErr w:type="spellStart"/>
      <w:r w:rsidRPr="00DB3058">
        <w:rPr>
          <w:i/>
          <w:sz w:val="20"/>
          <w:szCs w:val="20"/>
        </w:rPr>
        <w:t>Insolvency</w:t>
      </w:r>
      <w:proofErr w:type="spellEnd"/>
      <w:r w:rsidRPr="00DB3058">
        <w:rPr>
          <w:i/>
          <w:sz w:val="20"/>
          <w:szCs w:val="20"/>
        </w:rPr>
        <w:t xml:space="preserve"> &amp; </w:t>
      </w:r>
      <w:proofErr w:type="spellStart"/>
      <w:r w:rsidRPr="00DB3058">
        <w:rPr>
          <w:i/>
          <w:sz w:val="20"/>
          <w:szCs w:val="20"/>
        </w:rPr>
        <w:t>Restructuring</w:t>
      </w:r>
      <w:proofErr w:type="spellEnd"/>
      <w:r w:rsidRPr="00DB3058">
        <w:rPr>
          <w:i/>
          <w:sz w:val="20"/>
          <w:szCs w:val="20"/>
        </w:rPr>
        <w:t xml:space="preserve"> (I&amp;R)</w:t>
      </w:r>
      <w:r w:rsidRPr="00DB3058">
        <w:rPr>
          <w:sz w:val="20"/>
          <w:szCs w:val="20"/>
        </w:rPr>
        <w:t>, Nº. 4, 2021, págs. 179-202.</w:t>
      </w:r>
    </w:p>
    <w:p w14:paraId="4942EADD" w14:textId="77777777" w:rsidR="00467E42" w:rsidRPr="00DB3058" w:rsidRDefault="00467E42" w:rsidP="00467E42">
      <w:pPr>
        <w:pStyle w:val="Prrafodelista"/>
        <w:spacing w:after="0" w:line="240" w:lineRule="auto"/>
        <w:jc w:val="both"/>
        <w:rPr>
          <w:sz w:val="20"/>
          <w:szCs w:val="20"/>
        </w:rPr>
      </w:pPr>
    </w:p>
    <w:p w14:paraId="2738F56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Albarrán, O., Giménez Vivancos, C., Díaz Alsina</w:t>
      </w:r>
      <w:r w:rsidRPr="00DB3058">
        <w:rPr>
          <w:sz w:val="20"/>
          <w:szCs w:val="20"/>
        </w:rPr>
        <w:t xml:space="preserve">, C. “Protección de Datos Personales: el interés legítimo, guía para poder utilizar los datos de los clientes sin su consentimiento”: </w:t>
      </w:r>
      <w:r w:rsidRPr="00DB3058">
        <w:rPr>
          <w:i/>
          <w:sz w:val="20"/>
          <w:szCs w:val="20"/>
        </w:rPr>
        <w:t>La Ley privacidad</w:t>
      </w:r>
      <w:r w:rsidRPr="00DB3058">
        <w:rPr>
          <w:sz w:val="20"/>
          <w:szCs w:val="20"/>
        </w:rPr>
        <w:t>, Nº. 9, 2021.</w:t>
      </w:r>
    </w:p>
    <w:p w14:paraId="4F2B5772" w14:textId="77777777" w:rsidR="00467E42" w:rsidRPr="00DB3058" w:rsidRDefault="00467E42" w:rsidP="00467E42">
      <w:pPr>
        <w:pStyle w:val="Prrafodelista"/>
        <w:spacing w:after="0" w:line="240" w:lineRule="auto"/>
        <w:jc w:val="both"/>
        <w:rPr>
          <w:sz w:val="20"/>
          <w:szCs w:val="20"/>
        </w:rPr>
      </w:pPr>
    </w:p>
    <w:p w14:paraId="4CC680E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Calero, J</w:t>
      </w:r>
      <w:r w:rsidRPr="00DB3058">
        <w:rPr>
          <w:sz w:val="20"/>
          <w:szCs w:val="20"/>
        </w:rPr>
        <w:t xml:space="preserve">. “La modificación del deber de diligencia”: </w:t>
      </w:r>
      <w:r w:rsidRPr="00DB3058">
        <w:rPr>
          <w:i/>
          <w:sz w:val="20"/>
          <w:szCs w:val="20"/>
        </w:rPr>
        <w:t>Revista de derecho bancario y bursátil</w:t>
      </w:r>
      <w:r w:rsidRPr="00DB3058">
        <w:rPr>
          <w:sz w:val="20"/>
          <w:szCs w:val="20"/>
        </w:rPr>
        <w:t>, Año nº 40, Nº 163, 2021, págs. 231-278.</w:t>
      </w:r>
    </w:p>
    <w:p w14:paraId="764B6173" w14:textId="77777777" w:rsidR="00467E42" w:rsidRPr="00DB3058" w:rsidRDefault="00467E42" w:rsidP="00467E42">
      <w:pPr>
        <w:pStyle w:val="Prrafodelista"/>
        <w:spacing w:after="0" w:line="240" w:lineRule="auto"/>
        <w:jc w:val="both"/>
        <w:rPr>
          <w:sz w:val="20"/>
          <w:szCs w:val="20"/>
        </w:rPr>
      </w:pPr>
    </w:p>
    <w:p w14:paraId="44E6629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García, J. M</w:t>
      </w:r>
      <w:r w:rsidRPr="00DB3058">
        <w:rPr>
          <w:sz w:val="20"/>
          <w:szCs w:val="20"/>
        </w:rPr>
        <w:t xml:space="preserve">. “Cuándo debe considerarse un interés notablemente superior al normal del dinero en un crédito </w:t>
      </w:r>
      <w:proofErr w:type="spellStart"/>
      <w:r w:rsidRPr="00DB3058">
        <w:rPr>
          <w:sz w:val="20"/>
          <w:szCs w:val="20"/>
        </w:rPr>
        <w:t>revolving</w:t>
      </w:r>
      <w:proofErr w:type="spellEnd"/>
      <w:r w:rsidRPr="00DB3058">
        <w:rPr>
          <w:sz w:val="20"/>
          <w:szCs w:val="20"/>
        </w:rPr>
        <w:t xml:space="preserve">, conforme la sentencia de la Sala 1ª del TS de 4 de marzo de 2020”: </w:t>
      </w:r>
      <w:r w:rsidRPr="00DB3058">
        <w:rPr>
          <w:i/>
          <w:sz w:val="20"/>
          <w:szCs w:val="20"/>
        </w:rPr>
        <w:t xml:space="preserve">Revista de Derecho </w:t>
      </w:r>
      <w:proofErr w:type="spellStart"/>
      <w:r w:rsidRPr="00DB3058">
        <w:rPr>
          <w:i/>
          <w:sz w:val="20"/>
          <w:szCs w:val="20"/>
        </w:rPr>
        <w:t>vLex</w:t>
      </w:r>
      <w:proofErr w:type="spellEnd"/>
      <w:r w:rsidRPr="00DB3058">
        <w:rPr>
          <w:sz w:val="20"/>
          <w:szCs w:val="20"/>
        </w:rPr>
        <w:t xml:space="preserve">, Nº 211, Diciembre 2021. </w:t>
      </w:r>
    </w:p>
    <w:p w14:paraId="55608D86" w14:textId="77777777" w:rsidR="00467E42" w:rsidRPr="00DB3058" w:rsidRDefault="00467E42" w:rsidP="00467E42">
      <w:pPr>
        <w:pStyle w:val="Prrafodelista"/>
        <w:spacing w:after="0" w:line="240" w:lineRule="auto"/>
        <w:jc w:val="both"/>
        <w:rPr>
          <w:sz w:val="20"/>
          <w:szCs w:val="20"/>
        </w:rPr>
      </w:pPr>
    </w:p>
    <w:p w14:paraId="74222BA3"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García, J. M</w:t>
      </w:r>
      <w:r w:rsidRPr="00DB3058">
        <w:rPr>
          <w:sz w:val="20"/>
          <w:szCs w:val="20"/>
        </w:rPr>
        <w:t xml:space="preserve">. “La inseguridad jurídica generada por la doctrina de la Sala 1ª del TS, en materia de consumidores, especialmente en créditos </w:t>
      </w:r>
      <w:proofErr w:type="spellStart"/>
      <w:r w:rsidRPr="00DB3058">
        <w:rPr>
          <w:sz w:val="20"/>
          <w:szCs w:val="20"/>
        </w:rPr>
        <w:t>revolving</w:t>
      </w:r>
      <w:proofErr w:type="spellEnd"/>
      <w:r w:rsidRPr="00DB3058">
        <w:rPr>
          <w:sz w:val="20"/>
          <w:szCs w:val="20"/>
        </w:rPr>
        <w:t xml:space="preserve">, conduce a un nuevo nicho de mercado para los fondos de inversión”: </w:t>
      </w:r>
      <w:r w:rsidRPr="00DB3058">
        <w:rPr>
          <w:i/>
          <w:sz w:val="20"/>
          <w:szCs w:val="20"/>
        </w:rPr>
        <w:t xml:space="preserve">Revista de Derecho </w:t>
      </w:r>
      <w:proofErr w:type="spellStart"/>
      <w:r w:rsidRPr="00DB3058">
        <w:rPr>
          <w:i/>
          <w:sz w:val="20"/>
          <w:szCs w:val="20"/>
        </w:rPr>
        <w:t>vLex</w:t>
      </w:r>
      <w:proofErr w:type="spellEnd"/>
      <w:r w:rsidRPr="00DB3058">
        <w:rPr>
          <w:sz w:val="20"/>
          <w:szCs w:val="20"/>
        </w:rPr>
        <w:t xml:space="preserve">, Nº 209, Octubre 2021. </w:t>
      </w:r>
    </w:p>
    <w:p w14:paraId="5DF103E0" w14:textId="77777777" w:rsidR="00467E42" w:rsidRPr="00DB3058" w:rsidRDefault="00467E42" w:rsidP="00467E42">
      <w:pPr>
        <w:pStyle w:val="Prrafodelista"/>
        <w:spacing w:after="0" w:line="240" w:lineRule="auto"/>
        <w:jc w:val="both"/>
        <w:rPr>
          <w:sz w:val="20"/>
          <w:szCs w:val="20"/>
        </w:rPr>
      </w:pPr>
    </w:p>
    <w:p w14:paraId="022E855D"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García, J. M</w:t>
      </w:r>
      <w:r w:rsidRPr="00DB3058">
        <w:rPr>
          <w:sz w:val="20"/>
          <w:szCs w:val="20"/>
        </w:rPr>
        <w:t xml:space="preserve">. “Sobre el crédito </w:t>
      </w:r>
      <w:proofErr w:type="spellStart"/>
      <w:r w:rsidRPr="00DB3058">
        <w:rPr>
          <w:sz w:val="20"/>
          <w:szCs w:val="20"/>
        </w:rPr>
        <w:t>revolving</w:t>
      </w:r>
      <w:proofErr w:type="spellEnd"/>
      <w:r w:rsidRPr="00DB3058">
        <w:rPr>
          <w:sz w:val="20"/>
          <w:szCs w:val="20"/>
        </w:rPr>
        <w:t xml:space="preserve">, la sentencia del TS de 4 de marzo de 2020 y lo que debe de entenderse por interés notablemente superior al normal del dinero”: </w:t>
      </w:r>
      <w:r w:rsidRPr="00DB3058">
        <w:rPr>
          <w:i/>
          <w:sz w:val="20"/>
          <w:szCs w:val="20"/>
        </w:rPr>
        <w:t xml:space="preserve">Revista de Derecho </w:t>
      </w:r>
      <w:proofErr w:type="spellStart"/>
      <w:r w:rsidRPr="00DB3058">
        <w:rPr>
          <w:i/>
          <w:sz w:val="20"/>
          <w:szCs w:val="20"/>
        </w:rPr>
        <w:t>vLex</w:t>
      </w:r>
      <w:proofErr w:type="spellEnd"/>
      <w:r w:rsidRPr="00DB3058">
        <w:rPr>
          <w:sz w:val="20"/>
          <w:szCs w:val="20"/>
        </w:rPr>
        <w:t xml:space="preserve">, Nº 210, Noviembre 2021. </w:t>
      </w:r>
    </w:p>
    <w:p w14:paraId="4DBF0438" w14:textId="77777777" w:rsidR="00467E42" w:rsidRPr="00DB3058" w:rsidRDefault="00467E42" w:rsidP="00467E42">
      <w:pPr>
        <w:pStyle w:val="Prrafodelista"/>
        <w:spacing w:after="0" w:line="240" w:lineRule="auto"/>
        <w:jc w:val="both"/>
        <w:rPr>
          <w:sz w:val="20"/>
          <w:szCs w:val="20"/>
        </w:rPr>
      </w:pPr>
    </w:p>
    <w:p w14:paraId="3411C478"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Sánchez García, J. M</w:t>
      </w:r>
      <w:r w:rsidRPr="00DB3058">
        <w:rPr>
          <w:sz w:val="20"/>
          <w:szCs w:val="20"/>
        </w:rPr>
        <w:t xml:space="preserve">. “Transparencia vs </w:t>
      </w:r>
      <w:proofErr w:type="spellStart"/>
      <w:r w:rsidRPr="00DB3058">
        <w:rPr>
          <w:sz w:val="20"/>
          <w:szCs w:val="20"/>
        </w:rPr>
        <w:t>abusividad</w:t>
      </w:r>
      <w:proofErr w:type="spellEnd"/>
      <w:r w:rsidRPr="00DB3058">
        <w:rPr>
          <w:sz w:val="20"/>
          <w:szCs w:val="20"/>
        </w:rPr>
        <w:t xml:space="preserve"> conforme los dos Autos del TJUE de 17 de noviembre de 2021, asuntos C-655/20 y C-79/21”: </w:t>
      </w:r>
      <w:r w:rsidRPr="00DB3058">
        <w:rPr>
          <w:i/>
          <w:sz w:val="20"/>
          <w:szCs w:val="20"/>
        </w:rPr>
        <w:t xml:space="preserve">Revista de Derecho </w:t>
      </w:r>
      <w:proofErr w:type="spellStart"/>
      <w:r w:rsidRPr="00DB3058">
        <w:rPr>
          <w:i/>
          <w:sz w:val="20"/>
          <w:szCs w:val="20"/>
        </w:rPr>
        <w:t>vLex</w:t>
      </w:r>
      <w:proofErr w:type="spellEnd"/>
      <w:r w:rsidRPr="00DB3058">
        <w:rPr>
          <w:sz w:val="20"/>
          <w:szCs w:val="20"/>
        </w:rPr>
        <w:t xml:space="preserve">, Nº 210, Noviembre 2021. </w:t>
      </w:r>
    </w:p>
    <w:p w14:paraId="28AAFE32" w14:textId="77777777" w:rsidR="00467E42" w:rsidRPr="00DB3058" w:rsidRDefault="00467E42" w:rsidP="00467E42">
      <w:pPr>
        <w:pStyle w:val="Prrafodelista"/>
        <w:spacing w:after="0" w:line="240" w:lineRule="auto"/>
        <w:jc w:val="both"/>
        <w:rPr>
          <w:sz w:val="20"/>
          <w:szCs w:val="20"/>
        </w:rPr>
      </w:pPr>
    </w:p>
    <w:p w14:paraId="42E68C65"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Simler, P</w:t>
      </w:r>
      <w:r w:rsidRPr="00DB3058">
        <w:rPr>
          <w:sz w:val="20"/>
          <w:szCs w:val="20"/>
        </w:rPr>
        <w:t>. “</w:t>
      </w:r>
      <w:proofErr w:type="spellStart"/>
      <w:r w:rsidRPr="00DB3058">
        <w:rPr>
          <w:sz w:val="20"/>
          <w:szCs w:val="20"/>
        </w:rPr>
        <w:t>Réforme</w:t>
      </w:r>
      <w:proofErr w:type="spellEnd"/>
      <w:r w:rsidRPr="00DB3058">
        <w:rPr>
          <w:sz w:val="20"/>
          <w:szCs w:val="20"/>
        </w:rPr>
        <w:t xml:space="preserve"> du </w:t>
      </w:r>
      <w:proofErr w:type="spellStart"/>
      <w:r w:rsidRPr="00DB3058">
        <w:rPr>
          <w:sz w:val="20"/>
          <w:szCs w:val="20"/>
        </w:rPr>
        <w:t>cautionnement</w:t>
      </w:r>
      <w:proofErr w:type="spellEnd"/>
      <w:r w:rsidRPr="00DB3058">
        <w:rPr>
          <w:sz w:val="20"/>
          <w:szCs w:val="20"/>
        </w:rPr>
        <w:t xml:space="preserve">”: </w:t>
      </w:r>
      <w:r w:rsidRPr="00DB3058">
        <w:rPr>
          <w:i/>
          <w:sz w:val="20"/>
          <w:szCs w:val="20"/>
        </w:rPr>
        <w:t xml:space="preserve">La </w:t>
      </w:r>
      <w:proofErr w:type="spellStart"/>
      <w:r w:rsidRPr="00DB3058">
        <w:rPr>
          <w:i/>
          <w:sz w:val="20"/>
          <w:szCs w:val="20"/>
        </w:rPr>
        <w:t>Semaine</w:t>
      </w:r>
      <w:proofErr w:type="spellEnd"/>
      <w:r w:rsidRPr="00DB3058">
        <w:rPr>
          <w:i/>
          <w:sz w:val="20"/>
          <w:szCs w:val="20"/>
        </w:rPr>
        <w:t xml:space="preserve"> </w:t>
      </w:r>
      <w:proofErr w:type="spellStart"/>
      <w:r w:rsidRPr="00DB3058">
        <w:rPr>
          <w:i/>
          <w:sz w:val="20"/>
          <w:szCs w:val="20"/>
        </w:rPr>
        <w:t>Juridique</w:t>
      </w:r>
      <w:proofErr w:type="spellEnd"/>
      <w:r w:rsidRPr="00DB3058">
        <w:rPr>
          <w:sz w:val="20"/>
          <w:szCs w:val="20"/>
        </w:rPr>
        <w:t xml:space="preserve">, Nº Extra 43-44, 2021 (Ejemplar dedicado a: </w:t>
      </w:r>
      <w:proofErr w:type="spellStart"/>
      <w:r w:rsidRPr="00DB3058">
        <w:rPr>
          <w:sz w:val="20"/>
          <w:szCs w:val="20"/>
        </w:rPr>
        <w:t>Réforme</w:t>
      </w:r>
      <w:proofErr w:type="spellEnd"/>
      <w:r w:rsidRPr="00DB3058">
        <w:rPr>
          <w:sz w:val="20"/>
          <w:szCs w:val="20"/>
        </w:rPr>
        <w:t xml:space="preserve"> du </w:t>
      </w:r>
      <w:proofErr w:type="spellStart"/>
      <w:r w:rsidRPr="00DB3058">
        <w:rPr>
          <w:sz w:val="20"/>
          <w:szCs w:val="20"/>
        </w:rPr>
        <w:t>droit</w:t>
      </w:r>
      <w:proofErr w:type="spellEnd"/>
      <w:r w:rsidRPr="00DB3058">
        <w:rPr>
          <w:sz w:val="20"/>
          <w:szCs w:val="20"/>
        </w:rPr>
        <w:t xml:space="preserve"> des </w:t>
      </w:r>
      <w:proofErr w:type="spellStart"/>
      <w:r w:rsidRPr="00DB3058">
        <w:rPr>
          <w:sz w:val="20"/>
          <w:szCs w:val="20"/>
        </w:rPr>
        <w:t>sûretés</w:t>
      </w:r>
      <w:proofErr w:type="spellEnd"/>
      <w:r w:rsidRPr="00DB3058">
        <w:rPr>
          <w:sz w:val="20"/>
          <w:szCs w:val="20"/>
        </w:rPr>
        <w:t>), págs. 9-29.</w:t>
      </w:r>
    </w:p>
    <w:p w14:paraId="21A4DC6E" w14:textId="77777777" w:rsidR="00467E42" w:rsidRPr="00DB3058" w:rsidRDefault="00467E42" w:rsidP="00467E42">
      <w:pPr>
        <w:pStyle w:val="Prrafodelista"/>
        <w:spacing w:after="0" w:line="240" w:lineRule="auto"/>
        <w:jc w:val="both"/>
        <w:rPr>
          <w:sz w:val="20"/>
          <w:szCs w:val="20"/>
        </w:rPr>
      </w:pPr>
    </w:p>
    <w:p w14:paraId="4CA9245A" w14:textId="77777777" w:rsidR="00467E42" w:rsidRPr="00DB3058" w:rsidRDefault="00467E42" w:rsidP="00467E42">
      <w:pPr>
        <w:pStyle w:val="Prrafodelista"/>
        <w:numPr>
          <w:ilvl w:val="0"/>
          <w:numId w:val="8"/>
        </w:numPr>
        <w:spacing w:after="0" w:line="240" w:lineRule="auto"/>
        <w:jc w:val="both"/>
        <w:rPr>
          <w:sz w:val="20"/>
          <w:szCs w:val="20"/>
        </w:rPr>
      </w:pPr>
      <w:r w:rsidRPr="00DB3058">
        <w:rPr>
          <w:caps/>
          <w:sz w:val="20"/>
          <w:szCs w:val="20"/>
        </w:rPr>
        <w:t>Tapia Hermida, A.</w:t>
      </w:r>
      <w:r w:rsidRPr="00DB3058">
        <w:rPr>
          <w:sz w:val="20"/>
          <w:szCs w:val="20"/>
        </w:rPr>
        <w:t xml:space="preserve"> J. “Jurisprudencia reciente del TJUE y del TS español sobre la Responsabilidad Civil de </w:t>
      </w:r>
      <w:proofErr w:type="spellStart"/>
      <w:r w:rsidRPr="00DB3058">
        <w:rPr>
          <w:sz w:val="20"/>
          <w:szCs w:val="20"/>
        </w:rPr>
        <w:t>Bankia</w:t>
      </w:r>
      <w:proofErr w:type="spellEnd"/>
      <w:r w:rsidRPr="00DB3058">
        <w:rPr>
          <w:sz w:val="20"/>
          <w:szCs w:val="20"/>
        </w:rPr>
        <w:t xml:space="preserve"> (</w:t>
      </w:r>
      <w:proofErr w:type="spellStart"/>
      <w:r w:rsidRPr="00DB3058">
        <w:rPr>
          <w:sz w:val="20"/>
          <w:szCs w:val="20"/>
        </w:rPr>
        <w:t>Caixabank</w:t>
      </w:r>
      <w:proofErr w:type="spellEnd"/>
      <w:r w:rsidRPr="00DB3058">
        <w:rPr>
          <w:sz w:val="20"/>
          <w:szCs w:val="20"/>
        </w:rPr>
        <w:t xml:space="preserve">) frente a los inversores derivada de su folleto de salida a bolsa”: </w:t>
      </w:r>
      <w:r w:rsidRPr="00DB3058">
        <w:rPr>
          <w:i/>
          <w:sz w:val="20"/>
          <w:szCs w:val="20"/>
        </w:rPr>
        <w:t>Revista de derecho bancario y bursátil</w:t>
      </w:r>
      <w:r w:rsidRPr="00DB3058">
        <w:rPr>
          <w:sz w:val="20"/>
          <w:szCs w:val="20"/>
        </w:rPr>
        <w:t>, Año nº 40, Nº 163, 2021, págs. 335-364.</w:t>
      </w:r>
    </w:p>
    <w:p w14:paraId="05B5C428" w14:textId="77777777" w:rsidR="00C67C8B" w:rsidRDefault="00C67C8B" w:rsidP="00CE63DC">
      <w:pPr>
        <w:rPr>
          <w:rFonts w:cstheme="minorHAnsi"/>
          <w:sz w:val="20"/>
          <w:szCs w:val="20"/>
        </w:rPr>
      </w:pPr>
    </w:p>
    <w:p w14:paraId="7781716A" w14:textId="77777777" w:rsidR="00B44604" w:rsidRPr="00CE63DC" w:rsidRDefault="00B44604" w:rsidP="00CE63DC">
      <w:pPr>
        <w:rPr>
          <w:rFonts w:cstheme="minorHAnsi"/>
          <w:sz w:val="20"/>
          <w:szCs w:val="20"/>
        </w:rPr>
      </w:pPr>
    </w:p>
    <w:p w14:paraId="3BE8FA80" w14:textId="77777777" w:rsidR="00CE63DC" w:rsidRDefault="00CE63DC" w:rsidP="003F49BB">
      <w:pPr>
        <w:spacing w:beforeLines="100" w:before="240" w:afterLines="100" w:after="240"/>
        <w:jc w:val="center"/>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84FF6" w14:textId="77777777" w:rsidR="00D13D8A" w:rsidRDefault="00D13D8A" w:rsidP="000562B1">
      <w:pPr>
        <w:spacing w:after="0" w:line="240" w:lineRule="auto"/>
      </w:pPr>
      <w:r>
        <w:separator/>
      </w:r>
    </w:p>
  </w:endnote>
  <w:endnote w:type="continuationSeparator" w:id="0">
    <w:p w14:paraId="58DF5DC1" w14:textId="77777777" w:rsidR="00D13D8A" w:rsidRDefault="00D13D8A"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467E42">
          <w:rPr>
            <w:rFonts w:cstheme="minorHAnsi"/>
            <w:noProof/>
          </w:rPr>
          <w:t>5</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FE537" w14:textId="77777777" w:rsidR="00D13D8A" w:rsidRDefault="00D13D8A" w:rsidP="000562B1">
      <w:pPr>
        <w:spacing w:after="0" w:line="240" w:lineRule="auto"/>
      </w:pPr>
      <w:r>
        <w:separator/>
      </w:r>
    </w:p>
  </w:footnote>
  <w:footnote w:type="continuationSeparator" w:id="0">
    <w:p w14:paraId="0C080B50" w14:textId="77777777" w:rsidR="00D13D8A" w:rsidRDefault="00D13D8A"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4"/>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12310A"/>
    <w:rsid w:val="001342BF"/>
    <w:rsid w:val="0017035A"/>
    <w:rsid w:val="00181687"/>
    <w:rsid w:val="001A3DC8"/>
    <w:rsid w:val="001B39D6"/>
    <w:rsid w:val="001E467C"/>
    <w:rsid w:val="00226C2F"/>
    <w:rsid w:val="002321F9"/>
    <w:rsid w:val="0024425F"/>
    <w:rsid w:val="002920B4"/>
    <w:rsid w:val="002C3D5D"/>
    <w:rsid w:val="00326C94"/>
    <w:rsid w:val="003662F8"/>
    <w:rsid w:val="003C7E66"/>
    <w:rsid w:val="003E66AA"/>
    <w:rsid w:val="003F49BB"/>
    <w:rsid w:val="003F4BCA"/>
    <w:rsid w:val="00410FE1"/>
    <w:rsid w:val="004158D3"/>
    <w:rsid w:val="00467E42"/>
    <w:rsid w:val="00474518"/>
    <w:rsid w:val="004D794A"/>
    <w:rsid w:val="0051297C"/>
    <w:rsid w:val="005524C4"/>
    <w:rsid w:val="005527B0"/>
    <w:rsid w:val="005B7019"/>
    <w:rsid w:val="005E340F"/>
    <w:rsid w:val="005F0DEC"/>
    <w:rsid w:val="005F1DFB"/>
    <w:rsid w:val="005F3752"/>
    <w:rsid w:val="00633110"/>
    <w:rsid w:val="00656A1A"/>
    <w:rsid w:val="00673A7C"/>
    <w:rsid w:val="006B172C"/>
    <w:rsid w:val="007C2FE3"/>
    <w:rsid w:val="00816AAB"/>
    <w:rsid w:val="008251E3"/>
    <w:rsid w:val="00827C04"/>
    <w:rsid w:val="00846866"/>
    <w:rsid w:val="008D2AC3"/>
    <w:rsid w:val="008D6849"/>
    <w:rsid w:val="00916F83"/>
    <w:rsid w:val="00923CBC"/>
    <w:rsid w:val="0093649B"/>
    <w:rsid w:val="009432D4"/>
    <w:rsid w:val="00952BF5"/>
    <w:rsid w:val="009E7932"/>
    <w:rsid w:val="00A00862"/>
    <w:rsid w:val="00A178D6"/>
    <w:rsid w:val="00A21DDE"/>
    <w:rsid w:val="00A535EC"/>
    <w:rsid w:val="00A95CE0"/>
    <w:rsid w:val="00B00158"/>
    <w:rsid w:val="00B03532"/>
    <w:rsid w:val="00B065EF"/>
    <w:rsid w:val="00B40032"/>
    <w:rsid w:val="00B42623"/>
    <w:rsid w:val="00B44604"/>
    <w:rsid w:val="00B55B74"/>
    <w:rsid w:val="00B917BF"/>
    <w:rsid w:val="00BE3615"/>
    <w:rsid w:val="00C41A52"/>
    <w:rsid w:val="00C45C39"/>
    <w:rsid w:val="00C660D0"/>
    <w:rsid w:val="00C67BF4"/>
    <w:rsid w:val="00C67C8B"/>
    <w:rsid w:val="00C943B2"/>
    <w:rsid w:val="00C97832"/>
    <w:rsid w:val="00CB0586"/>
    <w:rsid w:val="00CE63DC"/>
    <w:rsid w:val="00D13D8A"/>
    <w:rsid w:val="00D364FB"/>
    <w:rsid w:val="00D37249"/>
    <w:rsid w:val="00D827B7"/>
    <w:rsid w:val="00DA30E6"/>
    <w:rsid w:val="00DC326F"/>
    <w:rsid w:val="00E37172"/>
    <w:rsid w:val="00E618E3"/>
    <w:rsid w:val="00E7533D"/>
    <w:rsid w:val="00E843AB"/>
    <w:rsid w:val="00E86324"/>
    <w:rsid w:val="00EE05FD"/>
    <w:rsid w:val="00FA6DED"/>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B524-D355-4471-9E61-BE4BF3A1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2422</Words>
  <Characters>13326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2</cp:revision>
  <cp:lastPrinted>2020-10-27T11:47:00Z</cp:lastPrinted>
  <dcterms:created xsi:type="dcterms:W3CDTF">2022-01-14T16:42:00Z</dcterms:created>
  <dcterms:modified xsi:type="dcterms:W3CDTF">2022-01-14T16:42:00Z</dcterms:modified>
</cp:coreProperties>
</file>