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D5E329" w14:textId="77777777" w:rsidR="00656A1A" w:rsidRDefault="00DA30E6" w:rsidP="00656A1A">
      <w:pPr>
        <w:spacing w:beforeLines="100" w:before="240" w:afterLines="100" w:after="240"/>
        <w:jc w:val="center"/>
        <w:rPr>
          <w:noProof/>
          <w:lang w:eastAsia="es-ES"/>
        </w:rPr>
      </w:pPr>
      <w:bookmarkStart w:id="0" w:name="_GoBack"/>
      <w:bookmarkEnd w:id="0"/>
      <w:r>
        <w:rPr>
          <w:noProof/>
          <w:lang w:eastAsia="es-ES"/>
        </w:rPr>
        <w:drawing>
          <wp:anchor distT="0" distB="0" distL="114300" distR="114300" simplePos="0" relativeHeight="251666432" behindDoc="1" locked="0" layoutInCell="1" allowOverlap="1" wp14:anchorId="471A90E6" wp14:editId="6135A164">
            <wp:simplePos x="0" y="0"/>
            <wp:positionH relativeFrom="column">
              <wp:posOffset>-1080135</wp:posOffset>
            </wp:positionH>
            <wp:positionV relativeFrom="paragraph">
              <wp:posOffset>-899795</wp:posOffset>
            </wp:positionV>
            <wp:extent cx="7560860" cy="10708052"/>
            <wp:effectExtent l="0" t="0" r="2540" b="0"/>
            <wp:wrapNone/>
            <wp:docPr id="2" name="Imagen 2" descr="C:\Users\Jesus\Downloads\Red and Grayscale Corporate Company Annual Repor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us\Downloads\Red and Grayscale Corporate Company Annual Report (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7988" cy="107181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86F4B" w14:textId="77777777" w:rsidR="00D37249" w:rsidRDefault="00D37249" w:rsidP="00656A1A">
      <w:pPr>
        <w:spacing w:beforeLines="100" w:before="240" w:afterLines="100" w:after="240"/>
        <w:jc w:val="center"/>
        <w:rPr>
          <w:noProof/>
          <w:lang w:eastAsia="es-ES"/>
        </w:rPr>
      </w:pPr>
    </w:p>
    <w:p w14:paraId="5E524A17" w14:textId="77777777" w:rsidR="00D37249" w:rsidRDefault="00D37249" w:rsidP="00656A1A">
      <w:pPr>
        <w:spacing w:beforeLines="100" w:before="240" w:afterLines="100" w:after="240"/>
        <w:jc w:val="center"/>
        <w:rPr>
          <w:noProof/>
          <w:lang w:eastAsia="es-ES"/>
        </w:rPr>
      </w:pPr>
    </w:p>
    <w:p w14:paraId="15F136E4" w14:textId="77777777" w:rsidR="00D37249" w:rsidRDefault="00D37249" w:rsidP="00656A1A">
      <w:pPr>
        <w:spacing w:beforeLines="100" w:before="240" w:afterLines="100" w:after="240"/>
        <w:jc w:val="center"/>
        <w:rPr>
          <w:noProof/>
          <w:lang w:eastAsia="es-ES"/>
        </w:rPr>
      </w:pPr>
    </w:p>
    <w:p w14:paraId="61D376D5" w14:textId="77777777" w:rsidR="00D37249" w:rsidRDefault="00D37249" w:rsidP="00656A1A">
      <w:pPr>
        <w:spacing w:beforeLines="100" w:before="240" w:afterLines="100" w:after="240"/>
        <w:jc w:val="center"/>
        <w:rPr>
          <w:noProof/>
          <w:lang w:eastAsia="es-ES"/>
        </w:rPr>
      </w:pPr>
    </w:p>
    <w:p w14:paraId="0882B774" w14:textId="77777777" w:rsidR="00D37249" w:rsidRDefault="00D37249" w:rsidP="00656A1A">
      <w:pPr>
        <w:spacing w:beforeLines="100" w:before="240" w:afterLines="100" w:after="240"/>
        <w:jc w:val="center"/>
        <w:rPr>
          <w:noProof/>
          <w:lang w:eastAsia="es-ES"/>
        </w:rPr>
      </w:pPr>
    </w:p>
    <w:p w14:paraId="19C48A1A" w14:textId="77777777" w:rsidR="00D37249" w:rsidRDefault="00D37249" w:rsidP="00656A1A">
      <w:pPr>
        <w:spacing w:beforeLines="100" w:before="240" w:afterLines="100" w:after="240"/>
        <w:jc w:val="center"/>
        <w:rPr>
          <w:noProof/>
          <w:lang w:eastAsia="es-ES"/>
        </w:rPr>
      </w:pPr>
    </w:p>
    <w:p w14:paraId="23F2BA53" w14:textId="77777777" w:rsidR="00D37249" w:rsidRDefault="00D37249" w:rsidP="00656A1A">
      <w:pPr>
        <w:spacing w:beforeLines="100" w:before="240" w:afterLines="100" w:after="240"/>
        <w:jc w:val="center"/>
        <w:rPr>
          <w:noProof/>
          <w:lang w:eastAsia="es-ES"/>
        </w:rPr>
      </w:pPr>
    </w:p>
    <w:p w14:paraId="31E2C271" w14:textId="77777777" w:rsidR="00D37249" w:rsidRDefault="00D37249"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59264" behindDoc="0" locked="0" layoutInCell="1" allowOverlap="1" wp14:anchorId="617D715D" wp14:editId="2472D62D">
                <wp:simplePos x="0" y="0"/>
                <wp:positionH relativeFrom="column">
                  <wp:posOffset>-697998</wp:posOffset>
                </wp:positionH>
                <wp:positionV relativeFrom="paragraph">
                  <wp:posOffset>76427</wp:posOffset>
                </wp:positionV>
                <wp:extent cx="6236970" cy="5117911"/>
                <wp:effectExtent l="0" t="0" r="0" b="6985"/>
                <wp:wrapNone/>
                <wp:docPr id="4" name="4 Cuadro de texto"/>
                <wp:cNvGraphicFramePr/>
                <a:graphic xmlns:a="http://schemas.openxmlformats.org/drawingml/2006/main">
                  <a:graphicData uri="http://schemas.microsoft.com/office/word/2010/wordprocessingShape">
                    <wps:wsp>
                      <wps:cNvSpPr txBox="1"/>
                      <wps:spPr>
                        <a:xfrm>
                          <a:off x="0" y="0"/>
                          <a:ext cx="6236970" cy="51179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36CF4" w14:textId="3525CE61" w:rsidR="00827C04" w:rsidRDefault="00567AAA">
                            <w:pPr>
                              <w:rPr>
                                <w:rFonts w:ascii="Segoe UI" w:hAnsi="Segoe UI" w:cs="Segoe UI"/>
                                <w:b/>
                                <w:color w:val="FFFFFF" w:themeColor="background1"/>
                                <w:sz w:val="36"/>
                                <w:szCs w:val="36"/>
                              </w:rPr>
                            </w:pPr>
                            <w:r>
                              <w:rPr>
                                <w:rFonts w:ascii="Segoe UI" w:hAnsi="Segoe UI" w:cs="Segoe UI"/>
                                <w:b/>
                                <w:color w:val="FFFFFF" w:themeColor="background1"/>
                                <w:sz w:val="36"/>
                                <w:szCs w:val="36"/>
                              </w:rPr>
                              <w:t>Enero-Marzo 2022</w:t>
                            </w:r>
                          </w:p>
                          <w:p w14:paraId="2EB7BD8F" w14:textId="77777777" w:rsidR="00827C04" w:rsidRPr="00D37249" w:rsidRDefault="00827C04">
                            <w:pPr>
                              <w:rPr>
                                <w:rFonts w:ascii="Segoe UI" w:hAnsi="Segoe UI" w:cs="Segoe UI"/>
                                <w:b/>
                                <w:color w:val="FFFFFF" w:themeColor="background1"/>
                                <w:sz w:val="36"/>
                                <w:szCs w:val="36"/>
                              </w:rPr>
                            </w:pPr>
                          </w:p>
                          <w:p w14:paraId="59EFE686" w14:textId="77777777" w:rsidR="00827C04" w:rsidRPr="00D37249" w:rsidRDefault="00827C04" w:rsidP="005F1DFB">
                            <w:pPr>
                              <w:spacing w:after="0" w:line="240" w:lineRule="auto"/>
                              <w:rPr>
                                <w:rFonts w:ascii="Segoe UI" w:hAnsi="Segoe UI" w:cs="Segoe UI"/>
                                <w:b/>
                                <w:color w:val="FFFFFF" w:themeColor="background1"/>
                                <w:sz w:val="96"/>
                                <w:szCs w:val="96"/>
                              </w:rPr>
                            </w:pPr>
                            <w:r w:rsidRPr="00D37249">
                              <w:rPr>
                                <w:rFonts w:ascii="Segoe UI" w:hAnsi="Segoe UI" w:cs="Segoe UI"/>
                                <w:b/>
                                <w:color w:val="FFFFFF" w:themeColor="background1"/>
                                <w:sz w:val="96"/>
                                <w:szCs w:val="96"/>
                              </w:rPr>
                              <w:t>INFORME</w:t>
                            </w:r>
                          </w:p>
                          <w:p w14:paraId="636B78C5" w14:textId="77777777" w:rsidR="00827C04" w:rsidRPr="005F1DFB" w:rsidRDefault="00827C04" w:rsidP="005F1DFB">
                            <w:pPr>
                              <w:spacing w:after="0" w:line="240" w:lineRule="auto"/>
                              <w:rPr>
                                <w:rFonts w:ascii="Segoe UI" w:hAnsi="Segoe UI" w:cs="Segoe UI"/>
                                <w:b/>
                                <w:sz w:val="36"/>
                                <w:szCs w:val="36"/>
                              </w:rPr>
                            </w:pPr>
                            <w:r>
                              <w:rPr>
                                <w:rFonts w:ascii="Segoe UI" w:hAnsi="Segoe UI" w:cs="Segoe UI"/>
                                <w:b/>
                                <w:sz w:val="36"/>
                                <w:szCs w:val="36"/>
                              </w:rPr>
                              <w:t>DERECHO Y CONSUMO (BIBLIOGRAFÍ</w:t>
                            </w:r>
                            <w:r w:rsidRPr="005F1DFB">
                              <w:rPr>
                                <w:rFonts w:ascii="Segoe UI" w:hAnsi="Segoe UI" w:cs="Segoe UI"/>
                                <w:b/>
                                <w:sz w:val="36"/>
                                <w:szCs w:val="36"/>
                              </w:rPr>
                              <w:t>A)</w:t>
                            </w:r>
                          </w:p>
                          <w:p w14:paraId="2D051275" w14:textId="77777777" w:rsidR="00827C04" w:rsidRDefault="00827C04" w:rsidP="005F1DFB">
                            <w:pPr>
                              <w:spacing w:after="0" w:line="240" w:lineRule="auto"/>
                              <w:rPr>
                                <w:rFonts w:ascii="Segoe UI" w:hAnsi="Segoe UI" w:cs="Segoe UI"/>
                                <w:b/>
                                <w:color w:val="FFFFFF" w:themeColor="background1"/>
                                <w:sz w:val="36"/>
                                <w:szCs w:val="36"/>
                              </w:rPr>
                            </w:pPr>
                          </w:p>
                          <w:p w14:paraId="36A1D3C4" w14:textId="77777777" w:rsidR="00827C04" w:rsidRDefault="00827C04" w:rsidP="005F1DFB">
                            <w:pPr>
                              <w:spacing w:after="0" w:line="240" w:lineRule="auto"/>
                              <w:rPr>
                                <w:rFonts w:ascii="Segoe UI" w:hAnsi="Segoe UI" w:cs="Segoe UI"/>
                                <w:b/>
                                <w:color w:val="FFFFFF" w:themeColor="background1"/>
                                <w:sz w:val="36"/>
                                <w:szCs w:val="36"/>
                              </w:rPr>
                            </w:pPr>
                          </w:p>
                          <w:p w14:paraId="7945E80E" w14:textId="77777777" w:rsidR="00827C04" w:rsidRDefault="00827C04" w:rsidP="005F1DFB">
                            <w:pPr>
                              <w:spacing w:after="0" w:line="240" w:lineRule="auto"/>
                              <w:rPr>
                                <w:rFonts w:ascii="Segoe UI" w:hAnsi="Segoe UI" w:cs="Segoe UI"/>
                                <w:b/>
                                <w:color w:val="FFFFFF" w:themeColor="background1"/>
                              </w:rPr>
                            </w:pPr>
                          </w:p>
                          <w:p w14:paraId="09E469D5" w14:textId="77777777" w:rsidR="00827C04" w:rsidRDefault="00827C04" w:rsidP="005F1DFB">
                            <w:pPr>
                              <w:spacing w:after="0" w:line="240" w:lineRule="auto"/>
                              <w:rPr>
                                <w:rFonts w:ascii="Segoe UI" w:hAnsi="Segoe UI" w:cs="Segoe UI"/>
                                <w:b/>
                                <w:color w:val="FFFFFF" w:themeColor="background1"/>
                              </w:rPr>
                            </w:pPr>
                          </w:p>
                          <w:p w14:paraId="1ABCD6E4" w14:textId="77777777" w:rsidR="00827C04" w:rsidRDefault="00827C04" w:rsidP="005F1DFB">
                            <w:pPr>
                              <w:spacing w:after="0" w:line="240" w:lineRule="auto"/>
                              <w:rPr>
                                <w:rFonts w:ascii="Segoe UI" w:hAnsi="Segoe UI" w:cs="Segoe UI"/>
                                <w:b/>
                                <w:color w:val="FFFFFF" w:themeColor="background1"/>
                              </w:rPr>
                            </w:pPr>
                          </w:p>
                          <w:p w14:paraId="598C9961" w14:textId="77777777" w:rsidR="00827C04" w:rsidRDefault="00827C04" w:rsidP="005F1DFB">
                            <w:pPr>
                              <w:spacing w:after="0" w:line="240" w:lineRule="auto"/>
                              <w:rPr>
                                <w:rFonts w:ascii="Segoe UI" w:hAnsi="Segoe UI" w:cs="Segoe UI"/>
                                <w:b/>
                                <w:color w:val="FFFFFF" w:themeColor="background1"/>
                              </w:rPr>
                            </w:pPr>
                          </w:p>
                          <w:p w14:paraId="01E5130E" w14:textId="77777777" w:rsidR="00827C04" w:rsidRDefault="00827C04" w:rsidP="005F1DFB">
                            <w:pPr>
                              <w:spacing w:after="0" w:line="240" w:lineRule="auto"/>
                              <w:rPr>
                                <w:rFonts w:ascii="Segoe UI" w:hAnsi="Segoe UI" w:cs="Segoe UI"/>
                                <w:b/>
                                <w:color w:val="FFFFFF" w:themeColor="background1"/>
                              </w:rPr>
                            </w:pPr>
                          </w:p>
                          <w:p w14:paraId="4C18BA61" w14:textId="77777777" w:rsidR="00827C04" w:rsidRDefault="00827C04" w:rsidP="005F1DFB">
                            <w:pPr>
                              <w:spacing w:after="0" w:line="240" w:lineRule="auto"/>
                              <w:rPr>
                                <w:rFonts w:ascii="Segoe UI" w:hAnsi="Segoe UI" w:cs="Segoe UI"/>
                                <w:b/>
                                <w:color w:val="FFFFFF" w:themeColor="background1"/>
                              </w:rPr>
                            </w:pPr>
                          </w:p>
                          <w:p w14:paraId="6BB30137" w14:textId="77777777" w:rsidR="00827C04" w:rsidRDefault="00827C04" w:rsidP="005F1DFB">
                            <w:pPr>
                              <w:spacing w:after="0" w:line="240" w:lineRule="auto"/>
                              <w:rPr>
                                <w:rFonts w:ascii="Segoe UI" w:hAnsi="Segoe UI" w:cs="Segoe UI"/>
                                <w:b/>
                                <w:color w:val="FFFFFF" w:themeColor="background1"/>
                              </w:rPr>
                            </w:pPr>
                          </w:p>
                          <w:p w14:paraId="4D4293FD" w14:textId="77777777" w:rsidR="00827C04" w:rsidRDefault="00827C04" w:rsidP="005F1DFB">
                            <w:pPr>
                              <w:spacing w:after="0" w:line="240" w:lineRule="auto"/>
                              <w:rPr>
                                <w:rFonts w:ascii="Segoe UI" w:hAnsi="Segoe UI" w:cs="Segoe UI"/>
                                <w:b/>
                                <w:color w:val="FFFFFF" w:themeColor="background1"/>
                              </w:rPr>
                            </w:pPr>
                          </w:p>
                          <w:p w14:paraId="0E34383D" w14:textId="77777777" w:rsidR="00827C04" w:rsidRDefault="00827C04" w:rsidP="005F1DFB">
                            <w:pPr>
                              <w:spacing w:after="0" w:line="240" w:lineRule="auto"/>
                              <w:rPr>
                                <w:rFonts w:ascii="Segoe UI" w:hAnsi="Segoe UI" w:cs="Segoe UI"/>
                                <w:b/>
                              </w:rPr>
                            </w:pPr>
                          </w:p>
                          <w:p w14:paraId="045E4226" w14:textId="77777777" w:rsidR="00827C04" w:rsidRPr="00EE05FD" w:rsidRDefault="00827C04" w:rsidP="005F1DFB">
                            <w:pPr>
                              <w:spacing w:after="0" w:line="240" w:lineRule="auto"/>
                              <w:rPr>
                                <w:rFonts w:ascii="Segoe UI" w:hAnsi="Segoe UI" w:cs="Segoe UI"/>
                                <w:sz w:val="20"/>
                                <w:szCs w:val="20"/>
                              </w:rPr>
                            </w:pPr>
                            <w:r w:rsidRPr="00EE05FD">
                              <w:rPr>
                                <w:rFonts w:ascii="Segoe UI" w:hAnsi="Segoe UI" w:cs="Segoe UI"/>
                                <w:sz w:val="20"/>
                                <w:szCs w:val="20"/>
                              </w:rPr>
                              <w:t xml:space="preserve">Víctor Bastante </w:t>
                            </w:r>
                            <w:proofErr w:type="spellStart"/>
                            <w:r w:rsidRPr="00EE05FD">
                              <w:rPr>
                                <w:rFonts w:ascii="Segoe UI" w:hAnsi="Segoe UI" w:cs="Segoe UI"/>
                                <w:sz w:val="20"/>
                                <w:szCs w:val="20"/>
                              </w:rPr>
                              <w:t>Granell</w:t>
                            </w:r>
                            <w:proofErr w:type="spellEnd"/>
                            <w:r>
                              <w:rPr>
                                <w:rFonts w:ascii="Segoe UI" w:hAnsi="Segoe UI" w:cs="Segoe UI"/>
                                <w:sz w:val="20"/>
                                <w:szCs w:val="20"/>
                              </w:rPr>
                              <w:t xml:space="preserve">. </w:t>
                            </w:r>
                          </w:p>
                          <w:p w14:paraId="2F1C51F2" w14:textId="77777777" w:rsidR="00827C04" w:rsidRPr="00EE05FD" w:rsidRDefault="00827C04" w:rsidP="005F1DFB">
                            <w:pPr>
                              <w:spacing w:after="0" w:line="240" w:lineRule="auto"/>
                              <w:rPr>
                                <w:rFonts w:ascii="Segoe UI" w:hAnsi="Segoe UI" w:cs="Segoe UI"/>
                                <w:sz w:val="20"/>
                                <w:szCs w:val="20"/>
                              </w:rPr>
                            </w:pPr>
                            <w:r w:rsidRPr="00EE05FD">
                              <w:rPr>
                                <w:rFonts w:ascii="Segoe UI" w:hAnsi="Segoe UI" w:cs="Segoe UI"/>
                                <w:sz w:val="20"/>
                                <w:szCs w:val="20"/>
                              </w:rPr>
                              <w:t xml:space="preserve">Profesor Ayudante Doctor. </w:t>
                            </w:r>
                          </w:p>
                          <w:p w14:paraId="6C8075D8" w14:textId="77777777" w:rsidR="00827C04" w:rsidRDefault="00827C04" w:rsidP="005F1DFB">
                            <w:pPr>
                              <w:spacing w:after="0" w:line="240" w:lineRule="auto"/>
                              <w:rPr>
                                <w:rFonts w:ascii="Segoe UI" w:hAnsi="Segoe UI" w:cs="Segoe UI"/>
                                <w:sz w:val="20"/>
                                <w:szCs w:val="20"/>
                              </w:rPr>
                            </w:pPr>
                            <w:r w:rsidRPr="00EE05FD">
                              <w:rPr>
                                <w:rFonts w:ascii="Segoe UI" w:hAnsi="Segoe UI" w:cs="Segoe UI"/>
                                <w:sz w:val="20"/>
                                <w:szCs w:val="20"/>
                              </w:rPr>
                              <w:t>Universidad de Almería.</w:t>
                            </w:r>
                          </w:p>
                          <w:p w14:paraId="1735E3DF" w14:textId="77777777" w:rsidR="00827C04" w:rsidRPr="003F49BB" w:rsidRDefault="00827C04" w:rsidP="005F1DFB">
                            <w:pPr>
                              <w:spacing w:after="0" w:line="240" w:lineRule="auto"/>
                              <w:rPr>
                                <w:rFonts w:ascii="Segoe UI" w:hAnsi="Segoe UI" w:cs="Segoe UI"/>
                                <w:i/>
                                <w:sz w:val="20"/>
                                <w:szCs w:val="20"/>
                              </w:rPr>
                            </w:pPr>
                            <w:r w:rsidRPr="003F49BB">
                              <w:rPr>
                                <w:rFonts w:ascii="Segoe UI" w:hAnsi="Segoe UI" w:cs="Segoe UI"/>
                                <w:i/>
                                <w:sz w:val="20"/>
                                <w:szCs w:val="20"/>
                              </w:rPr>
                              <w:t>vbg415@ual.es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4 Cuadro de texto" o:spid="_x0000_s1026" type="#_x0000_t202" style="position:absolute;left:0;text-align:left;margin-left:-54.95pt;margin-top:6pt;width:491.1pt;height:4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" filled="f" stroked="f" strokeweight=".5pt">
                <v:textbox>
                  <w:txbxContent>
                    <w:p w14:paraId="4D436CF4" w14:textId="3525CE61" w:rsidR="00827C04" w:rsidRDefault="00567AAA">
                      <w:pPr>
                        <w:rPr>
                          <w:rFonts w:ascii="Segoe UI" w:hAnsi="Segoe UI" w:cs="Segoe UI"/>
                          <w:b/>
                          <w:color w:val="FFFFFF" w:themeColor="background1"/>
                          <w:sz w:val="36"/>
                          <w:szCs w:val="36"/>
                        </w:rPr>
                      </w:pPr>
                      <w:r>
                        <w:rPr>
                          <w:rFonts w:ascii="Segoe UI" w:hAnsi="Segoe UI" w:cs="Segoe UI"/>
                          <w:b/>
                          <w:color w:val="FFFFFF" w:themeColor="background1"/>
                          <w:sz w:val="36"/>
                          <w:szCs w:val="36"/>
                        </w:rPr>
                        <w:t>Enero-Marzo 2022</w:t>
                      </w:r>
                    </w:p>
                    <w:p w14:paraId="2EB7BD8F" w14:textId="77777777" w:rsidR="00827C04" w:rsidRPr="00D37249" w:rsidRDefault="00827C04">
                      <w:pPr>
                        <w:rPr>
                          <w:rFonts w:ascii="Segoe UI" w:hAnsi="Segoe UI" w:cs="Segoe UI"/>
                          <w:b/>
                          <w:color w:val="FFFFFF" w:themeColor="background1"/>
                          <w:sz w:val="36"/>
                          <w:szCs w:val="36"/>
                        </w:rPr>
                      </w:pPr>
                    </w:p>
                    <w:p w14:paraId="59EFE686" w14:textId="77777777" w:rsidR="00827C04" w:rsidRPr="00D37249" w:rsidRDefault="00827C04" w:rsidP="005F1DFB">
                      <w:pPr>
                        <w:spacing w:after="0" w:line="240" w:lineRule="auto"/>
                        <w:rPr>
                          <w:rFonts w:ascii="Segoe UI" w:hAnsi="Segoe UI" w:cs="Segoe UI"/>
                          <w:b/>
                          <w:color w:val="FFFFFF" w:themeColor="background1"/>
                          <w:sz w:val="96"/>
                          <w:szCs w:val="96"/>
                        </w:rPr>
                      </w:pPr>
                      <w:r w:rsidRPr="00D37249">
                        <w:rPr>
                          <w:rFonts w:ascii="Segoe UI" w:hAnsi="Segoe UI" w:cs="Segoe UI"/>
                          <w:b/>
                          <w:color w:val="FFFFFF" w:themeColor="background1"/>
                          <w:sz w:val="96"/>
                          <w:szCs w:val="96"/>
                        </w:rPr>
                        <w:t>INFORME</w:t>
                      </w:r>
                    </w:p>
                    <w:p w14:paraId="636B78C5" w14:textId="77777777" w:rsidR="00827C04" w:rsidRPr="005F1DFB" w:rsidRDefault="00827C04" w:rsidP="005F1DFB">
                      <w:pPr>
                        <w:spacing w:after="0" w:line="240" w:lineRule="auto"/>
                        <w:rPr>
                          <w:rFonts w:ascii="Segoe UI" w:hAnsi="Segoe UI" w:cs="Segoe UI"/>
                          <w:b/>
                          <w:sz w:val="36"/>
                          <w:szCs w:val="36"/>
                        </w:rPr>
                      </w:pPr>
                      <w:r>
                        <w:rPr>
                          <w:rFonts w:ascii="Segoe UI" w:hAnsi="Segoe UI" w:cs="Segoe UI"/>
                          <w:b/>
                          <w:sz w:val="36"/>
                          <w:szCs w:val="36"/>
                        </w:rPr>
                        <w:t>DERECHO Y CONSUMO (BIBLIOGRAFÍ</w:t>
                      </w:r>
                      <w:r w:rsidRPr="005F1DFB">
                        <w:rPr>
                          <w:rFonts w:ascii="Segoe UI" w:hAnsi="Segoe UI" w:cs="Segoe UI"/>
                          <w:b/>
                          <w:sz w:val="36"/>
                          <w:szCs w:val="36"/>
                        </w:rPr>
                        <w:t>A)</w:t>
                      </w:r>
                    </w:p>
                    <w:p w14:paraId="2D051275" w14:textId="77777777" w:rsidR="00827C04" w:rsidRDefault="00827C04" w:rsidP="005F1DFB">
                      <w:pPr>
                        <w:spacing w:after="0" w:line="240" w:lineRule="auto"/>
                        <w:rPr>
                          <w:rFonts w:ascii="Segoe UI" w:hAnsi="Segoe UI" w:cs="Segoe UI"/>
                          <w:b/>
                          <w:color w:val="FFFFFF" w:themeColor="background1"/>
                          <w:sz w:val="36"/>
                          <w:szCs w:val="36"/>
                        </w:rPr>
                      </w:pPr>
                    </w:p>
                    <w:p w14:paraId="36A1D3C4" w14:textId="77777777" w:rsidR="00827C04" w:rsidRDefault="00827C04" w:rsidP="005F1DFB">
                      <w:pPr>
                        <w:spacing w:after="0" w:line="240" w:lineRule="auto"/>
                        <w:rPr>
                          <w:rFonts w:ascii="Segoe UI" w:hAnsi="Segoe UI" w:cs="Segoe UI"/>
                          <w:b/>
                          <w:color w:val="FFFFFF" w:themeColor="background1"/>
                          <w:sz w:val="36"/>
                          <w:szCs w:val="36"/>
                        </w:rPr>
                      </w:pPr>
                    </w:p>
                    <w:p w14:paraId="7945E80E" w14:textId="77777777" w:rsidR="00827C04" w:rsidRDefault="00827C04" w:rsidP="005F1DFB">
                      <w:pPr>
                        <w:spacing w:after="0" w:line="240" w:lineRule="auto"/>
                        <w:rPr>
                          <w:rFonts w:ascii="Segoe UI" w:hAnsi="Segoe UI" w:cs="Segoe UI"/>
                          <w:b/>
                          <w:color w:val="FFFFFF" w:themeColor="background1"/>
                        </w:rPr>
                      </w:pPr>
                    </w:p>
                    <w:p w14:paraId="09E469D5" w14:textId="77777777" w:rsidR="00827C04" w:rsidRDefault="00827C04" w:rsidP="005F1DFB">
                      <w:pPr>
                        <w:spacing w:after="0" w:line="240" w:lineRule="auto"/>
                        <w:rPr>
                          <w:rFonts w:ascii="Segoe UI" w:hAnsi="Segoe UI" w:cs="Segoe UI"/>
                          <w:b/>
                          <w:color w:val="FFFFFF" w:themeColor="background1"/>
                        </w:rPr>
                      </w:pPr>
                    </w:p>
                    <w:p w14:paraId="1ABCD6E4" w14:textId="77777777" w:rsidR="00827C04" w:rsidRDefault="00827C04" w:rsidP="005F1DFB">
                      <w:pPr>
                        <w:spacing w:after="0" w:line="240" w:lineRule="auto"/>
                        <w:rPr>
                          <w:rFonts w:ascii="Segoe UI" w:hAnsi="Segoe UI" w:cs="Segoe UI"/>
                          <w:b/>
                          <w:color w:val="FFFFFF" w:themeColor="background1"/>
                        </w:rPr>
                      </w:pPr>
                    </w:p>
                    <w:p w14:paraId="598C9961" w14:textId="77777777" w:rsidR="00827C04" w:rsidRDefault="00827C04" w:rsidP="005F1DFB">
                      <w:pPr>
                        <w:spacing w:after="0" w:line="240" w:lineRule="auto"/>
                        <w:rPr>
                          <w:rFonts w:ascii="Segoe UI" w:hAnsi="Segoe UI" w:cs="Segoe UI"/>
                          <w:b/>
                          <w:color w:val="FFFFFF" w:themeColor="background1"/>
                        </w:rPr>
                      </w:pPr>
                    </w:p>
                    <w:p w14:paraId="01E5130E" w14:textId="77777777" w:rsidR="00827C04" w:rsidRDefault="00827C04" w:rsidP="005F1DFB">
                      <w:pPr>
                        <w:spacing w:after="0" w:line="240" w:lineRule="auto"/>
                        <w:rPr>
                          <w:rFonts w:ascii="Segoe UI" w:hAnsi="Segoe UI" w:cs="Segoe UI"/>
                          <w:b/>
                          <w:color w:val="FFFFFF" w:themeColor="background1"/>
                        </w:rPr>
                      </w:pPr>
                    </w:p>
                    <w:p w14:paraId="4C18BA61" w14:textId="77777777" w:rsidR="00827C04" w:rsidRDefault="00827C04" w:rsidP="005F1DFB">
                      <w:pPr>
                        <w:spacing w:after="0" w:line="240" w:lineRule="auto"/>
                        <w:rPr>
                          <w:rFonts w:ascii="Segoe UI" w:hAnsi="Segoe UI" w:cs="Segoe UI"/>
                          <w:b/>
                          <w:color w:val="FFFFFF" w:themeColor="background1"/>
                        </w:rPr>
                      </w:pPr>
                    </w:p>
                    <w:p w14:paraId="6BB30137" w14:textId="77777777" w:rsidR="00827C04" w:rsidRDefault="00827C04" w:rsidP="005F1DFB">
                      <w:pPr>
                        <w:spacing w:after="0" w:line="240" w:lineRule="auto"/>
                        <w:rPr>
                          <w:rFonts w:ascii="Segoe UI" w:hAnsi="Segoe UI" w:cs="Segoe UI"/>
                          <w:b/>
                          <w:color w:val="FFFFFF" w:themeColor="background1"/>
                        </w:rPr>
                      </w:pPr>
                    </w:p>
                    <w:p w14:paraId="4D4293FD" w14:textId="77777777" w:rsidR="00827C04" w:rsidRDefault="00827C04" w:rsidP="005F1DFB">
                      <w:pPr>
                        <w:spacing w:after="0" w:line="240" w:lineRule="auto"/>
                        <w:rPr>
                          <w:rFonts w:ascii="Segoe UI" w:hAnsi="Segoe UI" w:cs="Segoe UI"/>
                          <w:b/>
                          <w:color w:val="FFFFFF" w:themeColor="background1"/>
                        </w:rPr>
                      </w:pPr>
                    </w:p>
                    <w:p w14:paraId="0E34383D" w14:textId="77777777" w:rsidR="00827C04" w:rsidRDefault="00827C04" w:rsidP="005F1DFB">
                      <w:pPr>
                        <w:spacing w:after="0" w:line="240" w:lineRule="auto"/>
                        <w:rPr>
                          <w:rFonts w:ascii="Segoe UI" w:hAnsi="Segoe UI" w:cs="Segoe UI"/>
                          <w:b/>
                        </w:rPr>
                      </w:pPr>
                    </w:p>
                    <w:p w14:paraId="045E4226" w14:textId="77777777" w:rsidR="00827C04" w:rsidRPr="00EE05FD" w:rsidRDefault="00827C04" w:rsidP="005F1DFB">
                      <w:pPr>
                        <w:spacing w:after="0" w:line="240" w:lineRule="auto"/>
                        <w:rPr>
                          <w:rFonts w:ascii="Segoe UI" w:hAnsi="Segoe UI" w:cs="Segoe UI"/>
                          <w:sz w:val="20"/>
                          <w:szCs w:val="20"/>
                        </w:rPr>
                      </w:pPr>
                      <w:r w:rsidRPr="00EE05FD">
                        <w:rPr>
                          <w:rFonts w:ascii="Segoe UI" w:hAnsi="Segoe UI" w:cs="Segoe UI"/>
                          <w:sz w:val="20"/>
                          <w:szCs w:val="20"/>
                        </w:rPr>
                        <w:t xml:space="preserve">Víctor Bastante </w:t>
                      </w:r>
                      <w:proofErr w:type="spellStart"/>
                      <w:r w:rsidRPr="00EE05FD">
                        <w:rPr>
                          <w:rFonts w:ascii="Segoe UI" w:hAnsi="Segoe UI" w:cs="Segoe UI"/>
                          <w:sz w:val="20"/>
                          <w:szCs w:val="20"/>
                        </w:rPr>
                        <w:t>Granell</w:t>
                      </w:r>
                      <w:proofErr w:type="spellEnd"/>
                      <w:r>
                        <w:rPr>
                          <w:rFonts w:ascii="Segoe UI" w:hAnsi="Segoe UI" w:cs="Segoe UI"/>
                          <w:sz w:val="20"/>
                          <w:szCs w:val="20"/>
                        </w:rPr>
                        <w:t xml:space="preserve">. </w:t>
                      </w:r>
                    </w:p>
                    <w:p w14:paraId="2F1C51F2" w14:textId="77777777" w:rsidR="00827C04" w:rsidRPr="00EE05FD" w:rsidRDefault="00827C04" w:rsidP="005F1DFB">
                      <w:pPr>
                        <w:spacing w:after="0" w:line="240" w:lineRule="auto"/>
                        <w:rPr>
                          <w:rFonts w:ascii="Segoe UI" w:hAnsi="Segoe UI" w:cs="Segoe UI"/>
                          <w:sz w:val="20"/>
                          <w:szCs w:val="20"/>
                        </w:rPr>
                      </w:pPr>
                      <w:r w:rsidRPr="00EE05FD">
                        <w:rPr>
                          <w:rFonts w:ascii="Segoe UI" w:hAnsi="Segoe UI" w:cs="Segoe UI"/>
                          <w:sz w:val="20"/>
                          <w:szCs w:val="20"/>
                        </w:rPr>
                        <w:t xml:space="preserve">Profesor Ayudante Doctor. </w:t>
                      </w:r>
                    </w:p>
                    <w:p w14:paraId="6C8075D8" w14:textId="77777777" w:rsidR="00827C04" w:rsidRDefault="00827C04" w:rsidP="005F1DFB">
                      <w:pPr>
                        <w:spacing w:after="0" w:line="240" w:lineRule="auto"/>
                        <w:rPr>
                          <w:rFonts w:ascii="Segoe UI" w:hAnsi="Segoe UI" w:cs="Segoe UI"/>
                          <w:sz w:val="20"/>
                          <w:szCs w:val="20"/>
                        </w:rPr>
                      </w:pPr>
                      <w:r w:rsidRPr="00EE05FD">
                        <w:rPr>
                          <w:rFonts w:ascii="Segoe UI" w:hAnsi="Segoe UI" w:cs="Segoe UI"/>
                          <w:sz w:val="20"/>
                          <w:szCs w:val="20"/>
                        </w:rPr>
                        <w:t>Universidad de Almería.</w:t>
                      </w:r>
                    </w:p>
                    <w:p w14:paraId="1735E3DF" w14:textId="77777777" w:rsidR="00827C04" w:rsidRPr="003F49BB" w:rsidRDefault="00827C04" w:rsidP="005F1DFB">
                      <w:pPr>
                        <w:spacing w:after="0" w:line="240" w:lineRule="auto"/>
                        <w:rPr>
                          <w:rFonts w:ascii="Segoe UI" w:hAnsi="Segoe UI" w:cs="Segoe UI"/>
                          <w:i/>
                          <w:sz w:val="20"/>
                          <w:szCs w:val="20"/>
                        </w:rPr>
                      </w:pPr>
                      <w:r w:rsidRPr="003F49BB">
                        <w:rPr>
                          <w:rFonts w:ascii="Segoe UI" w:hAnsi="Segoe UI" w:cs="Segoe UI"/>
                          <w:i/>
                          <w:sz w:val="20"/>
                          <w:szCs w:val="20"/>
                        </w:rPr>
                        <w:t>vbg415@ual.es</w:t>
                      </w:r>
                    </w:p>
                  </w:txbxContent>
                </v:textbox>
              </v:shape>
            </w:pict>
          </mc:Fallback>
        </mc:AlternateContent>
      </w:r>
    </w:p>
    <w:p w14:paraId="634A3D0B" w14:textId="77777777" w:rsidR="00D37249" w:rsidRDefault="00D37249" w:rsidP="00656A1A">
      <w:pPr>
        <w:spacing w:beforeLines="100" w:before="240" w:afterLines="100" w:after="240"/>
        <w:jc w:val="center"/>
        <w:rPr>
          <w:noProof/>
          <w:lang w:eastAsia="es-ES"/>
        </w:rPr>
      </w:pPr>
    </w:p>
    <w:p w14:paraId="3214C097" w14:textId="77777777" w:rsidR="00D37249" w:rsidRDefault="00D37249" w:rsidP="00656A1A">
      <w:pPr>
        <w:spacing w:beforeLines="100" w:before="240" w:afterLines="100" w:after="240"/>
        <w:jc w:val="center"/>
        <w:rPr>
          <w:noProof/>
          <w:lang w:eastAsia="es-ES"/>
        </w:rPr>
      </w:pPr>
    </w:p>
    <w:p w14:paraId="612D226B" w14:textId="77777777" w:rsidR="00D37249" w:rsidRDefault="00D37249" w:rsidP="00656A1A">
      <w:pPr>
        <w:spacing w:beforeLines="100" w:before="240" w:afterLines="100" w:after="240"/>
        <w:jc w:val="center"/>
        <w:rPr>
          <w:noProof/>
          <w:lang w:eastAsia="es-ES"/>
        </w:rPr>
      </w:pPr>
    </w:p>
    <w:p w14:paraId="1B8E3A3D" w14:textId="77777777" w:rsidR="00D37249" w:rsidRDefault="00D37249" w:rsidP="00656A1A">
      <w:pPr>
        <w:spacing w:beforeLines="100" w:before="240" w:afterLines="100" w:after="240"/>
        <w:jc w:val="center"/>
        <w:rPr>
          <w:noProof/>
          <w:lang w:eastAsia="es-ES"/>
        </w:rPr>
      </w:pPr>
    </w:p>
    <w:p w14:paraId="3A5D080F" w14:textId="77777777" w:rsidR="00D37249" w:rsidRDefault="00D37249" w:rsidP="00656A1A">
      <w:pPr>
        <w:spacing w:beforeLines="100" w:before="240" w:afterLines="100" w:after="240"/>
        <w:jc w:val="center"/>
        <w:rPr>
          <w:noProof/>
          <w:lang w:eastAsia="es-ES"/>
        </w:rPr>
      </w:pPr>
    </w:p>
    <w:p w14:paraId="1E0AEF62" w14:textId="77777777" w:rsidR="00D37249" w:rsidRDefault="00D37249" w:rsidP="00656A1A">
      <w:pPr>
        <w:spacing w:beforeLines="100" w:before="240" w:afterLines="100" w:after="240"/>
        <w:jc w:val="center"/>
        <w:rPr>
          <w:noProof/>
          <w:lang w:eastAsia="es-ES"/>
        </w:rPr>
      </w:pPr>
    </w:p>
    <w:p w14:paraId="248E4477" w14:textId="77777777" w:rsidR="00D37249" w:rsidRDefault="00D37249" w:rsidP="00656A1A">
      <w:pPr>
        <w:spacing w:beforeLines="100" w:before="240" w:afterLines="100" w:after="240"/>
        <w:jc w:val="center"/>
        <w:rPr>
          <w:noProof/>
          <w:lang w:eastAsia="es-ES"/>
        </w:rPr>
      </w:pPr>
    </w:p>
    <w:p w14:paraId="00E5561C" w14:textId="77777777" w:rsidR="00D37249" w:rsidRDefault="00D37249" w:rsidP="00656A1A">
      <w:pPr>
        <w:spacing w:beforeLines="100" w:before="240" w:afterLines="100" w:after="240"/>
        <w:jc w:val="center"/>
        <w:rPr>
          <w:noProof/>
          <w:lang w:eastAsia="es-ES"/>
        </w:rPr>
      </w:pPr>
    </w:p>
    <w:p w14:paraId="79253195" w14:textId="77777777" w:rsidR="00D37249" w:rsidRDefault="00D37249" w:rsidP="00656A1A">
      <w:pPr>
        <w:spacing w:beforeLines="100" w:before="240" w:afterLines="100" w:after="240"/>
        <w:jc w:val="center"/>
        <w:rPr>
          <w:noProof/>
          <w:lang w:eastAsia="es-ES"/>
        </w:rPr>
      </w:pPr>
    </w:p>
    <w:p w14:paraId="22EC10ED" w14:textId="77777777" w:rsidR="00D37249" w:rsidRDefault="00D37249" w:rsidP="00656A1A">
      <w:pPr>
        <w:spacing w:beforeLines="100" w:before="240" w:afterLines="100" w:after="240"/>
        <w:jc w:val="center"/>
        <w:rPr>
          <w:noProof/>
          <w:lang w:eastAsia="es-ES"/>
        </w:rPr>
      </w:pPr>
    </w:p>
    <w:p w14:paraId="55521369" w14:textId="77777777" w:rsidR="00D37249" w:rsidRDefault="00D37249" w:rsidP="00656A1A">
      <w:pPr>
        <w:spacing w:beforeLines="100" w:before="240" w:afterLines="100" w:after="240"/>
        <w:jc w:val="center"/>
        <w:rPr>
          <w:noProof/>
          <w:lang w:eastAsia="es-ES"/>
        </w:rPr>
      </w:pPr>
    </w:p>
    <w:p w14:paraId="48BF8FA4" w14:textId="77777777" w:rsidR="00D37249" w:rsidRDefault="00D37249" w:rsidP="00656A1A">
      <w:pPr>
        <w:spacing w:beforeLines="100" w:before="240" w:afterLines="100" w:after="240"/>
        <w:jc w:val="center"/>
        <w:rPr>
          <w:noProof/>
          <w:lang w:eastAsia="es-ES"/>
        </w:rPr>
      </w:pPr>
    </w:p>
    <w:p w14:paraId="77F66103" w14:textId="77777777" w:rsidR="00D37249" w:rsidRDefault="00D37249" w:rsidP="00656A1A">
      <w:pPr>
        <w:spacing w:beforeLines="100" w:before="240" w:afterLines="100" w:after="240"/>
        <w:jc w:val="center"/>
        <w:rPr>
          <w:noProof/>
          <w:lang w:eastAsia="es-ES"/>
        </w:rPr>
      </w:pPr>
    </w:p>
    <w:p w14:paraId="41F4B982" w14:textId="77777777" w:rsidR="00D37249" w:rsidRDefault="00D37249" w:rsidP="00656A1A">
      <w:pPr>
        <w:spacing w:beforeLines="100" w:before="240" w:afterLines="100" w:after="240"/>
        <w:jc w:val="center"/>
        <w:rPr>
          <w:noProof/>
          <w:lang w:eastAsia="es-ES"/>
        </w:rPr>
      </w:pPr>
    </w:p>
    <w:p w14:paraId="647D8F29" w14:textId="77777777" w:rsidR="00D37249" w:rsidRDefault="00D37249" w:rsidP="00656A1A">
      <w:pPr>
        <w:spacing w:beforeLines="100" w:before="240" w:afterLines="100" w:after="240"/>
        <w:jc w:val="center"/>
        <w:rPr>
          <w:noProof/>
          <w:lang w:eastAsia="es-ES"/>
        </w:rPr>
      </w:pPr>
    </w:p>
    <w:p w14:paraId="3FE9F70E" w14:textId="77777777" w:rsidR="00D37249" w:rsidRDefault="005F0DEC"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60288" behindDoc="0" locked="0" layoutInCell="1" allowOverlap="1" wp14:anchorId="648F4A92" wp14:editId="682CB527">
                <wp:simplePos x="0" y="0"/>
                <wp:positionH relativeFrom="column">
                  <wp:posOffset>5288354</wp:posOffset>
                </wp:positionH>
                <wp:positionV relativeFrom="paragraph">
                  <wp:posOffset>504175</wp:posOffset>
                </wp:positionV>
                <wp:extent cx="1190360" cy="786396"/>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190360" cy="7863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130AB" w14:textId="77777777" w:rsidR="00827C04" w:rsidRPr="005F0DEC" w:rsidRDefault="00827C04">
                            <w:pPr>
                              <w:rPr>
                                <w:rFonts w:ascii="Monotype Corsiva" w:hAnsi="Monotype Corsiva"/>
                                <w:b/>
                                <w:color w:val="FFFFFF" w:themeColor="background1"/>
                                <w:sz w:val="72"/>
                                <w:szCs w:val="72"/>
                              </w:rPr>
                            </w:pPr>
                            <w:proofErr w:type="spellStart"/>
                            <w:r w:rsidRPr="005F0DEC">
                              <w:rPr>
                                <w:rFonts w:ascii="Monotype Corsiva" w:hAnsi="Monotype Corsiva"/>
                                <w:b/>
                                <w:color w:val="FFFFFF" w:themeColor="background1"/>
                                <w:sz w:val="72"/>
                                <w:szCs w:val="72"/>
                              </w:rPr>
                              <w:t>NyR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Cuadro de texto" o:spid="_x0000_s1027" type="#_x0000_t202" style="position:absolute;left:0;text-align:left;margin-left:416.4pt;margin-top:39.7pt;width:93.75pt;height:6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" filled="f" stroked="f" strokeweight=".5pt">
                <v:textbox>
                  <w:txbxContent>
                    <w:p w14:paraId="320130AB" w14:textId="77777777" w:rsidR="00827C04" w:rsidRPr="005F0DEC" w:rsidRDefault="00827C04">
                      <w:pPr>
                        <w:rPr>
                          <w:rFonts w:ascii="Monotype Corsiva" w:hAnsi="Monotype Corsiva"/>
                          <w:b/>
                          <w:color w:val="FFFFFF" w:themeColor="background1"/>
                          <w:sz w:val="72"/>
                          <w:szCs w:val="72"/>
                        </w:rPr>
                      </w:pPr>
                      <w:proofErr w:type="spellStart"/>
                      <w:r w:rsidRPr="005F0DEC">
                        <w:rPr>
                          <w:rFonts w:ascii="Monotype Corsiva" w:hAnsi="Monotype Corsiva"/>
                          <w:b/>
                          <w:color w:val="FFFFFF" w:themeColor="background1"/>
                          <w:sz w:val="72"/>
                          <w:szCs w:val="72"/>
                        </w:rPr>
                        <w:t>NyR</w:t>
                      </w:r>
                      <w:proofErr w:type="spellEnd"/>
                    </w:p>
                  </w:txbxContent>
                </v:textbox>
              </v:shape>
            </w:pict>
          </mc:Fallback>
        </mc:AlternateContent>
      </w:r>
    </w:p>
    <w:p w14:paraId="0DB7A1CA" w14:textId="77777777" w:rsidR="00C660D0" w:rsidRDefault="000562B1" w:rsidP="00226C2F">
      <w:pPr>
        <w:spacing w:after="0" w:line="240" w:lineRule="auto"/>
        <w:jc w:val="center"/>
        <w:rPr>
          <w:rFonts w:cstheme="minorHAnsi"/>
          <w:b/>
          <w:color w:val="FFFFFF" w:themeColor="background1"/>
          <w:sz w:val="32"/>
          <w:szCs w:val="32"/>
        </w:rPr>
      </w:pPr>
      <w:r w:rsidRPr="00226C2F">
        <w:rPr>
          <w:rFonts w:cstheme="minorHAnsi"/>
          <w:b/>
          <w:noProof/>
          <w:color w:val="FFFFFF" w:themeColor="background1"/>
          <w:sz w:val="32"/>
          <w:szCs w:val="32"/>
          <w:lang w:eastAsia="es-ES"/>
        </w:rPr>
        <w:lastRenderedPageBreak/>
        <w:drawing>
          <wp:anchor distT="0" distB="0" distL="114300" distR="114300" simplePos="0" relativeHeight="251662336" behindDoc="1" locked="0" layoutInCell="1" allowOverlap="1" wp14:anchorId="162E8B83" wp14:editId="5C5117FE">
            <wp:simplePos x="0" y="0"/>
            <wp:positionH relativeFrom="column">
              <wp:posOffset>-1048237</wp:posOffset>
            </wp:positionH>
            <wp:positionV relativeFrom="paragraph">
              <wp:posOffset>-889162</wp:posOffset>
            </wp:positionV>
            <wp:extent cx="7549116" cy="9803218"/>
            <wp:effectExtent l="0" t="0" r="0" b="7620"/>
            <wp:wrapNone/>
            <wp:docPr id="7" name="Imagen 7" descr="C:\Users\Jesus\Downloads\Red and Grayscale Corporate Company Annual Repor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sus\Downloads\Red and Grayscale Corporate Company Annual Report (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49116" cy="9803218"/>
                    </a:xfrm>
                    <a:prstGeom prst="rect">
                      <a:avLst/>
                    </a:prstGeom>
                    <a:noFill/>
                    <a:ln>
                      <a:noFill/>
                    </a:ln>
                  </pic:spPr>
                </pic:pic>
              </a:graphicData>
            </a:graphic>
            <wp14:sizeRelH relativeFrom="page">
              <wp14:pctWidth>0</wp14:pctWidth>
            </wp14:sizeRelH>
            <wp14:sizeRelV relativeFrom="page">
              <wp14:pctHeight>0</wp14:pctHeight>
            </wp14:sizeRelV>
          </wp:anchor>
        </w:drawing>
      </w:r>
      <w:r w:rsidR="00226C2F">
        <w:rPr>
          <w:rFonts w:cstheme="minorHAnsi"/>
          <w:b/>
          <w:noProof/>
          <w:color w:val="FFFFFF" w:themeColor="background1"/>
          <w:sz w:val="32"/>
          <w:szCs w:val="32"/>
          <w:lang w:eastAsia="es-ES"/>
        </w:rPr>
        <mc:AlternateContent>
          <mc:Choice Requires="wps">
            <w:drawing>
              <wp:anchor distT="0" distB="0" distL="114300" distR="114300" simplePos="0" relativeHeight="251663360" behindDoc="0" locked="0" layoutInCell="1" allowOverlap="1" wp14:anchorId="3FA495B1" wp14:editId="280F7CF2">
                <wp:simplePos x="0" y="0"/>
                <wp:positionH relativeFrom="column">
                  <wp:posOffset>1120775</wp:posOffset>
                </wp:positionH>
                <wp:positionV relativeFrom="paragraph">
                  <wp:posOffset>-218307</wp:posOffset>
                </wp:positionV>
                <wp:extent cx="3466213" cy="1073889"/>
                <wp:effectExtent l="0" t="0" r="0" b="0"/>
                <wp:wrapNone/>
                <wp:docPr id="11" name="11 Cuadro de texto"/>
                <wp:cNvGraphicFramePr/>
                <a:graphic xmlns:a="http://schemas.openxmlformats.org/drawingml/2006/main">
                  <a:graphicData uri="http://schemas.microsoft.com/office/word/2010/wordprocessingShape">
                    <wps:wsp>
                      <wps:cNvSpPr txBox="1"/>
                      <wps:spPr>
                        <a:xfrm>
                          <a:off x="0" y="0"/>
                          <a:ext cx="3466213" cy="10738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498AFD" w14:textId="77777777" w:rsidR="00827C04" w:rsidRPr="00226C2F" w:rsidRDefault="00827C04" w:rsidP="00226C2F">
                            <w:pPr>
                              <w:spacing w:after="0" w:line="240" w:lineRule="auto"/>
                              <w:jc w:val="center"/>
                              <w:rPr>
                                <w:rFonts w:cstheme="minorHAnsi"/>
                                <w:b/>
                                <w:color w:val="000000" w:themeColor="text1"/>
                                <w:sz w:val="32"/>
                                <w:szCs w:val="32"/>
                              </w:rPr>
                            </w:pPr>
                            <w:r>
                              <w:rPr>
                                <w:rFonts w:cstheme="minorHAnsi"/>
                                <w:b/>
                                <w:color w:val="FFFFFF" w:themeColor="background1"/>
                                <w:sz w:val="32"/>
                                <w:szCs w:val="32"/>
                              </w:rPr>
                              <w:t>I</w:t>
                            </w:r>
                            <w:r w:rsidRPr="00226C2F">
                              <w:rPr>
                                <w:rFonts w:cstheme="minorHAnsi"/>
                                <w:b/>
                                <w:color w:val="FFFFFF" w:themeColor="background1"/>
                                <w:sz w:val="32"/>
                                <w:szCs w:val="32"/>
                              </w:rPr>
                              <w:t>NFORME</w:t>
                            </w:r>
                          </w:p>
                          <w:p w14:paraId="7A65D15E" w14:textId="77777777" w:rsidR="00827C04" w:rsidRPr="00226C2F" w:rsidRDefault="00827C04" w:rsidP="00226C2F">
                            <w:pPr>
                              <w:spacing w:after="0" w:line="240" w:lineRule="auto"/>
                              <w:jc w:val="center"/>
                              <w:rPr>
                                <w:rFonts w:cstheme="minorHAnsi"/>
                                <w:b/>
                                <w:color w:val="000000" w:themeColor="text1"/>
                                <w:sz w:val="28"/>
                                <w:szCs w:val="28"/>
                              </w:rPr>
                            </w:pPr>
                            <w:r>
                              <w:rPr>
                                <w:rFonts w:cstheme="minorHAnsi"/>
                                <w:b/>
                                <w:color w:val="000000" w:themeColor="text1"/>
                                <w:sz w:val="28"/>
                                <w:szCs w:val="28"/>
                              </w:rPr>
                              <w:t xml:space="preserve">DERECHO Y CONSUMO </w:t>
                            </w:r>
                            <w:r w:rsidRPr="00226C2F">
                              <w:rPr>
                                <w:rFonts w:cstheme="minorHAnsi"/>
                                <w:b/>
                                <w:color w:val="000000" w:themeColor="text1"/>
                                <w:sz w:val="28"/>
                                <w:szCs w:val="28"/>
                              </w:rPr>
                              <w:t>(BIBLIOGRAFÍA)</w:t>
                            </w:r>
                          </w:p>
                          <w:p w14:paraId="2F1DEB9A" w14:textId="77777777" w:rsidR="00827C04" w:rsidRPr="005F0DEC" w:rsidRDefault="00827C04" w:rsidP="00226C2F">
                            <w:pPr>
                              <w:spacing w:after="0" w:line="240" w:lineRule="auto"/>
                              <w:rPr>
                                <w:rFonts w:cstheme="minorHAnsi"/>
                                <w:b/>
                                <w:color w:val="FFFFFF" w:themeColor="background1"/>
                              </w:rPr>
                            </w:pPr>
                          </w:p>
                          <w:p w14:paraId="31D940F1" w14:textId="5C333FA2" w:rsidR="00827C04" w:rsidRDefault="00567AAA" w:rsidP="00567AAA">
                            <w:pPr>
                              <w:jc w:val="center"/>
                            </w:pPr>
                            <w:r>
                              <w:rPr>
                                <w:rFonts w:cstheme="minorHAnsi"/>
                                <w:b/>
                                <w:color w:val="FFFFFF" w:themeColor="background1"/>
                                <w:sz w:val="20"/>
                                <w:szCs w:val="20"/>
                              </w:rPr>
                              <w:t>Enero-Marzo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1 Cuadro de texto" o:spid="_x0000_s1028" type="#_x0000_t202" style="position:absolute;left:0;text-align:left;margin-left:88.25pt;margin-top:-17.2pt;width:272.95pt;height:84.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" filled="f" stroked="f" strokeweight=".5pt">
                <v:textbox>
                  <w:txbxContent>
                    <w:p w14:paraId="22498AFD" w14:textId="77777777" w:rsidR="00827C04" w:rsidRPr="00226C2F" w:rsidRDefault="00827C04" w:rsidP="00226C2F">
                      <w:pPr>
                        <w:spacing w:after="0" w:line="240" w:lineRule="auto"/>
                        <w:jc w:val="center"/>
                        <w:rPr>
                          <w:rFonts w:cstheme="minorHAnsi"/>
                          <w:b/>
                          <w:color w:val="000000" w:themeColor="text1"/>
                          <w:sz w:val="32"/>
                          <w:szCs w:val="32"/>
                        </w:rPr>
                      </w:pPr>
                      <w:r>
                        <w:rPr>
                          <w:rFonts w:cstheme="minorHAnsi"/>
                          <w:b/>
                          <w:color w:val="FFFFFF" w:themeColor="background1"/>
                          <w:sz w:val="32"/>
                          <w:szCs w:val="32"/>
                        </w:rPr>
                        <w:t>I</w:t>
                      </w:r>
                      <w:r w:rsidRPr="00226C2F">
                        <w:rPr>
                          <w:rFonts w:cstheme="minorHAnsi"/>
                          <w:b/>
                          <w:color w:val="FFFFFF" w:themeColor="background1"/>
                          <w:sz w:val="32"/>
                          <w:szCs w:val="32"/>
                        </w:rPr>
                        <w:t>NFORME</w:t>
                      </w:r>
                    </w:p>
                    <w:p w14:paraId="7A65D15E" w14:textId="77777777" w:rsidR="00827C04" w:rsidRPr="00226C2F" w:rsidRDefault="00827C04" w:rsidP="00226C2F">
                      <w:pPr>
                        <w:spacing w:after="0" w:line="240" w:lineRule="auto"/>
                        <w:jc w:val="center"/>
                        <w:rPr>
                          <w:rFonts w:cstheme="minorHAnsi"/>
                          <w:b/>
                          <w:color w:val="000000" w:themeColor="text1"/>
                          <w:sz w:val="28"/>
                          <w:szCs w:val="28"/>
                        </w:rPr>
                      </w:pPr>
                      <w:r>
                        <w:rPr>
                          <w:rFonts w:cstheme="minorHAnsi"/>
                          <w:b/>
                          <w:color w:val="000000" w:themeColor="text1"/>
                          <w:sz w:val="28"/>
                          <w:szCs w:val="28"/>
                        </w:rPr>
                        <w:t xml:space="preserve">DERECHO Y CONSUMO </w:t>
                      </w:r>
                      <w:r w:rsidRPr="00226C2F">
                        <w:rPr>
                          <w:rFonts w:cstheme="minorHAnsi"/>
                          <w:b/>
                          <w:color w:val="000000" w:themeColor="text1"/>
                          <w:sz w:val="28"/>
                          <w:szCs w:val="28"/>
                        </w:rPr>
                        <w:t>(BIBLIOGRAFÍA)</w:t>
                      </w:r>
                    </w:p>
                    <w:p w14:paraId="2F1DEB9A" w14:textId="77777777" w:rsidR="00827C04" w:rsidRPr="005F0DEC" w:rsidRDefault="00827C04" w:rsidP="00226C2F">
                      <w:pPr>
                        <w:spacing w:after="0" w:line="240" w:lineRule="auto"/>
                        <w:rPr>
                          <w:rFonts w:cstheme="minorHAnsi"/>
                          <w:b/>
                          <w:color w:val="FFFFFF" w:themeColor="background1"/>
                        </w:rPr>
                      </w:pPr>
                    </w:p>
                    <w:p w14:paraId="31D940F1" w14:textId="5C333FA2" w:rsidR="00827C04" w:rsidRDefault="00567AAA" w:rsidP="00567AAA">
                      <w:pPr>
                        <w:jc w:val="center"/>
                      </w:pPr>
                      <w:r>
                        <w:rPr>
                          <w:rFonts w:cstheme="minorHAnsi"/>
                          <w:b/>
                          <w:color w:val="FFFFFF" w:themeColor="background1"/>
                          <w:sz w:val="20"/>
                          <w:szCs w:val="20"/>
                        </w:rPr>
                        <w:t>Enero-Marzo 2022</w:t>
                      </w:r>
                    </w:p>
                  </w:txbxContent>
                </v:textbox>
              </v:shape>
            </w:pict>
          </mc:Fallback>
        </mc:AlternateContent>
      </w:r>
    </w:p>
    <w:p w14:paraId="58C683B8" w14:textId="77777777" w:rsidR="00226C2F" w:rsidRDefault="00226C2F" w:rsidP="00226C2F">
      <w:pPr>
        <w:spacing w:after="0" w:line="240" w:lineRule="auto"/>
        <w:jc w:val="center"/>
        <w:rPr>
          <w:rFonts w:cstheme="minorHAnsi"/>
          <w:b/>
          <w:color w:val="FFFFFF" w:themeColor="background1"/>
          <w:sz w:val="32"/>
          <w:szCs w:val="32"/>
        </w:rPr>
      </w:pPr>
    </w:p>
    <w:p w14:paraId="52B812AB" w14:textId="77777777" w:rsidR="00226C2F" w:rsidRDefault="00226C2F" w:rsidP="00226C2F">
      <w:pPr>
        <w:spacing w:after="0" w:line="240" w:lineRule="auto"/>
        <w:jc w:val="center"/>
        <w:rPr>
          <w:rFonts w:cstheme="minorHAnsi"/>
          <w:b/>
          <w:color w:val="FFFFFF" w:themeColor="background1"/>
          <w:sz w:val="32"/>
          <w:szCs w:val="32"/>
        </w:rPr>
      </w:pPr>
      <w:r>
        <w:rPr>
          <w:noProof/>
          <w:lang w:eastAsia="es-ES"/>
        </w:rPr>
        <mc:AlternateContent>
          <mc:Choice Requires="wps">
            <w:drawing>
              <wp:anchor distT="0" distB="0" distL="114300" distR="114300" simplePos="0" relativeHeight="251665408" behindDoc="0" locked="0" layoutInCell="1" allowOverlap="1" wp14:anchorId="75391AFD" wp14:editId="2ACD5C44">
                <wp:simplePos x="0" y="0"/>
                <wp:positionH relativeFrom="column">
                  <wp:posOffset>4331335</wp:posOffset>
                </wp:positionH>
                <wp:positionV relativeFrom="paragraph">
                  <wp:posOffset>71297</wp:posOffset>
                </wp:positionV>
                <wp:extent cx="659130" cy="477520"/>
                <wp:effectExtent l="0" t="0" r="0" b="0"/>
                <wp:wrapNone/>
                <wp:docPr id="12" name="12 Cuadro de texto"/>
                <wp:cNvGraphicFramePr/>
                <a:graphic xmlns:a="http://schemas.openxmlformats.org/drawingml/2006/main">
                  <a:graphicData uri="http://schemas.microsoft.com/office/word/2010/wordprocessingShape">
                    <wps:wsp>
                      <wps:cNvSpPr txBox="1"/>
                      <wps:spPr>
                        <a:xfrm>
                          <a:off x="0" y="0"/>
                          <a:ext cx="659130" cy="477520"/>
                        </a:xfrm>
                        <a:prstGeom prst="rect">
                          <a:avLst/>
                        </a:prstGeom>
                        <a:noFill/>
                        <a:ln w="6350">
                          <a:noFill/>
                        </a:ln>
                        <a:effectLst/>
                      </wps:spPr>
                      <wps:txbx>
                        <w:txbxContent>
                          <w:p w14:paraId="04DC319D" w14:textId="77777777" w:rsidR="00827C04" w:rsidRPr="00226C2F" w:rsidRDefault="00827C04" w:rsidP="00226C2F">
                            <w:pPr>
                              <w:rPr>
                                <w:rFonts w:ascii="Monotype Corsiva" w:hAnsi="Monotype Corsiva"/>
                                <w:b/>
                                <w:color w:val="FFFFFF" w:themeColor="background1"/>
                                <w:sz w:val="32"/>
                                <w:szCs w:val="32"/>
                              </w:rPr>
                            </w:pPr>
                            <w:proofErr w:type="spellStart"/>
                            <w:r w:rsidRPr="00226C2F">
                              <w:rPr>
                                <w:rFonts w:ascii="Monotype Corsiva" w:hAnsi="Monotype Corsiva"/>
                                <w:b/>
                                <w:color w:val="FFFFFF" w:themeColor="background1"/>
                                <w:sz w:val="32"/>
                                <w:szCs w:val="32"/>
                              </w:rPr>
                              <w:t>NyR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 Cuadro de texto" o:spid="_x0000_s1029" type="#_x0000_t202" style="position:absolute;left:0;text-align:left;margin-left:341.05pt;margin-top:5.6pt;width:51.9pt;height:3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" filled="f" stroked="f" strokeweight=".5pt">
                <v:textbox>
                  <w:txbxContent>
                    <w:p w14:paraId="04DC319D" w14:textId="77777777" w:rsidR="00827C04" w:rsidRPr="00226C2F" w:rsidRDefault="00827C04" w:rsidP="00226C2F">
                      <w:pPr>
                        <w:rPr>
                          <w:rFonts w:ascii="Monotype Corsiva" w:hAnsi="Monotype Corsiva"/>
                          <w:b/>
                          <w:color w:val="FFFFFF" w:themeColor="background1"/>
                          <w:sz w:val="32"/>
                          <w:szCs w:val="32"/>
                        </w:rPr>
                      </w:pPr>
                      <w:proofErr w:type="spellStart"/>
                      <w:r w:rsidRPr="00226C2F">
                        <w:rPr>
                          <w:rFonts w:ascii="Monotype Corsiva" w:hAnsi="Monotype Corsiva"/>
                          <w:b/>
                          <w:color w:val="FFFFFF" w:themeColor="background1"/>
                          <w:sz w:val="32"/>
                          <w:szCs w:val="32"/>
                        </w:rPr>
                        <w:t>NyR</w:t>
                      </w:r>
                      <w:proofErr w:type="spellEnd"/>
                    </w:p>
                  </w:txbxContent>
                </v:textbox>
              </v:shape>
            </w:pict>
          </mc:Fallback>
        </mc:AlternateContent>
      </w:r>
    </w:p>
    <w:p w14:paraId="7AB10861" w14:textId="77777777" w:rsidR="00226C2F" w:rsidRDefault="00226C2F" w:rsidP="00226C2F">
      <w:pPr>
        <w:spacing w:after="0" w:line="240" w:lineRule="auto"/>
        <w:jc w:val="center"/>
        <w:rPr>
          <w:rFonts w:cstheme="minorHAnsi"/>
          <w:b/>
          <w:color w:val="FFFFFF" w:themeColor="background1"/>
          <w:sz w:val="32"/>
          <w:szCs w:val="32"/>
        </w:rPr>
      </w:pPr>
    </w:p>
    <w:p w14:paraId="749B5E68" w14:textId="77777777" w:rsidR="00226C2F" w:rsidRPr="00226C2F" w:rsidRDefault="00226C2F" w:rsidP="00226C2F">
      <w:pPr>
        <w:spacing w:after="0" w:line="240" w:lineRule="auto"/>
        <w:jc w:val="center"/>
        <w:rPr>
          <w:rFonts w:cstheme="minorHAnsi"/>
          <w:b/>
          <w:color w:val="FFFFFF" w:themeColor="background1"/>
          <w:sz w:val="20"/>
          <w:szCs w:val="20"/>
        </w:rPr>
      </w:pPr>
    </w:p>
    <w:p w14:paraId="0781AEA6" w14:textId="77777777" w:rsidR="00226C2F" w:rsidRPr="005F0DEC" w:rsidRDefault="00226C2F" w:rsidP="00C943B2">
      <w:pPr>
        <w:rPr>
          <w:rFonts w:ascii="Segoe UI" w:hAnsi="Segoe UI" w:cs="Segoe UI"/>
          <w:b/>
          <w:color w:val="000000" w:themeColor="text1"/>
          <w:sz w:val="20"/>
          <w:szCs w:val="20"/>
        </w:rPr>
      </w:pPr>
    </w:p>
    <w:p w14:paraId="3001F5EB" w14:textId="77777777" w:rsidR="00467E42" w:rsidRPr="00DB3058" w:rsidRDefault="00467E42" w:rsidP="00467E42">
      <w:pPr>
        <w:spacing w:after="0" w:line="240" w:lineRule="auto"/>
        <w:jc w:val="both"/>
        <w:rPr>
          <w:sz w:val="20"/>
          <w:szCs w:val="20"/>
        </w:rPr>
      </w:pPr>
    </w:p>
    <w:p w14:paraId="5A953E09" w14:textId="2A7AE1A1" w:rsidR="00567AAA" w:rsidRPr="00567AAA" w:rsidRDefault="00567AAA" w:rsidP="00567AAA">
      <w:pPr>
        <w:pStyle w:val="Prrafodelista"/>
        <w:numPr>
          <w:ilvl w:val="0"/>
          <w:numId w:val="8"/>
        </w:numPr>
        <w:spacing w:after="0" w:line="240" w:lineRule="auto"/>
        <w:jc w:val="both"/>
        <w:rPr>
          <w:sz w:val="20"/>
          <w:szCs w:val="20"/>
        </w:rPr>
      </w:pPr>
      <w:proofErr w:type="spellStart"/>
      <w:r w:rsidRPr="00567AAA">
        <w:rPr>
          <w:sz w:val="20"/>
          <w:szCs w:val="20"/>
        </w:rPr>
        <w:t>Achón</w:t>
      </w:r>
      <w:proofErr w:type="spellEnd"/>
      <w:r w:rsidRPr="00567AAA">
        <w:rPr>
          <w:sz w:val="20"/>
          <w:szCs w:val="20"/>
        </w:rPr>
        <w:t xml:space="preserve"> </w:t>
      </w:r>
      <w:proofErr w:type="spellStart"/>
      <w:r w:rsidRPr="00567AAA">
        <w:rPr>
          <w:sz w:val="20"/>
          <w:szCs w:val="20"/>
        </w:rPr>
        <w:t>Bruñén</w:t>
      </w:r>
      <w:proofErr w:type="spellEnd"/>
      <w:r w:rsidRPr="00567AAA">
        <w:rPr>
          <w:sz w:val="20"/>
          <w:szCs w:val="20"/>
        </w:rPr>
        <w:t xml:space="preserve">, M. J. “Alegación de cláusulas abusivas extemporáneamente, incluso terminado el procedimiento hipotecario y aun después del lanzamiento: casos en que prospera”: </w:t>
      </w:r>
      <w:r w:rsidRPr="00567AAA">
        <w:rPr>
          <w:i/>
          <w:sz w:val="20"/>
          <w:szCs w:val="20"/>
        </w:rPr>
        <w:t>Diario La Ley</w:t>
      </w:r>
      <w:r w:rsidRPr="00567AAA">
        <w:rPr>
          <w:sz w:val="20"/>
          <w:szCs w:val="20"/>
        </w:rPr>
        <w:t>, Nº 10031, 2022.</w:t>
      </w:r>
    </w:p>
    <w:p w14:paraId="2A79D788" w14:textId="77777777" w:rsidR="00567AAA" w:rsidRPr="00567AAA" w:rsidRDefault="00567AAA" w:rsidP="00567AAA">
      <w:pPr>
        <w:pStyle w:val="Prrafodelista"/>
        <w:spacing w:after="0" w:line="240" w:lineRule="auto"/>
        <w:ind w:left="360"/>
        <w:jc w:val="both"/>
        <w:rPr>
          <w:sz w:val="20"/>
          <w:szCs w:val="20"/>
        </w:rPr>
      </w:pPr>
    </w:p>
    <w:p w14:paraId="1F4E4457" w14:textId="77777777" w:rsidR="00567AAA" w:rsidRPr="00567AAA" w:rsidRDefault="00567AAA" w:rsidP="00567AAA">
      <w:pPr>
        <w:pStyle w:val="Prrafodelista"/>
        <w:numPr>
          <w:ilvl w:val="0"/>
          <w:numId w:val="9"/>
        </w:numPr>
        <w:spacing w:after="0" w:line="240" w:lineRule="auto"/>
        <w:jc w:val="both"/>
        <w:rPr>
          <w:sz w:val="20"/>
          <w:szCs w:val="20"/>
        </w:rPr>
      </w:pPr>
      <w:proofErr w:type="spellStart"/>
      <w:r w:rsidRPr="00567AAA">
        <w:rPr>
          <w:sz w:val="20"/>
          <w:szCs w:val="20"/>
        </w:rPr>
        <w:t>Achón</w:t>
      </w:r>
      <w:proofErr w:type="spellEnd"/>
      <w:r w:rsidRPr="00567AAA">
        <w:rPr>
          <w:sz w:val="20"/>
          <w:szCs w:val="20"/>
        </w:rPr>
        <w:t xml:space="preserve"> </w:t>
      </w:r>
      <w:proofErr w:type="spellStart"/>
      <w:r w:rsidRPr="00567AAA">
        <w:rPr>
          <w:sz w:val="20"/>
          <w:szCs w:val="20"/>
        </w:rPr>
        <w:t>Bruñén</w:t>
      </w:r>
      <w:proofErr w:type="spellEnd"/>
      <w:r w:rsidRPr="00567AAA">
        <w:rPr>
          <w:sz w:val="20"/>
          <w:szCs w:val="20"/>
        </w:rPr>
        <w:t xml:space="preserve">, M. J. “Supuestos en que las personas físicas con ánimo de lucro, las personas jurídicas y los entes sin personalidad pueden ostentar la consideración de consumidores en contratos de adhesión”: </w:t>
      </w:r>
      <w:proofErr w:type="spellStart"/>
      <w:r w:rsidRPr="00567AAA">
        <w:rPr>
          <w:i/>
          <w:sz w:val="20"/>
          <w:szCs w:val="20"/>
        </w:rPr>
        <w:t>CEFLegal</w:t>
      </w:r>
      <w:proofErr w:type="spellEnd"/>
      <w:r w:rsidRPr="00567AAA">
        <w:rPr>
          <w:i/>
          <w:sz w:val="20"/>
          <w:szCs w:val="20"/>
        </w:rPr>
        <w:t>: revista práctica de derecho. Comentarios y casos prácticos</w:t>
      </w:r>
      <w:r w:rsidRPr="00567AAA">
        <w:rPr>
          <w:sz w:val="20"/>
          <w:szCs w:val="20"/>
        </w:rPr>
        <w:t>, Nº. 252, 2022.</w:t>
      </w:r>
    </w:p>
    <w:p w14:paraId="18A07F78" w14:textId="77777777" w:rsidR="00567AAA" w:rsidRPr="00567AAA" w:rsidRDefault="00567AAA" w:rsidP="00567AAA">
      <w:pPr>
        <w:pStyle w:val="Prrafodelista"/>
        <w:spacing w:after="0" w:line="240" w:lineRule="auto"/>
        <w:ind w:left="360"/>
        <w:jc w:val="both"/>
        <w:rPr>
          <w:sz w:val="20"/>
          <w:szCs w:val="20"/>
        </w:rPr>
      </w:pPr>
    </w:p>
    <w:p w14:paraId="6046EB78"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Álvarez Lata, N. “¿Responden los organismos notificados por los daños producidos por los productos auditados por ellos frente a los consumidores</w:t>
      </w:r>
      <w:proofErr w:type="gramStart"/>
      <w:r w:rsidRPr="00567AAA">
        <w:rPr>
          <w:sz w:val="20"/>
          <w:szCs w:val="20"/>
        </w:rPr>
        <w:t>?.</w:t>
      </w:r>
      <w:proofErr w:type="gramEnd"/>
      <w:r w:rsidRPr="00567AAA">
        <w:rPr>
          <w:sz w:val="20"/>
          <w:szCs w:val="20"/>
        </w:rPr>
        <w:t xml:space="preserve"> Comentario a la STS, de 18 de enero de 2021 (RJ 2021, 99)”: </w:t>
      </w:r>
      <w:r w:rsidRPr="00567AAA">
        <w:rPr>
          <w:i/>
          <w:sz w:val="20"/>
          <w:szCs w:val="20"/>
        </w:rPr>
        <w:t xml:space="preserve">Cuadernos </w:t>
      </w:r>
      <w:proofErr w:type="spellStart"/>
      <w:r w:rsidRPr="00567AAA">
        <w:rPr>
          <w:i/>
          <w:sz w:val="20"/>
          <w:szCs w:val="20"/>
        </w:rPr>
        <w:t>Civitas</w:t>
      </w:r>
      <w:proofErr w:type="spellEnd"/>
      <w:r w:rsidRPr="00567AAA">
        <w:rPr>
          <w:i/>
          <w:sz w:val="20"/>
          <w:szCs w:val="20"/>
        </w:rPr>
        <w:t xml:space="preserve"> de jurisprudencia civil</w:t>
      </w:r>
      <w:r w:rsidRPr="00567AAA">
        <w:rPr>
          <w:sz w:val="20"/>
          <w:szCs w:val="20"/>
        </w:rPr>
        <w:t>, Nº 117, 2021, págs. 139-154.</w:t>
      </w:r>
    </w:p>
    <w:p w14:paraId="1BC4425F" w14:textId="77777777" w:rsidR="00567AAA" w:rsidRPr="00567AAA" w:rsidRDefault="00567AAA" w:rsidP="00567AAA">
      <w:pPr>
        <w:pStyle w:val="Prrafodelista"/>
        <w:spacing w:after="0" w:line="240" w:lineRule="auto"/>
        <w:ind w:left="360"/>
        <w:jc w:val="both"/>
        <w:rPr>
          <w:sz w:val="20"/>
          <w:szCs w:val="20"/>
        </w:rPr>
      </w:pPr>
    </w:p>
    <w:p w14:paraId="5332FFF1"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Arroyo Amayuelas, E. “Entra en vigor el Real Decreto Ley 7/2021 (compraventa de bienes de consumo y suministro de contenidos y servicios digitales al consumidor)”: </w:t>
      </w:r>
      <w:r w:rsidRPr="00567AAA">
        <w:rPr>
          <w:i/>
          <w:sz w:val="20"/>
          <w:szCs w:val="20"/>
        </w:rPr>
        <w:t>Revista CESCO</w:t>
      </w:r>
      <w:r w:rsidRPr="00567AAA">
        <w:rPr>
          <w:sz w:val="20"/>
          <w:szCs w:val="20"/>
        </w:rPr>
        <w:t xml:space="preserve">, Nº 41  (enero-marzo), 2022, págs. 1-32. </w:t>
      </w:r>
    </w:p>
    <w:p w14:paraId="66919AB0" w14:textId="77777777" w:rsidR="00567AAA" w:rsidRPr="00567AAA" w:rsidRDefault="00567AAA" w:rsidP="00567AAA">
      <w:pPr>
        <w:pStyle w:val="Prrafodelista"/>
        <w:spacing w:after="0" w:line="240" w:lineRule="auto"/>
        <w:ind w:left="360"/>
        <w:jc w:val="both"/>
        <w:rPr>
          <w:sz w:val="20"/>
          <w:szCs w:val="20"/>
        </w:rPr>
      </w:pPr>
    </w:p>
    <w:p w14:paraId="7AE83F7B" w14:textId="77777777" w:rsidR="00567AAA" w:rsidRPr="00567AAA" w:rsidRDefault="00567AAA" w:rsidP="00567AAA">
      <w:pPr>
        <w:pStyle w:val="Prrafodelista"/>
        <w:numPr>
          <w:ilvl w:val="0"/>
          <w:numId w:val="9"/>
        </w:numPr>
        <w:spacing w:after="0" w:line="240" w:lineRule="auto"/>
        <w:jc w:val="both"/>
        <w:rPr>
          <w:sz w:val="20"/>
          <w:szCs w:val="20"/>
        </w:rPr>
      </w:pPr>
      <w:proofErr w:type="spellStart"/>
      <w:r w:rsidRPr="00567AAA">
        <w:rPr>
          <w:sz w:val="20"/>
          <w:szCs w:val="20"/>
        </w:rPr>
        <w:t>Ballugera</w:t>
      </w:r>
      <w:proofErr w:type="spellEnd"/>
      <w:r w:rsidRPr="00567AAA">
        <w:rPr>
          <w:sz w:val="20"/>
          <w:szCs w:val="20"/>
        </w:rPr>
        <w:t xml:space="preserve"> Gómez, C. “La cesión de crédito y la garantía de los intereses del deudor. Breve comentario a la resolución </w:t>
      </w:r>
      <w:proofErr w:type="spellStart"/>
      <w:r w:rsidRPr="00567AAA">
        <w:rPr>
          <w:sz w:val="20"/>
          <w:szCs w:val="20"/>
        </w:rPr>
        <w:t>DGSJyFP</w:t>
      </w:r>
      <w:proofErr w:type="spellEnd"/>
      <w:r w:rsidRPr="00567AAA">
        <w:rPr>
          <w:sz w:val="20"/>
          <w:szCs w:val="20"/>
        </w:rPr>
        <w:t xml:space="preserve"> 10 septiembre 2021”: </w:t>
      </w:r>
      <w:r w:rsidRPr="00567AAA">
        <w:rPr>
          <w:i/>
          <w:sz w:val="20"/>
          <w:szCs w:val="20"/>
        </w:rPr>
        <w:t xml:space="preserve">Revista de Derecho </w:t>
      </w:r>
      <w:proofErr w:type="spellStart"/>
      <w:r w:rsidRPr="00567AAA">
        <w:rPr>
          <w:i/>
          <w:sz w:val="20"/>
          <w:szCs w:val="20"/>
        </w:rPr>
        <w:t>vLex</w:t>
      </w:r>
      <w:proofErr w:type="spellEnd"/>
      <w:r w:rsidRPr="00567AAA">
        <w:rPr>
          <w:sz w:val="20"/>
          <w:szCs w:val="20"/>
        </w:rPr>
        <w:t xml:space="preserve">, Nº 213, Febrero 2022. </w:t>
      </w:r>
    </w:p>
    <w:p w14:paraId="3AD840F4" w14:textId="77777777" w:rsidR="00567AAA" w:rsidRPr="00567AAA" w:rsidRDefault="00567AAA" w:rsidP="00567AAA">
      <w:pPr>
        <w:pStyle w:val="Prrafodelista"/>
        <w:spacing w:after="0" w:line="240" w:lineRule="auto"/>
        <w:ind w:left="360"/>
        <w:jc w:val="both"/>
        <w:rPr>
          <w:sz w:val="20"/>
          <w:szCs w:val="20"/>
        </w:rPr>
      </w:pPr>
    </w:p>
    <w:p w14:paraId="1540A071"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Barrio Andrés, M. “La nueva regulación de los </w:t>
      </w:r>
      <w:proofErr w:type="spellStart"/>
      <w:r w:rsidRPr="00567AAA">
        <w:rPr>
          <w:sz w:val="20"/>
          <w:szCs w:val="20"/>
        </w:rPr>
        <w:t>criptoactivos</w:t>
      </w:r>
      <w:proofErr w:type="spellEnd"/>
      <w:r w:rsidRPr="00567AAA">
        <w:rPr>
          <w:sz w:val="20"/>
          <w:szCs w:val="20"/>
        </w:rPr>
        <w:t xml:space="preserve"> en España”: </w:t>
      </w:r>
      <w:r w:rsidRPr="00567AAA">
        <w:rPr>
          <w:i/>
          <w:sz w:val="20"/>
          <w:szCs w:val="20"/>
        </w:rPr>
        <w:t>Diario La Ley</w:t>
      </w:r>
      <w:r w:rsidRPr="00567AAA">
        <w:rPr>
          <w:sz w:val="20"/>
          <w:szCs w:val="20"/>
        </w:rPr>
        <w:t>, Nº 10010, 2022.</w:t>
      </w:r>
    </w:p>
    <w:p w14:paraId="6B57D3AF" w14:textId="77777777" w:rsidR="00567AAA" w:rsidRPr="00567AAA" w:rsidRDefault="00567AAA" w:rsidP="00567AAA">
      <w:pPr>
        <w:pStyle w:val="Prrafodelista"/>
        <w:spacing w:after="0" w:line="240" w:lineRule="auto"/>
        <w:ind w:left="360"/>
        <w:jc w:val="both"/>
        <w:rPr>
          <w:sz w:val="20"/>
          <w:szCs w:val="20"/>
        </w:rPr>
      </w:pPr>
    </w:p>
    <w:p w14:paraId="2360C91A"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Bautista Pérez, F. “Tecnología </w:t>
      </w:r>
      <w:proofErr w:type="spellStart"/>
      <w:r w:rsidRPr="00567AAA">
        <w:rPr>
          <w:sz w:val="20"/>
          <w:szCs w:val="20"/>
        </w:rPr>
        <w:t>blockchain</w:t>
      </w:r>
      <w:proofErr w:type="spellEnd"/>
      <w:r w:rsidRPr="00567AAA">
        <w:rPr>
          <w:sz w:val="20"/>
          <w:szCs w:val="20"/>
        </w:rPr>
        <w:t xml:space="preserve"> y </w:t>
      </w:r>
      <w:proofErr w:type="spellStart"/>
      <w:r w:rsidRPr="00567AAA">
        <w:rPr>
          <w:sz w:val="20"/>
          <w:szCs w:val="20"/>
        </w:rPr>
        <w:t>criptomonedas</w:t>
      </w:r>
      <w:proofErr w:type="spellEnd"/>
      <w:r w:rsidRPr="00567AAA">
        <w:rPr>
          <w:sz w:val="20"/>
          <w:szCs w:val="20"/>
        </w:rPr>
        <w:t xml:space="preserve">: luces y sombras”: </w:t>
      </w:r>
      <w:r w:rsidRPr="00567AAA">
        <w:rPr>
          <w:i/>
          <w:sz w:val="20"/>
          <w:szCs w:val="20"/>
        </w:rPr>
        <w:t>La Ley mercantil</w:t>
      </w:r>
      <w:r w:rsidRPr="00567AAA">
        <w:rPr>
          <w:sz w:val="20"/>
          <w:szCs w:val="20"/>
        </w:rPr>
        <w:t>, Nº. 88 (febrero), 2022.</w:t>
      </w:r>
    </w:p>
    <w:p w14:paraId="530FACE8" w14:textId="77777777" w:rsidR="00567AAA" w:rsidRPr="00567AAA" w:rsidRDefault="00567AAA" w:rsidP="00567AAA">
      <w:pPr>
        <w:pStyle w:val="Prrafodelista"/>
        <w:spacing w:after="0" w:line="240" w:lineRule="auto"/>
        <w:ind w:left="360"/>
        <w:jc w:val="both"/>
        <w:rPr>
          <w:sz w:val="20"/>
          <w:szCs w:val="20"/>
        </w:rPr>
      </w:pPr>
    </w:p>
    <w:p w14:paraId="1B691E8B"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Bolívar </w:t>
      </w:r>
      <w:proofErr w:type="spellStart"/>
      <w:r w:rsidRPr="00567AAA">
        <w:rPr>
          <w:sz w:val="20"/>
          <w:szCs w:val="20"/>
        </w:rPr>
        <w:t>Oñoro</w:t>
      </w:r>
      <w:proofErr w:type="spellEnd"/>
      <w:r w:rsidRPr="00567AAA">
        <w:rPr>
          <w:sz w:val="20"/>
          <w:szCs w:val="20"/>
        </w:rPr>
        <w:t xml:space="preserve">, M. V. “Seguros de vida y derecho a la vivienda de las personas con discapacidad: A propósito de la Ley 5/2019”: </w:t>
      </w:r>
      <w:r w:rsidRPr="00567AAA">
        <w:rPr>
          <w:i/>
          <w:sz w:val="20"/>
          <w:szCs w:val="20"/>
        </w:rPr>
        <w:t>Revista española de seguros: Publicación doctrinal de Derecho y Economía de los Seguros privados</w:t>
      </w:r>
      <w:r w:rsidRPr="00567AAA">
        <w:rPr>
          <w:sz w:val="20"/>
          <w:szCs w:val="20"/>
        </w:rPr>
        <w:t>, Nº. 187, 2021, págs. 575-592.</w:t>
      </w:r>
    </w:p>
    <w:p w14:paraId="2AC5814E" w14:textId="77777777" w:rsidR="00567AAA" w:rsidRPr="00567AAA" w:rsidRDefault="00567AAA" w:rsidP="00567AAA">
      <w:pPr>
        <w:pStyle w:val="Prrafodelista"/>
        <w:spacing w:after="0" w:line="240" w:lineRule="auto"/>
        <w:ind w:left="360"/>
        <w:jc w:val="both"/>
        <w:rPr>
          <w:sz w:val="20"/>
          <w:szCs w:val="20"/>
        </w:rPr>
      </w:pPr>
    </w:p>
    <w:p w14:paraId="75FE59C3" w14:textId="77777777" w:rsidR="00567AAA" w:rsidRPr="00567AAA" w:rsidRDefault="00567AAA" w:rsidP="00567AAA">
      <w:pPr>
        <w:pStyle w:val="Prrafodelista"/>
        <w:numPr>
          <w:ilvl w:val="0"/>
          <w:numId w:val="9"/>
        </w:numPr>
        <w:spacing w:after="0" w:line="240" w:lineRule="auto"/>
        <w:jc w:val="both"/>
        <w:rPr>
          <w:sz w:val="20"/>
          <w:szCs w:val="20"/>
        </w:rPr>
      </w:pPr>
      <w:proofErr w:type="spellStart"/>
      <w:r w:rsidRPr="00567AAA">
        <w:rPr>
          <w:sz w:val="20"/>
          <w:szCs w:val="20"/>
        </w:rPr>
        <w:t>Boulet</w:t>
      </w:r>
      <w:proofErr w:type="spellEnd"/>
      <w:r w:rsidRPr="00567AAA">
        <w:rPr>
          <w:sz w:val="20"/>
          <w:szCs w:val="20"/>
        </w:rPr>
        <w:t xml:space="preserve"> Alonso, C. “Comentarios prácticos sobre las pólizas intervenidas por notario”: </w:t>
      </w:r>
      <w:r w:rsidRPr="00567AAA">
        <w:rPr>
          <w:i/>
          <w:sz w:val="20"/>
          <w:szCs w:val="20"/>
        </w:rPr>
        <w:t>El notario del siglo XXI: revista del Colegio Notarial de Madrid</w:t>
      </w:r>
      <w:r w:rsidRPr="00567AAA">
        <w:rPr>
          <w:sz w:val="20"/>
          <w:szCs w:val="20"/>
        </w:rPr>
        <w:t>, Nº. 100, 2021, págs. 138-141.</w:t>
      </w:r>
    </w:p>
    <w:p w14:paraId="39C6722B" w14:textId="77777777" w:rsidR="00567AAA" w:rsidRPr="00567AAA" w:rsidRDefault="00567AAA" w:rsidP="00567AAA">
      <w:pPr>
        <w:pStyle w:val="Prrafodelista"/>
        <w:spacing w:after="0" w:line="240" w:lineRule="auto"/>
        <w:ind w:left="360"/>
        <w:jc w:val="both"/>
        <w:rPr>
          <w:sz w:val="20"/>
          <w:szCs w:val="20"/>
        </w:rPr>
      </w:pPr>
    </w:p>
    <w:p w14:paraId="0D16BDDB" w14:textId="77777777" w:rsidR="00567AAA" w:rsidRPr="00567AAA" w:rsidRDefault="00567AAA" w:rsidP="00567AAA">
      <w:pPr>
        <w:pStyle w:val="Prrafodelista"/>
        <w:numPr>
          <w:ilvl w:val="0"/>
          <w:numId w:val="9"/>
        </w:numPr>
        <w:spacing w:after="0" w:line="240" w:lineRule="auto"/>
        <w:jc w:val="both"/>
        <w:rPr>
          <w:sz w:val="20"/>
          <w:szCs w:val="20"/>
        </w:rPr>
      </w:pPr>
      <w:proofErr w:type="spellStart"/>
      <w:r w:rsidRPr="00567AAA">
        <w:rPr>
          <w:sz w:val="20"/>
          <w:szCs w:val="20"/>
        </w:rPr>
        <w:t>Cabanas</w:t>
      </w:r>
      <w:proofErr w:type="spellEnd"/>
      <w:r w:rsidRPr="00567AAA">
        <w:rPr>
          <w:sz w:val="20"/>
          <w:szCs w:val="20"/>
        </w:rPr>
        <w:t xml:space="preserve"> Trejo, R. “Doctrina registral reciente sobre el ámbito de aplicación de la Ley reguladora de los Contratos de Crédito Inmobiliario, así como su concurrencia con otras normas autonómicas”: </w:t>
      </w:r>
      <w:r w:rsidRPr="00567AAA">
        <w:rPr>
          <w:i/>
          <w:sz w:val="20"/>
          <w:szCs w:val="20"/>
        </w:rPr>
        <w:t>El notario del siglo XXI: revista del Colegio Notarial de Madrid</w:t>
      </w:r>
      <w:r w:rsidRPr="00567AAA">
        <w:rPr>
          <w:sz w:val="20"/>
          <w:szCs w:val="20"/>
        </w:rPr>
        <w:t>, Nº. 100, 2021, págs. 58-64.</w:t>
      </w:r>
    </w:p>
    <w:p w14:paraId="3C7E330E" w14:textId="77777777" w:rsidR="00567AAA" w:rsidRPr="00567AAA" w:rsidRDefault="00567AAA" w:rsidP="00567AAA">
      <w:pPr>
        <w:pStyle w:val="Prrafodelista"/>
        <w:spacing w:after="0" w:line="240" w:lineRule="auto"/>
        <w:ind w:left="360"/>
        <w:jc w:val="both"/>
        <w:rPr>
          <w:sz w:val="20"/>
          <w:szCs w:val="20"/>
        </w:rPr>
      </w:pPr>
    </w:p>
    <w:p w14:paraId="50797847"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Cadenas Osuna, D. “La cláusula de renuncia a la reclamación de las cantidades pagadas en aplicación de la cláusula «suelo»”: </w:t>
      </w:r>
      <w:r w:rsidRPr="00567AAA">
        <w:rPr>
          <w:i/>
          <w:sz w:val="20"/>
          <w:szCs w:val="20"/>
        </w:rPr>
        <w:t>Revista de derecho privado</w:t>
      </w:r>
      <w:r w:rsidRPr="00567AAA">
        <w:rPr>
          <w:sz w:val="20"/>
          <w:szCs w:val="20"/>
        </w:rPr>
        <w:t>, Año nº 105, Mes 6, 2021, págs. 29-45.</w:t>
      </w:r>
    </w:p>
    <w:p w14:paraId="5F080D9D" w14:textId="77777777" w:rsidR="00567AAA" w:rsidRPr="00567AAA" w:rsidRDefault="00567AAA" w:rsidP="00567AAA">
      <w:pPr>
        <w:pStyle w:val="Prrafodelista"/>
        <w:spacing w:after="0" w:line="240" w:lineRule="auto"/>
        <w:ind w:left="360"/>
        <w:jc w:val="both"/>
        <w:rPr>
          <w:sz w:val="20"/>
          <w:szCs w:val="20"/>
        </w:rPr>
      </w:pPr>
    </w:p>
    <w:p w14:paraId="52FF275C"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Carrizo Aguado, D. “Los negocios jurídicos de inversión en el comercio internacional y su reflejo en la estela jurisprudencial europea”: </w:t>
      </w:r>
      <w:r w:rsidRPr="00567AAA">
        <w:rPr>
          <w:i/>
          <w:sz w:val="20"/>
          <w:szCs w:val="20"/>
        </w:rPr>
        <w:t>Revista Jurídica de la Universidad de León</w:t>
      </w:r>
      <w:r w:rsidRPr="00567AAA">
        <w:rPr>
          <w:sz w:val="20"/>
          <w:szCs w:val="20"/>
        </w:rPr>
        <w:t>, Nº. 9, 2021, págs. 47-77.</w:t>
      </w:r>
    </w:p>
    <w:p w14:paraId="2195E0C5" w14:textId="77777777" w:rsidR="00567AAA" w:rsidRPr="00567AAA" w:rsidRDefault="00567AAA" w:rsidP="00567AAA">
      <w:pPr>
        <w:pStyle w:val="Prrafodelista"/>
        <w:spacing w:after="0" w:line="240" w:lineRule="auto"/>
        <w:ind w:left="360"/>
        <w:jc w:val="both"/>
        <w:rPr>
          <w:sz w:val="20"/>
          <w:szCs w:val="20"/>
        </w:rPr>
      </w:pPr>
    </w:p>
    <w:p w14:paraId="0DDCB212"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lastRenderedPageBreak/>
        <w:t xml:space="preserve">Casado Navarro, A. “Consideraciones críticas sobre la opción del Real Decreto-ley 24/2021 de no incorporar medidas correctoras individuales frente a prácticas desleales con consumidores”: </w:t>
      </w:r>
      <w:r w:rsidRPr="00567AAA">
        <w:rPr>
          <w:i/>
          <w:sz w:val="20"/>
          <w:szCs w:val="20"/>
        </w:rPr>
        <w:t>La Ley mercantil</w:t>
      </w:r>
      <w:r w:rsidRPr="00567AAA">
        <w:rPr>
          <w:sz w:val="20"/>
          <w:szCs w:val="20"/>
        </w:rPr>
        <w:t>, Nº. 88 (febrero), 2022.</w:t>
      </w:r>
    </w:p>
    <w:p w14:paraId="66A82179" w14:textId="77777777" w:rsidR="00567AAA" w:rsidRPr="00567AAA" w:rsidRDefault="00567AAA" w:rsidP="00567AAA">
      <w:pPr>
        <w:pStyle w:val="Prrafodelista"/>
        <w:spacing w:after="0" w:line="240" w:lineRule="auto"/>
        <w:ind w:left="360"/>
        <w:jc w:val="both"/>
        <w:rPr>
          <w:sz w:val="20"/>
          <w:szCs w:val="20"/>
        </w:rPr>
      </w:pPr>
    </w:p>
    <w:p w14:paraId="5B18FCFE" w14:textId="77777777" w:rsidR="00567AAA" w:rsidRPr="00567AAA" w:rsidRDefault="00567AAA" w:rsidP="00567AAA">
      <w:pPr>
        <w:pStyle w:val="Prrafodelista"/>
        <w:numPr>
          <w:ilvl w:val="0"/>
          <w:numId w:val="9"/>
        </w:numPr>
        <w:spacing w:after="0" w:line="240" w:lineRule="auto"/>
        <w:jc w:val="both"/>
        <w:rPr>
          <w:sz w:val="20"/>
          <w:szCs w:val="20"/>
        </w:rPr>
      </w:pPr>
      <w:proofErr w:type="spellStart"/>
      <w:r w:rsidRPr="00567AAA">
        <w:rPr>
          <w:sz w:val="20"/>
          <w:szCs w:val="20"/>
        </w:rPr>
        <w:t>Cots</w:t>
      </w:r>
      <w:proofErr w:type="spellEnd"/>
      <w:r w:rsidRPr="00567AAA">
        <w:rPr>
          <w:sz w:val="20"/>
          <w:szCs w:val="20"/>
        </w:rPr>
        <w:t xml:space="preserve">, E. y Esteve, I. “Adiós a los envases de plástico y no reciclables”: </w:t>
      </w:r>
      <w:r w:rsidRPr="00567AAA">
        <w:rPr>
          <w:i/>
          <w:sz w:val="20"/>
          <w:szCs w:val="20"/>
        </w:rPr>
        <w:t>Actualidad jurídica Aranzadi</w:t>
      </w:r>
      <w:r w:rsidRPr="00567AAA">
        <w:rPr>
          <w:sz w:val="20"/>
          <w:szCs w:val="20"/>
        </w:rPr>
        <w:t>, Nº 980, 2021.</w:t>
      </w:r>
    </w:p>
    <w:p w14:paraId="68AE7489" w14:textId="77777777" w:rsidR="00567AAA" w:rsidRPr="00567AAA" w:rsidRDefault="00567AAA" w:rsidP="00567AAA">
      <w:pPr>
        <w:pStyle w:val="Prrafodelista"/>
        <w:spacing w:after="0" w:line="240" w:lineRule="auto"/>
        <w:ind w:left="360"/>
        <w:jc w:val="both"/>
        <w:rPr>
          <w:sz w:val="20"/>
          <w:szCs w:val="20"/>
        </w:rPr>
      </w:pPr>
    </w:p>
    <w:p w14:paraId="07B9AAED"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Cristina Tudor, E. “La condición de consumidor de un familiar-fiador en contrato de financiación de empresa familiar Delimitación conceptual y efectos jurídicos”: </w:t>
      </w:r>
      <w:r w:rsidRPr="00567AAA">
        <w:rPr>
          <w:i/>
          <w:sz w:val="20"/>
          <w:szCs w:val="20"/>
        </w:rPr>
        <w:t>Revista de derecho privado</w:t>
      </w:r>
      <w:r w:rsidRPr="00567AAA">
        <w:rPr>
          <w:sz w:val="20"/>
          <w:szCs w:val="20"/>
        </w:rPr>
        <w:t>, Año nº 105, Mes 6, 2021, págs. 3-27.</w:t>
      </w:r>
    </w:p>
    <w:p w14:paraId="78DF02F0" w14:textId="77777777" w:rsidR="00567AAA" w:rsidRPr="00567AAA" w:rsidRDefault="00567AAA" w:rsidP="00567AAA">
      <w:pPr>
        <w:pStyle w:val="Prrafodelista"/>
        <w:spacing w:after="0" w:line="240" w:lineRule="auto"/>
        <w:ind w:left="360"/>
        <w:jc w:val="both"/>
        <w:rPr>
          <w:sz w:val="20"/>
          <w:szCs w:val="20"/>
        </w:rPr>
      </w:pPr>
    </w:p>
    <w:p w14:paraId="1E809DE9"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Cubillo López, I. J. “Las costas en los litigios de cláusulas abusivas: jurisprudencia reciente y principio de efectividad del Derecho de la Unión Europea”: </w:t>
      </w:r>
      <w:r w:rsidRPr="00567AAA">
        <w:rPr>
          <w:i/>
          <w:sz w:val="20"/>
          <w:szCs w:val="20"/>
        </w:rPr>
        <w:t>Práctica de tribunales: revista de derecho procesal civil y mercantil</w:t>
      </w:r>
      <w:r w:rsidRPr="00567AAA">
        <w:rPr>
          <w:sz w:val="20"/>
          <w:szCs w:val="20"/>
        </w:rPr>
        <w:t>, Nº. 154, 2022.</w:t>
      </w:r>
    </w:p>
    <w:p w14:paraId="4736BCB3" w14:textId="77777777" w:rsidR="00567AAA" w:rsidRPr="00567AAA" w:rsidRDefault="00567AAA" w:rsidP="00567AAA">
      <w:pPr>
        <w:pStyle w:val="Prrafodelista"/>
        <w:spacing w:after="0" w:line="240" w:lineRule="auto"/>
        <w:ind w:left="360"/>
        <w:jc w:val="both"/>
        <w:rPr>
          <w:sz w:val="20"/>
          <w:szCs w:val="20"/>
        </w:rPr>
      </w:pPr>
    </w:p>
    <w:p w14:paraId="19F1FCB1" w14:textId="77777777" w:rsidR="00567AAA" w:rsidRPr="00567AAA" w:rsidRDefault="00567AAA" w:rsidP="00567AAA">
      <w:pPr>
        <w:pStyle w:val="Prrafodelista"/>
        <w:numPr>
          <w:ilvl w:val="0"/>
          <w:numId w:val="9"/>
        </w:numPr>
        <w:spacing w:after="0" w:line="240" w:lineRule="auto"/>
        <w:jc w:val="both"/>
        <w:rPr>
          <w:color w:val="000000" w:themeColor="text1"/>
          <w:sz w:val="20"/>
          <w:szCs w:val="20"/>
        </w:rPr>
      </w:pPr>
      <w:proofErr w:type="spellStart"/>
      <w:r w:rsidRPr="00567AAA">
        <w:rPr>
          <w:color w:val="000000" w:themeColor="text1"/>
          <w:sz w:val="20"/>
          <w:szCs w:val="20"/>
        </w:rPr>
        <w:t>Cuena</w:t>
      </w:r>
      <w:proofErr w:type="spellEnd"/>
      <w:r w:rsidRPr="00567AAA">
        <w:rPr>
          <w:color w:val="000000" w:themeColor="text1"/>
          <w:sz w:val="20"/>
          <w:szCs w:val="20"/>
        </w:rPr>
        <w:t xml:space="preserve"> Casas, M. “Supervisión de conducta y protección del usuario de servicios financieros en el nuevo entorno tecnológico. Propuestas de mejora”: </w:t>
      </w:r>
      <w:r w:rsidRPr="00567AAA">
        <w:rPr>
          <w:i/>
          <w:color w:val="000000" w:themeColor="text1"/>
          <w:sz w:val="20"/>
          <w:szCs w:val="20"/>
        </w:rPr>
        <w:t>Diario La Ley</w:t>
      </w:r>
      <w:r w:rsidRPr="00567AAA">
        <w:rPr>
          <w:color w:val="000000" w:themeColor="text1"/>
          <w:sz w:val="20"/>
          <w:szCs w:val="20"/>
        </w:rPr>
        <w:t xml:space="preserve">, Nº 9999, 2022. </w:t>
      </w:r>
    </w:p>
    <w:p w14:paraId="7377C7B9" w14:textId="77777777" w:rsidR="00567AAA" w:rsidRPr="00567AAA" w:rsidRDefault="00567AAA" w:rsidP="00567AAA">
      <w:pPr>
        <w:pStyle w:val="Prrafodelista"/>
        <w:spacing w:after="0" w:line="240" w:lineRule="auto"/>
        <w:ind w:left="360"/>
        <w:jc w:val="both"/>
        <w:rPr>
          <w:color w:val="000000" w:themeColor="text1"/>
          <w:sz w:val="20"/>
          <w:szCs w:val="20"/>
        </w:rPr>
      </w:pPr>
    </w:p>
    <w:p w14:paraId="5535F19A"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de Elizalde </w:t>
      </w:r>
      <w:proofErr w:type="spellStart"/>
      <w:r w:rsidRPr="00567AAA">
        <w:rPr>
          <w:sz w:val="20"/>
          <w:szCs w:val="20"/>
        </w:rPr>
        <w:t>Ibarbia</w:t>
      </w:r>
      <w:proofErr w:type="spellEnd"/>
      <w:r w:rsidRPr="00567AAA">
        <w:rPr>
          <w:sz w:val="20"/>
          <w:szCs w:val="20"/>
        </w:rPr>
        <w:t xml:space="preserve">, F. “La Directiva 2019\2161, de Modernización del Derecho de Consumo, por la que se conceden remedios individuales contra las prácticas comerciales desleales. ¿Un paso más hacia la estandarización del derecho privado de la Unión Europea?”: </w:t>
      </w:r>
      <w:r w:rsidRPr="00567AAA">
        <w:rPr>
          <w:i/>
          <w:sz w:val="20"/>
          <w:szCs w:val="20"/>
        </w:rPr>
        <w:t>Revista de Derecho Civil</w:t>
      </w:r>
      <w:r w:rsidRPr="00567AAA">
        <w:rPr>
          <w:sz w:val="20"/>
          <w:szCs w:val="20"/>
        </w:rPr>
        <w:t>, Vol. 8, Nº. 4 (octubre-diciembre), 2021, págs. 47-89.</w:t>
      </w:r>
    </w:p>
    <w:p w14:paraId="11828248" w14:textId="77777777" w:rsidR="00567AAA" w:rsidRPr="00567AAA" w:rsidRDefault="00567AAA" w:rsidP="00567AAA">
      <w:pPr>
        <w:pStyle w:val="Prrafodelista"/>
        <w:spacing w:after="0" w:line="240" w:lineRule="auto"/>
        <w:ind w:left="360"/>
        <w:jc w:val="both"/>
        <w:rPr>
          <w:sz w:val="20"/>
          <w:szCs w:val="20"/>
        </w:rPr>
      </w:pPr>
    </w:p>
    <w:p w14:paraId="56CCB5C2"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de la Fuente Núñez de Castro, M. S. “Comercialización de productos financieros complejos: Responsabilidad por omisión de los deberes conductuales derivados de la buena fe”: </w:t>
      </w:r>
      <w:r w:rsidRPr="00567AAA">
        <w:rPr>
          <w:i/>
          <w:sz w:val="20"/>
          <w:szCs w:val="20"/>
        </w:rPr>
        <w:t>Revista Internacional de Doctrina y Jurisprudencia</w:t>
      </w:r>
      <w:r w:rsidRPr="00567AAA">
        <w:rPr>
          <w:sz w:val="20"/>
          <w:szCs w:val="20"/>
        </w:rPr>
        <w:t>, Nº. 26 (Diciembre), 2021, págs. 81-105.</w:t>
      </w:r>
    </w:p>
    <w:p w14:paraId="0665B6C3" w14:textId="77777777" w:rsidR="00567AAA" w:rsidRPr="00567AAA" w:rsidRDefault="00567AAA" w:rsidP="00567AAA">
      <w:pPr>
        <w:pStyle w:val="Prrafodelista"/>
        <w:spacing w:after="0" w:line="240" w:lineRule="auto"/>
        <w:ind w:left="360"/>
        <w:jc w:val="both"/>
        <w:rPr>
          <w:sz w:val="20"/>
          <w:szCs w:val="20"/>
        </w:rPr>
      </w:pPr>
    </w:p>
    <w:p w14:paraId="0720FDCE"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de la Maza </w:t>
      </w:r>
      <w:proofErr w:type="spellStart"/>
      <w:r w:rsidRPr="00567AAA">
        <w:rPr>
          <w:sz w:val="20"/>
          <w:szCs w:val="20"/>
        </w:rPr>
        <w:t>Gazmuri</w:t>
      </w:r>
      <w:proofErr w:type="spellEnd"/>
      <w:r w:rsidRPr="00567AAA">
        <w:rPr>
          <w:sz w:val="20"/>
          <w:szCs w:val="20"/>
        </w:rPr>
        <w:t xml:space="preserve">, I. y López Díaz, P. “La publicidad errónea: ¿un problema de </w:t>
      </w:r>
      <w:proofErr w:type="spellStart"/>
      <w:r w:rsidRPr="00567AAA">
        <w:rPr>
          <w:sz w:val="20"/>
          <w:szCs w:val="20"/>
        </w:rPr>
        <w:t>excusabilidad</w:t>
      </w:r>
      <w:proofErr w:type="spellEnd"/>
      <w:r w:rsidRPr="00567AAA">
        <w:rPr>
          <w:sz w:val="20"/>
          <w:szCs w:val="20"/>
        </w:rPr>
        <w:t xml:space="preserve"> del proveedor o de </w:t>
      </w:r>
      <w:proofErr w:type="spellStart"/>
      <w:r w:rsidRPr="00567AAA">
        <w:rPr>
          <w:sz w:val="20"/>
          <w:szCs w:val="20"/>
        </w:rPr>
        <w:t>recognoscibilidad</w:t>
      </w:r>
      <w:proofErr w:type="spellEnd"/>
      <w:r w:rsidRPr="00567AAA">
        <w:rPr>
          <w:sz w:val="20"/>
          <w:szCs w:val="20"/>
        </w:rPr>
        <w:t xml:space="preserve"> del consumidor?”: </w:t>
      </w:r>
      <w:r w:rsidRPr="00567AAA">
        <w:rPr>
          <w:i/>
          <w:sz w:val="20"/>
          <w:szCs w:val="20"/>
        </w:rPr>
        <w:t>Revista chilena de derecho privado</w:t>
      </w:r>
      <w:r w:rsidRPr="00567AAA">
        <w:rPr>
          <w:sz w:val="20"/>
          <w:szCs w:val="20"/>
        </w:rPr>
        <w:t>, Nº. 36, 2021, págs. 9-39.</w:t>
      </w:r>
    </w:p>
    <w:p w14:paraId="17B58CB3" w14:textId="77777777" w:rsidR="00567AAA" w:rsidRPr="00567AAA" w:rsidRDefault="00567AAA" w:rsidP="00567AAA">
      <w:pPr>
        <w:pStyle w:val="Prrafodelista"/>
        <w:spacing w:after="0" w:line="240" w:lineRule="auto"/>
        <w:ind w:left="360"/>
        <w:jc w:val="both"/>
        <w:rPr>
          <w:sz w:val="20"/>
          <w:szCs w:val="20"/>
        </w:rPr>
      </w:pPr>
    </w:p>
    <w:p w14:paraId="2AE35FBB"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del Campo Álvarez, B. “Comentario a la STS de 13 de abril (RJ 2021, 1710). El estatuto de consumidor de las comunidades de propietarios”: </w:t>
      </w:r>
      <w:r w:rsidRPr="00567AAA">
        <w:rPr>
          <w:i/>
          <w:sz w:val="20"/>
          <w:szCs w:val="20"/>
        </w:rPr>
        <w:t xml:space="preserve">Cuadernos </w:t>
      </w:r>
      <w:proofErr w:type="spellStart"/>
      <w:r w:rsidRPr="00567AAA">
        <w:rPr>
          <w:i/>
          <w:sz w:val="20"/>
          <w:szCs w:val="20"/>
        </w:rPr>
        <w:t>Civitas</w:t>
      </w:r>
      <w:proofErr w:type="spellEnd"/>
      <w:r w:rsidRPr="00567AAA">
        <w:rPr>
          <w:i/>
          <w:sz w:val="20"/>
          <w:szCs w:val="20"/>
        </w:rPr>
        <w:t xml:space="preserve"> de jurisprudencia civil</w:t>
      </w:r>
      <w:r w:rsidRPr="00567AAA">
        <w:rPr>
          <w:sz w:val="20"/>
          <w:szCs w:val="20"/>
        </w:rPr>
        <w:t>, Nº 118, 2022, págs. 133-140.</w:t>
      </w:r>
    </w:p>
    <w:p w14:paraId="6FDC6551" w14:textId="77777777" w:rsidR="00567AAA" w:rsidRPr="00567AAA" w:rsidRDefault="00567AAA" w:rsidP="00567AAA">
      <w:pPr>
        <w:pStyle w:val="Prrafodelista"/>
        <w:spacing w:after="0" w:line="240" w:lineRule="auto"/>
        <w:ind w:left="360"/>
        <w:jc w:val="both"/>
        <w:rPr>
          <w:sz w:val="20"/>
          <w:szCs w:val="20"/>
        </w:rPr>
      </w:pPr>
    </w:p>
    <w:p w14:paraId="7527D334"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Domingo </w:t>
      </w:r>
      <w:proofErr w:type="spellStart"/>
      <w:r w:rsidRPr="00567AAA">
        <w:rPr>
          <w:sz w:val="20"/>
          <w:szCs w:val="20"/>
        </w:rPr>
        <w:t>Monforte</w:t>
      </w:r>
      <w:proofErr w:type="spellEnd"/>
      <w:r w:rsidRPr="00567AAA">
        <w:rPr>
          <w:sz w:val="20"/>
          <w:szCs w:val="20"/>
        </w:rPr>
        <w:t xml:space="preserve">, J. “Abusos financieros. Estafa”: </w:t>
      </w:r>
      <w:r w:rsidRPr="00567AAA">
        <w:rPr>
          <w:i/>
          <w:sz w:val="20"/>
          <w:szCs w:val="20"/>
        </w:rPr>
        <w:t>Diario La Ley</w:t>
      </w:r>
      <w:r w:rsidRPr="00567AAA">
        <w:rPr>
          <w:sz w:val="20"/>
          <w:szCs w:val="20"/>
        </w:rPr>
        <w:t>, Nº 9987, 2022.</w:t>
      </w:r>
    </w:p>
    <w:p w14:paraId="13DE589F" w14:textId="77777777" w:rsidR="00567AAA" w:rsidRPr="00567AAA" w:rsidRDefault="00567AAA" w:rsidP="00567AAA">
      <w:pPr>
        <w:pStyle w:val="Prrafodelista"/>
        <w:spacing w:after="0" w:line="240" w:lineRule="auto"/>
        <w:ind w:left="360"/>
        <w:jc w:val="both"/>
        <w:rPr>
          <w:sz w:val="20"/>
          <w:szCs w:val="20"/>
        </w:rPr>
      </w:pPr>
    </w:p>
    <w:p w14:paraId="53FA806F" w14:textId="77777777" w:rsidR="00567AAA" w:rsidRPr="00567AAA" w:rsidRDefault="00567AAA" w:rsidP="00567AAA">
      <w:pPr>
        <w:pStyle w:val="Prrafodelista"/>
        <w:numPr>
          <w:ilvl w:val="0"/>
          <w:numId w:val="9"/>
        </w:numPr>
        <w:spacing w:after="0" w:line="240" w:lineRule="auto"/>
        <w:jc w:val="both"/>
        <w:rPr>
          <w:sz w:val="20"/>
          <w:szCs w:val="20"/>
        </w:rPr>
      </w:pPr>
      <w:proofErr w:type="spellStart"/>
      <w:r w:rsidRPr="00567AAA">
        <w:rPr>
          <w:sz w:val="20"/>
          <w:szCs w:val="20"/>
        </w:rPr>
        <w:t>Escaler</w:t>
      </w:r>
      <w:proofErr w:type="spellEnd"/>
      <w:r w:rsidRPr="00567AAA">
        <w:rPr>
          <w:sz w:val="20"/>
          <w:szCs w:val="20"/>
        </w:rPr>
        <w:t xml:space="preserve"> </w:t>
      </w:r>
      <w:proofErr w:type="spellStart"/>
      <w:r w:rsidRPr="00567AAA">
        <w:rPr>
          <w:sz w:val="20"/>
          <w:szCs w:val="20"/>
        </w:rPr>
        <w:t>Bascompte</w:t>
      </w:r>
      <w:proofErr w:type="spellEnd"/>
      <w:r w:rsidRPr="00567AAA">
        <w:rPr>
          <w:sz w:val="20"/>
          <w:szCs w:val="20"/>
        </w:rPr>
        <w:t xml:space="preserve">, R. “Sobre la necesaria intervención del abogado en los arbitrajes de Consumo y su incidencia en el alcance del control judicial de oficio”: </w:t>
      </w:r>
      <w:r w:rsidRPr="00567AAA">
        <w:rPr>
          <w:i/>
          <w:sz w:val="20"/>
          <w:szCs w:val="20"/>
        </w:rPr>
        <w:t>Revista General de Derecho Procesal</w:t>
      </w:r>
      <w:r w:rsidRPr="00567AAA">
        <w:rPr>
          <w:sz w:val="20"/>
          <w:szCs w:val="20"/>
        </w:rPr>
        <w:t>, Nº. 56, 2022.</w:t>
      </w:r>
    </w:p>
    <w:p w14:paraId="4C1E16C3" w14:textId="77777777" w:rsidR="00567AAA" w:rsidRPr="00567AAA" w:rsidRDefault="00567AAA" w:rsidP="00567AAA">
      <w:pPr>
        <w:pStyle w:val="Prrafodelista"/>
        <w:spacing w:after="0" w:line="240" w:lineRule="auto"/>
        <w:ind w:left="360"/>
        <w:jc w:val="both"/>
        <w:rPr>
          <w:sz w:val="20"/>
          <w:szCs w:val="20"/>
        </w:rPr>
      </w:pPr>
    </w:p>
    <w:p w14:paraId="395C1B05" w14:textId="77777777" w:rsidR="00567AAA" w:rsidRPr="00567AAA" w:rsidRDefault="00567AAA" w:rsidP="00567AAA">
      <w:pPr>
        <w:pStyle w:val="Prrafodelista"/>
        <w:numPr>
          <w:ilvl w:val="0"/>
          <w:numId w:val="9"/>
        </w:numPr>
        <w:spacing w:after="0" w:line="240" w:lineRule="auto"/>
        <w:jc w:val="both"/>
        <w:rPr>
          <w:sz w:val="20"/>
          <w:szCs w:val="20"/>
        </w:rPr>
      </w:pPr>
      <w:proofErr w:type="spellStart"/>
      <w:r w:rsidRPr="00567AAA">
        <w:rPr>
          <w:sz w:val="20"/>
          <w:szCs w:val="20"/>
        </w:rPr>
        <w:t>Esquivias</w:t>
      </w:r>
      <w:proofErr w:type="spellEnd"/>
      <w:r w:rsidRPr="00567AAA">
        <w:rPr>
          <w:sz w:val="20"/>
          <w:szCs w:val="20"/>
        </w:rPr>
        <w:t xml:space="preserve"> Jaramillo, J. I. “Inclusión en fichero de morosos por deudas con bancos”: </w:t>
      </w:r>
      <w:proofErr w:type="spellStart"/>
      <w:r w:rsidRPr="00567AAA">
        <w:rPr>
          <w:i/>
          <w:sz w:val="20"/>
          <w:szCs w:val="20"/>
        </w:rPr>
        <w:t>CEFLegal</w:t>
      </w:r>
      <w:proofErr w:type="spellEnd"/>
      <w:r w:rsidRPr="00567AAA">
        <w:rPr>
          <w:i/>
          <w:sz w:val="20"/>
          <w:szCs w:val="20"/>
        </w:rPr>
        <w:t>: revista práctica de derecho. Comentarios y casos prácticos</w:t>
      </w:r>
      <w:r w:rsidRPr="00567AAA">
        <w:rPr>
          <w:sz w:val="20"/>
          <w:szCs w:val="20"/>
        </w:rPr>
        <w:t>, Nº. 254, 2022.</w:t>
      </w:r>
    </w:p>
    <w:p w14:paraId="1D85630A" w14:textId="77777777" w:rsidR="00567AAA" w:rsidRPr="00567AAA" w:rsidRDefault="00567AAA" w:rsidP="00567AAA">
      <w:pPr>
        <w:pStyle w:val="Prrafodelista"/>
        <w:spacing w:after="0" w:line="240" w:lineRule="auto"/>
        <w:ind w:left="360"/>
        <w:jc w:val="both"/>
        <w:rPr>
          <w:sz w:val="20"/>
          <w:szCs w:val="20"/>
        </w:rPr>
      </w:pPr>
    </w:p>
    <w:p w14:paraId="21353068"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Estrada </w:t>
      </w:r>
      <w:proofErr w:type="spellStart"/>
      <w:r w:rsidRPr="00567AAA">
        <w:rPr>
          <w:sz w:val="20"/>
          <w:szCs w:val="20"/>
        </w:rPr>
        <w:t>Margareto</w:t>
      </w:r>
      <w:proofErr w:type="spellEnd"/>
      <w:r w:rsidRPr="00567AAA">
        <w:rPr>
          <w:sz w:val="20"/>
          <w:szCs w:val="20"/>
        </w:rPr>
        <w:t xml:space="preserve">, M. J. “El Tribunal Supremo le corta las alas a las cláusulas abusivas de </w:t>
      </w:r>
      <w:proofErr w:type="spellStart"/>
      <w:r w:rsidRPr="00567AAA">
        <w:rPr>
          <w:sz w:val="20"/>
          <w:szCs w:val="20"/>
        </w:rPr>
        <w:t>Ryanair</w:t>
      </w:r>
      <w:proofErr w:type="spellEnd"/>
      <w:r w:rsidRPr="00567AAA">
        <w:rPr>
          <w:sz w:val="20"/>
          <w:szCs w:val="20"/>
        </w:rPr>
        <w:t xml:space="preserve">. Estudio de la STS 554/2021, de 20 de julio”: </w:t>
      </w:r>
      <w:r w:rsidRPr="00567AAA">
        <w:rPr>
          <w:i/>
          <w:sz w:val="20"/>
          <w:szCs w:val="20"/>
        </w:rPr>
        <w:t>Revista General de Derecho del Turismo RGDT</w:t>
      </w:r>
      <w:r w:rsidRPr="00567AAA">
        <w:rPr>
          <w:sz w:val="20"/>
          <w:szCs w:val="20"/>
        </w:rPr>
        <w:t>, Nº. 4, 2021.</w:t>
      </w:r>
    </w:p>
    <w:p w14:paraId="108EBAFC" w14:textId="77777777" w:rsidR="00567AAA" w:rsidRPr="00567AAA" w:rsidRDefault="00567AAA" w:rsidP="00567AAA">
      <w:pPr>
        <w:pStyle w:val="Prrafodelista"/>
        <w:spacing w:after="0" w:line="240" w:lineRule="auto"/>
        <w:ind w:left="360"/>
        <w:jc w:val="both"/>
        <w:rPr>
          <w:sz w:val="20"/>
          <w:szCs w:val="20"/>
        </w:rPr>
      </w:pPr>
    </w:p>
    <w:p w14:paraId="4EA807AC"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Fernández, M. “Derecho de información del paciente y consentimiento informado: especial relevancia en supuestos de medicina voluntaria o </w:t>
      </w:r>
      <w:proofErr w:type="spellStart"/>
      <w:r w:rsidRPr="00567AAA">
        <w:rPr>
          <w:sz w:val="20"/>
          <w:szCs w:val="20"/>
        </w:rPr>
        <w:t>satisfactiva</w:t>
      </w:r>
      <w:proofErr w:type="spellEnd"/>
      <w:r w:rsidRPr="00567AAA">
        <w:rPr>
          <w:sz w:val="20"/>
          <w:szCs w:val="20"/>
        </w:rPr>
        <w:t xml:space="preserve">”: </w:t>
      </w:r>
      <w:r w:rsidRPr="00567AAA">
        <w:rPr>
          <w:i/>
          <w:sz w:val="20"/>
          <w:szCs w:val="20"/>
        </w:rPr>
        <w:t>Actualidad jurídica Aranzadi</w:t>
      </w:r>
      <w:r w:rsidRPr="00567AAA">
        <w:rPr>
          <w:sz w:val="20"/>
          <w:szCs w:val="20"/>
        </w:rPr>
        <w:t>, Nº 981, 2022.</w:t>
      </w:r>
    </w:p>
    <w:p w14:paraId="1F3B3F2F" w14:textId="77777777" w:rsidR="00567AAA" w:rsidRPr="00567AAA" w:rsidRDefault="00567AAA" w:rsidP="00567AAA">
      <w:pPr>
        <w:pStyle w:val="Prrafodelista"/>
        <w:spacing w:after="0" w:line="240" w:lineRule="auto"/>
        <w:ind w:left="360"/>
        <w:jc w:val="both"/>
        <w:rPr>
          <w:sz w:val="20"/>
          <w:szCs w:val="20"/>
        </w:rPr>
      </w:pPr>
    </w:p>
    <w:p w14:paraId="3EF39E8E"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Ferrer Guardiola, J. A. “Algunos aspectos no resueltos tras la modificación del TRLGDCU con ocasión de la transposición de las Directivas (UE) 2019\770 y 2019\771”: </w:t>
      </w:r>
      <w:r w:rsidRPr="00567AAA">
        <w:rPr>
          <w:i/>
          <w:sz w:val="20"/>
          <w:szCs w:val="20"/>
        </w:rPr>
        <w:t>Revista de Derecho Civil</w:t>
      </w:r>
      <w:r w:rsidRPr="00567AAA">
        <w:rPr>
          <w:sz w:val="20"/>
          <w:szCs w:val="20"/>
        </w:rPr>
        <w:t>, Vol. 8, Nº. 4 (octubre-diciembre), 2021, págs. 161-226.</w:t>
      </w:r>
    </w:p>
    <w:p w14:paraId="23167512" w14:textId="77777777" w:rsidR="00567AAA" w:rsidRPr="00567AAA" w:rsidRDefault="00567AAA" w:rsidP="00567AAA">
      <w:pPr>
        <w:pStyle w:val="Prrafodelista"/>
        <w:spacing w:after="0" w:line="240" w:lineRule="auto"/>
        <w:ind w:left="360"/>
        <w:jc w:val="both"/>
        <w:rPr>
          <w:sz w:val="20"/>
          <w:szCs w:val="20"/>
        </w:rPr>
      </w:pPr>
    </w:p>
    <w:p w14:paraId="2F95F1F5" w14:textId="77777777" w:rsidR="00567AAA" w:rsidRPr="00567AAA" w:rsidRDefault="00567AAA" w:rsidP="00567AAA">
      <w:pPr>
        <w:pStyle w:val="Prrafodelista"/>
        <w:numPr>
          <w:ilvl w:val="0"/>
          <w:numId w:val="9"/>
        </w:numPr>
        <w:spacing w:after="0" w:line="240" w:lineRule="auto"/>
        <w:jc w:val="both"/>
        <w:rPr>
          <w:sz w:val="20"/>
          <w:szCs w:val="20"/>
        </w:rPr>
      </w:pPr>
      <w:proofErr w:type="spellStart"/>
      <w:r w:rsidRPr="00567AAA">
        <w:rPr>
          <w:sz w:val="20"/>
          <w:szCs w:val="20"/>
        </w:rPr>
        <w:lastRenderedPageBreak/>
        <w:t>Flaquer</w:t>
      </w:r>
      <w:proofErr w:type="spellEnd"/>
      <w:r w:rsidRPr="00567AAA">
        <w:rPr>
          <w:sz w:val="20"/>
          <w:szCs w:val="20"/>
        </w:rPr>
        <w:t xml:space="preserve"> </w:t>
      </w:r>
      <w:proofErr w:type="spellStart"/>
      <w:r w:rsidRPr="00567AAA">
        <w:rPr>
          <w:sz w:val="20"/>
          <w:szCs w:val="20"/>
        </w:rPr>
        <w:t>Riutort</w:t>
      </w:r>
      <w:proofErr w:type="spellEnd"/>
      <w:r w:rsidRPr="00567AAA">
        <w:rPr>
          <w:sz w:val="20"/>
          <w:szCs w:val="20"/>
        </w:rPr>
        <w:t xml:space="preserve">, J. “La función publicitaria de las cookies: mecanismos de prevención y cautela en el derecho español”: </w:t>
      </w:r>
      <w:r w:rsidRPr="00567AAA">
        <w:rPr>
          <w:i/>
          <w:sz w:val="20"/>
          <w:szCs w:val="20"/>
        </w:rPr>
        <w:t>THEMIS: Revista de Derecho</w:t>
      </w:r>
      <w:r w:rsidRPr="00567AAA">
        <w:rPr>
          <w:sz w:val="20"/>
          <w:szCs w:val="20"/>
        </w:rPr>
        <w:t>, Nº. 79, 2021 (Ejemplar dedicado a: Derecho y Tecnología), págs. 127-140.</w:t>
      </w:r>
    </w:p>
    <w:p w14:paraId="2670033F" w14:textId="77777777" w:rsidR="00567AAA" w:rsidRPr="00567AAA" w:rsidRDefault="00567AAA" w:rsidP="00567AAA">
      <w:pPr>
        <w:pStyle w:val="Prrafodelista"/>
        <w:spacing w:after="0" w:line="240" w:lineRule="auto"/>
        <w:ind w:left="360"/>
        <w:jc w:val="both"/>
        <w:rPr>
          <w:sz w:val="20"/>
          <w:szCs w:val="20"/>
        </w:rPr>
      </w:pPr>
    </w:p>
    <w:p w14:paraId="3239470D" w14:textId="77777777" w:rsidR="00567AAA" w:rsidRPr="00567AAA" w:rsidRDefault="00567AAA" w:rsidP="00567AAA">
      <w:pPr>
        <w:pStyle w:val="Prrafodelista"/>
        <w:numPr>
          <w:ilvl w:val="0"/>
          <w:numId w:val="9"/>
        </w:numPr>
        <w:spacing w:after="0" w:line="240" w:lineRule="auto"/>
        <w:jc w:val="both"/>
        <w:rPr>
          <w:sz w:val="20"/>
          <w:szCs w:val="20"/>
        </w:rPr>
      </w:pPr>
      <w:proofErr w:type="spellStart"/>
      <w:r w:rsidRPr="00567AAA">
        <w:rPr>
          <w:sz w:val="20"/>
          <w:szCs w:val="20"/>
        </w:rPr>
        <w:t>Franquet</w:t>
      </w:r>
      <w:proofErr w:type="spellEnd"/>
      <w:r w:rsidRPr="00567AAA">
        <w:rPr>
          <w:sz w:val="20"/>
          <w:szCs w:val="20"/>
        </w:rPr>
        <w:t xml:space="preserve"> </w:t>
      </w:r>
      <w:proofErr w:type="spellStart"/>
      <w:r w:rsidRPr="00567AAA">
        <w:rPr>
          <w:sz w:val="20"/>
          <w:szCs w:val="20"/>
        </w:rPr>
        <w:t>Sugrañes</w:t>
      </w:r>
      <w:proofErr w:type="spellEnd"/>
      <w:r w:rsidRPr="00567AAA">
        <w:rPr>
          <w:sz w:val="20"/>
          <w:szCs w:val="20"/>
        </w:rPr>
        <w:t xml:space="preserve">, M. T. “El principio de transparencia en el contrato de seguro de defensa jurídica”: </w:t>
      </w:r>
      <w:r w:rsidRPr="00567AAA">
        <w:rPr>
          <w:i/>
          <w:sz w:val="20"/>
          <w:szCs w:val="20"/>
        </w:rPr>
        <w:t>Revista española de seguros: Publicación doctrinal de Derecho y Economía de los Seguros privados</w:t>
      </w:r>
      <w:r w:rsidRPr="00567AAA">
        <w:rPr>
          <w:sz w:val="20"/>
          <w:szCs w:val="20"/>
        </w:rPr>
        <w:t>, Nº. 188, 2021, págs. 649-676.</w:t>
      </w:r>
    </w:p>
    <w:p w14:paraId="5A679C48" w14:textId="77777777" w:rsidR="00567AAA" w:rsidRPr="00567AAA" w:rsidRDefault="00567AAA" w:rsidP="00567AAA">
      <w:pPr>
        <w:pStyle w:val="Prrafodelista"/>
        <w:spacing w:after="0" w:line="240" w:lineRule="auto"/>
        <w:ind w:left="360"/>
        <w:jc w:val="both"/>
        <w:rPr>
          <w:sz w:val="20"/>
          <w:szCs w:val="20"/>
        </w:rPr>
      </w:pPr>
    </w:p>
    <w:p w14:paraId="53E358D6"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García-Patos López, S. “La publicidad de productos desinfectantes que predican eficacia frente al Covid-19, en especial </w:t>
      </w:r>
      <w:proofErr w:type="spellStart"/>
      <w:r w:rsidRPr="00567AAA">
        <w:rPr>
          <w:sz w:val="20"/>
          <w:szCs w:val="20"/>
        </w:rPr>
        <w:t>biocidas</w:t>
      </w:r>
      <w:proofErr w:type="spellEnd"/>
      <w:r w:rsidRPr="00567AAA">
        <w:rPr>
          <w:sz w:val="20"/>
          <w:szCs w:val="20"/>
        </w:rPr>
        <w:t xml:space="preserve">”: </w:t>
      </w:r>
      <w:r w:rsidRPr="00567AAA">
        <w:rPr>
          <w:i/>
          <w:sz w:val="20"/>
          <w:szCs w:val="20"/>
        </w:rPr>
        <w:t>Comunicaciones en propiedad industrial y derecho de la competencia</w:t>
      </w:r>
      <w:r w:rsidRPr="00567AAA">
        <w:rPr>
          <w:sz w:val="20"/>
          <w:szCs w:val="20"/>
        </w:rPr>
        <w:t>, Nº. 94 (septiembre-diciembre), 2021, págs. 87-103.</w:t>
      </w:r>
    </w:p>
    <w:p w14:paraId="53D3EC0C" w14:textId="77777777" w:rsidR="00567AAA" w:rsidRPr="00567AAA" w:rsidRDefault="00567AAA" w:rsidP="00567AAA">
      <w:pPr>
        <w:pStyle w:val="Prrafodelista"/>
        <w:spacing w:after="0" w:line="240" w:lineRule="auto"/>
        <w:ind w:left="360"/>
        <w:jc w:val="both"/>
        <w:rPr>
          <w:sz w:val="20"/>
          <w:szCs w:val="20"/>
        </w:rPr>
      </w:pPr>
    </w:p>
    <w:p w14:paraId="04136E31"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Gómez </w:t>
      </w:r>
      <w:proofErr w:type="spellStart"/>
      <w:r w:rsidRPr="00567AAA">
        <w:rPr>
          <w:sz w:val="20"/>
          <w:szCs w:val="20"/>
        </w:rPr>
        <w:t>Ligüerre</w:t>
      </w:r>
      <w:proofErr w:type="spellEnd"/>
      <w:r w:rsidRPr="00567AAA">
        <w:rPr>
          <w:sz w:val="20"/>
          <w:szCs w:val="20"/>
        </w:rPr>
        <w:t xml:space="preserve">, C. I. “Documento visualizado Libertad de elección de abogado, límites de cobertura y garantía de los derechos del asegurado. Comentario a las STS, de 24 de febrero de 2021 (RJ 2021, 445)”: </w:t>
      </w:r>
      <w:r w:rsidRPr="00567AAA">
        <w:rPr>
          <w:i/>
          <w:sz w:val="20"/>
          <w:szCs w:val="20"/>
        </w:rPr>
        <w:t xml:space="preserve">Cuadernos </w:t>
      </w:r>
      <w:proofErr w:type="spellStart"/>
      <w:r w:rsidRPr="00567AAA">
        <w:rPr>
          <w:i/>
          <w:sz w:val="20"/>
          <w:szCs w:val="20"/>
        </w:rPr>
        <w:t>Civitas</w:t>
      </w:r>
      <w:proofErr w:type="spellEnd"/>
      <w:r w:rsidRPr="00567AAA">
        <w:rPr>
          <w:i/>
          <w:sz w:val="20"/>
          <w:szCs w:val="20"/>
        </w:rPr>
        <w:t xml:space="preserve"> de jurisprudencia civil</w:t>
      </w:r>
      <w:r w:rsidRPr="00567AAA">
        <w:rPr>
          <w:sz w:val="20"/>
          <w:szCs w:val="20"/>
        </w:rPr>
        <w:t>, Nº 117, 2021, págs. 205-230.</w:t>
      </w:r>
    </w:p>
    <w:p w14:paraId="7876FB81" w14:textId="77777777" w:rsidR="00567AAA" w:rsidRPr="00567AAA" w:rsidRDefault="00567AAA" w:rsidP="00567AAA">
      <w:pPr>
        <w:pStyle w:val="Prrafodelista"/>
        <w:spacing w:after="0" w:line="240" w:lineRule="auto"/>
        <w:ind w:left="360"/>
        <w:jc w:val="both"/>
        <w:rPr>
          <w:sz w:val="20"/>
          <w:szCs w:val="20"/>
        </w:rPr>
      </w:pPr>
    </w:p>
    <w:p w14:paraId="079B7C6D"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González, A. “La publicidad sobre </w:t>
      </w:r>
      <w:proofErr w:type="spellStart"/>
      <w:r w:rsidRPr="00567AAA">
        <w:rPr>
          <w:sz w:val="20"/>
          <w:szCs w:val="20"/>
        </w:rPr>
        <w:t>NFTs</w:t>
      </w:r>
      <w:proofErr w:type="spellEnd"/>
      <w:r w:rsidRPr="00567AAA">
        <w:rPr>
          <w:sz w:val="20"/>
          <w:szCs w:val="20"/>
        </w:rPr>
        <w:t xml:space="preserve">: nueva regulación sobre publicidad de </w:t>
      </w:r>
      <w:proofErr w:type="spellStart"/>
      <w:r w:rsidRPr="00567AAA">
        <w:rPr>
          <w:sz w:val="20"/>
          <w:szCs w:val="20"/>
        </w:rPr>
        <w:t>criptoactivos</w:t>
      </w:r>
      <w:proofErr w:type="spellEnd"/>
      <w:r w:rsidRPr="00567AAA">
        <w:rPr>
          <w:sz w:val="20"/>
          <w:szCs w:val="20"/>
        </w:rPr>
        <w:t xml:space="preserve"> en España”: </w:t>
      </w:r>
      <w:r w:rsidRPr="00567AAA">
        <w:rPr>
          <w:i/>
          <w:sz w:val="20"/>
          <w:szCs w:val="20"/>
        </w:rPr>
        <w:t>Actualidad jurídica Aranzadi</w:t>
      </w:r>
      <w:r w:rsidRPr="00567AAA">
        <w:rPr>
          <w:sz w:val="20"/>
          <w:szCs w:val="20"/>
        </w:rPr>
        <w:t>, Nº 982, 2022.</w:t>
      </w:r>
    </w:p>
    <w:p w14:paraId="73011F1C" w14:textId="77777777" w:rsidR="00567AAA" w:rsidRPr="00567AAA" w:rsidRDefault="00567AAA" w:rsidP="00567AAA">
      <w:pPr>
        <w:pStyle w:val="Prrafodelista"/>
        <w:spacing w:after="0" w:line="240" w:lineRule="auto"/>
        <w:ind w:left="360"/>
        <w:jc w:val="both"/>
        <w:rPr>
          <w:sz w:val="20"/>
          <w:szCs w:val="20"/>
        </w:rPr>
      </w:pPr>
    </w:p>
    <w:p w14:paraId="0D137A3F"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González-Busto Múgica, A. “Noticia histórica sobre el procedimiento para la ejecución judicial de las hipotecas”: </w:t>
      </w:r>
      <w:r w:rsidRPr="00567AAA">
        <w:rPr>
          <w:i/>
          <w:sz w:val="20"/>
          <w:szCs w:val="20"/>
        </w:rPr>
        <w:t>Revista jurídica de Asturias</w:t>
      </w:r>
      <w:r w:rsidRPr="00567AAA">
        <w:rPr>
          <w:sz w:val="20"/>
          <w:szCs w:val="20"/>
        </w:rPr>
        <w:t>, Nº 44, 2021, págs. 49-72.</w:t>
      </w:r>
    </w:p>
    <w:p w14:paraId="3F458D24" w14:textId="77777777" w:rsidR="00567AAA" w:rsidRPr="00567AAA" w:rsidRDefault="00567AAA" w:rsidP="00567AAA">
      <w:pPr>
        <w:pStyle w:val="Prrafodelista"/>
        <w:spacing w:after="0" w:line="240" w:lineRule="auto"/>
        <w:ind w:left="360"/>
        <w:jc w:val="both"/>
        <w:rPr>
          <w:sz w:val="20"/>
          <w:szCs w:val="20"/>
        </w:rPr>
      </w:pPr>
    </w:p>
    <w:p w14:paraId="6A447824"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Guerrero Lebrón, M. J. “Comentario a la Sentencia del Tribunal Supremo 554/2021, de 20 de julio de 2021 (Sala de lo Civil, Sección 1</w:t>
      </w:r>
      <w:proofErr w:type="gramStart"/>
      <w:r w:rsidRPr="00567AAA">
        <w:rPr>
          <w:sz w:val="20"/>
          <w:szCs w:val="20"/>
        </w:rPr>
        <w:t>.ª</w:t>
      </w:r>
      <w:proofErr w:type="gramEnd"/>
      <w:r w:rsidRPr="00567AAA">
        <w:rPr>
          <w:sz w:val="20"/>
          <w:szCs w:val="20"/>
        </w:rPr>
        <w:t xml:space="preserve">) (RJ 2021, 3582). Sobre la </w:t>
      </w:r>
      <w:proofErr w:type="spellStart"/>
      <w:r w:rsidRPr="00567AAA">
        <w:rPr>
          <w:sz w:val="20"/>
          <w:szCs w:val="20"/>
        </w:rPr>
        <w:t>abusividad</w:t>
      </w:r>
      <w:proofErr w:type="spellEnd"/>
      <w:r w:rsidRPr="00567AAA">
        <w:rPr>
          <w:sz w:val="20"/>
          <w:szCs w:val="20"/>
        </w:rPr>
        <w:t xml:space="preserve"> de algunas cláusulas comunes en las condiciones generales de transporte aéreo de pasajeros”: </w:t>
      </w:r>
      <w:r w:rsidRPr="00567AAA">
        <w:rPr>
          <w:i/>
          <w:sz w:val="20"/>
          <w:szCs w:val="20"/>
        </w:rPr>
        <w:t xml:space="preserve">Cuadernos </w:t>
      </w:r>
      <w:proofErr w:type="spellStart"/>
      <w:r w:rsidRPr="00567AAA">
        <w:rPr>
          <w:i/>
          <w:sz w:val="20"/>
          <w:szCs w:val="20"/>
        </w:rPr>
        <w:t>Civitas</w:t>
      </w:r>
      <w:proofErr w:type="spellEnd"/>
      <w:r w:rsidRPr="00567AAA">
        <w:rPr>
          <w:i/>
          <w:sz w:val="20"/>
          <w:szCs w:val="20"/>
        </w:rPr>
        <w:t xml:space="preserve"> de jurisprudencia civil</w:t>
      </w:r>
      <w:r w:rsidRPr="00567AAA">
        <w:rPr>
          <w:sz w:val="20"/>
          <w:szCs w:val="20"/>
        </w:rPr>
        <w:t>, Nº 118, 2022, págs. 257-286.</w:t>
      </w:r>
    </w:p>
    <w:p w14:paraId="5FC1E3A7" w14:textId="77777777" w:rsidR="00567AAA" w:rsidRPr="00567AAA" w:rsidRDefault="00567AAA" w:rsidP="00567AAA">
      <w:pPr>
        <w:pStyle w:val="Prrafodelista"/>
        <w:spacing w:after="0" w:line="240" w:lineRule="auto"/>
        <w:ind w:left="360"/>
        <w:jc w:val="both"/>
        <w:rPr>
          <w:sz w:val="20"/>
          <w:szCs w:val="20"/>
        </w:rPr>
      </w:pPr>
    </w:p>
    <w:p w14:paraId="2C47710F"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Gutiérrez García, E. “La publicidad encubierta a través de </w:t>
      </w:r>
      <w:proofErr w:type="spellStart"/>
      <w:r w:rsidRPr="00567AAA">
        <w:rPr>
          <w:sz w:val="20"/>
          <w:szCs w:val="20"/>
        </w:rPr>
        <w:t>influencers</w:t>
      </w:r>
      <w:proofErr w:type="spellEnd"/>
      <w:r w:rsidRPr="00567AAA">
        <w:rPr>
          <w:sz w:val="20"/>
          <w:szCs w:val="20"/>
        </w:rPr>
        <w:t xml:space="preserve">: la urgencia de una regulación”: </w:t>
      </w:r>
      <w:r w:rsidRPr="00567AAA">
        <w:rPr>
          <w:i/>
          <w:sz w:val="20"/>
          <w:szCs w:val="20"/>
        </w:rPr>
        <w:t>Revista de derecho de la competencia y la distribución</w:t>
      </w:r>
      <w:r w:rsidRPr="00567AAA">
        <w:rPr>
          <w:sz w:val="20"/>
          <w:szCs w:val="20"/>
        </w:rPr>
        <w:t>, Nº. 29, 2021.</w:t>
      </w:r>
    </w:p>
    <w:p w14:paraId="4BC91BCC" w14:textId="77777777" w:rsidR="00567AAA" w:rsidRPr="00567AAA" w:rsidRDefault="00567AAA" w:rsidP="00567AAA">
      <w:pPr>
        <w:pStyle w:val="Prrafodelista"/>
        <w:spacing w:after="0" w:line="240" w:lineRule="auto"/>
        <w:ind w:left="360"/>
        <w:jc w:val="both"/>
        <w:rPr>
          <w:sz w:val="20"/>
          <w:szCs w:val="20"/>
        </w:rPr>
      </w:pPr>
    </w:p>
    <w:p w14:paraId="7D3C48A8"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Hernández </w:t>
      </w:r>
      <w:proofErr w:type="spellStart"/>
      <w:r w:rsidRPr="00567AAA">
        <w:rPr>
          <w:sz w:val="20"/>
          <w:szCs w:val="20"/>
        </w:rPr>
        <w:t>Meni</w:t>
      </w:r>
      <w:proofErr w:type="spellEnd"/>
      <w:r w:rsidRPr="00567AAA">
        <w:rPr>
          <w:sz w:val="20"/>
          <w:szCs w:val="20"/>
        </w:rPr>
        <w:t xml:space="preserve">, I. “La virtualidad de la cláusula de pago a primer requerimiento para definir la naturaleza de las garantías autónomas. La problemática de la calificación jurídica”: </w:t>
      </w:r>
      <w:r w:rsidRPr="00567AAA">
        <w:rPr>
          <w:i/>
          <w:sz w:val="20"/>
          <w:szCs w:val="20"/>
        </w:rPr>
        <w:t>Revista de Derecho Civil</w:t>
      </w:r>
      <w:r w:rsidRPr="00567AAA">
        <w:rPr>
          <w:sz w:val="20"/>
          <w:szCs w:val="20"/>
        </w:rPr>
        <w:t>, Vol. 8, Nº. 4 (octubre-diciembre), 2021, págs. 125-159.</w:t>
      </w:r>
    </w:p>
    <w:p w14:paraId="0CBC5649" w14:textId="77777777" w:rsidR="00567AAA" w:rsidRPr="00567AAA" w:rsidRDefault="00567AAA" w:rsidP="00567AAA">
      <w:pPr>
        <w:pStyle w:val="Prrafodelista"/>
        <w:spacing w:after="0" w:line="240" w:lineRule="auto"/>
        <w:ind w:left="360"/>
        <w:jc w:val="both"/>
        <w:rPr>
          <w:sz w:val="20"/>
          <w:szCs w:val="20"/>
        </w:rPr>
      </w:pPr>
    </w:p>
    <w:p w14:paraId="3046EEBC"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Hierro </w:t>
      </w:r>
      <w:proofErr w:type="spellStart"/>
      <w:r w:rsidRPr="00567AAA">
        <w:rPr>
          <w:sz w:val="20"/>
          <w:szCs w:val="20"/>
        </w:rPr>
        <w:t>Viéitez</w:t>
      </w:r>
      <w:proofErr w:type="spellEnd"/>
      <w:r w:rsidRPr="00567AAA">
        <w:rPr>
          <w:sz w:val="20"/>
          <w:szCs w:val="20"/>
        </w:rPr>
        <w:t xml:space="preserve">, G. “Introducción al </w:t>
      </w:r>
      <w:proofErr w:type="spellStart"/>
      <w:r w:rsidRPr="00567AAA">
        <w:rPr>
          <w:sz w:val="20"/>
          <w:szCs w:val="20"/>
        </w:rPr>
        <w:t>blockchain</w:t>
      </w:r>
      <w:proofErr w:type="spellEnd"/>
      <w:r w:rsidRPr="00567AAA">
        <w:rPr>
          <w:sz w:val="20"/>
          <w:szCs w:val="20"/>
        </w:rPr>
        <w:t xml:space="preserve">, los contratos inteligentes y su relación con el arbitraje”: </w:t>
      </w:r>
      <w:r w:rsidRPr="00567AAA">
        <w:rPr>
          <w:i/>
          <w:sz w:val="20"/>
          <w:szCs w:val="20"/>
        </w:rPr>
        <w:t>THEMIS: Revista de Derecho</w:t>
      </w:r>
      <w:r w:rsidRPr="00567AAA">
        <w:rPr>
          <w:sz w:val="20"/>
          <w:szCs w:val="20"/>
        </w:rPr>
        <w:t>, Nº. 79, 2021 (Ejemplar dedicado a: Derecho y Tecnología), págs. 299-309.</w:t>
      </w:r>
    </w:p>
    <w:p w14:paraId="2C416F53" w14:textId="77777777" w:rsidR="00567AAA" w:rsidRPr="00567AAA" w:rsidRDefault="00567AAA" w:rsidP="00567AAA">
      <w:pPr>
        <w:pStyle w:val="Prrafodelista"/>
        <w:spacing w:after="0" w:line="240" w:lineRule="auto"/>
        <w:ind w:left="360"/>
        <w:jc w:val="both"/>
        <w:rPr>
          <w:sz w:val="20"/>
          <w:szCs w:val="20"/>
        </w:rPr>
      </w:pPr>
    </w:p>
    <w:p w14:paraId="65589280"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Hurtado </w:t>
      </w:r>
      <w:proofErr w:type="spellStart"/>
      <w:r w:rsidRPr="00567AAA">
        <w:rPr>
          <w:sz w:val="20"/>
          <w:szCs w:val="20"/>
        </w:rPr>
        <w:t>Yelo</w:t>
      </w:r>
      <w:proofErr w:type="spellEnd"/>
      <w:r w:rsidRPr="00567AAA">
        <w:rPr>
          <w:sz w:val="20"/>
          <w:szCs w:val="20"/>
        </w:rPr>
        <w:t xml:space="preserve">, J. J. “La vivienda habitual y su </w:t>
      </w:r>
      <w:proofErr w:type="spellStart"/>
      <w:r w:rsidRPr="00567AAA">
        <w:rPr>
          <w:sz w:val="20"/>
          <w:szCs w:val="20"/>
        </w:rPr>
        <w:t>exclusion</w:t>
      </w:r>
      <w:proofErr w:type="spellEnd"/>
      <w:r w:rsidRPr="00567AAA">
        <w:rPr>
          <w:sz w:val="20"/>
          <w:szCs w:val="20"/>
        </w:rPr>
        <w:t xml:space="preserve"> del concurso de persona física”: </w:t>
      </w:r>
      <w:r w:rsidRPr="00567AAA">
        <w:rPr>
          <w:i/>
          <w:sz w:val="20"/>
          <w:szCs w:val="20"/>
        </w:rPr>
        <w:t>Diario La Ley</w:t>
      </w:r>
      <w:r w:rsidRPr="00567AAA">
        <w:rPr>
          <w:sz w:val="20"/>
          <w:szCs w:val="20"/>
        </w:rPr>
        <w:t>, Nº 9997, 2022.</w:t>
      </w:r>
    </w:p>
    <w:p w14:paraId="11F9200E" w14:textId="77777777" w:rsidR="00567AAA" w:rsidRPr="00567AAA" w:rsidRDefault="00567AAA" w:rsidP="00567AAA">
      <w:pPr>
        <w:pStyle w:val="Prrafodelista"/>
        <w:spacing w:after="0" w:line="240" w:lineRule="auto"/>
        <w:ind w:left="360"/>
        <w:jc w:val="both"/>
        <w:rPr>
          <w:sz w:val="20"/>
          <w:szCs w:val="20"/>
        </w:rPr>
      </w:pPr>
    </w:p>
    <w:p w14:paraId="1D4F6D9D"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Jiménez Cardona, N. “Mediación de consumo”: </w:t>
      </w:r>
      <w:r w:rsidRPr="00567AAA">
        <w:rPr>
          <w:i/>
          <w:sz w:val="20"/>
          <w:szCs w:val="20"/>
        </w:rPr>
        <w:t>Revista General de Derecho Procesal</w:t>
      </w:r>
      <w:r w:rsidRPr="00567AAA">
        <w:rPr>
          <w:sz w:val="20"/>
          <w:szCs w:val="20"/>
        </w:rPr>
        <w:t>, Nº. 56, 2022.</w:t>
      </w:r>
    </w:p>
    <w:p w14:paraId="0B2CE02D" w14:textId="77777777" w:rsidR="00567AAA" w:rsidRPr="00567AAA" w:rsidRDefault="00567AAA" w:rsidP="00567AAA">
      <w:pPr>
        <w:pStyle w:val="Prrafodelista"/>
        <w:spacing w:after="0" w:line="240" w:lineRule="auto"/>
        <w:ind w:left="360"/>
        <w:jc w:val="both"/>
        <w:rPr>
          <w:sz w:val="20"/>
          <w:szCs w:val="20"/>
        </w:rPr>
      </w:pPr>
    </w:p>
    <w:p w14:paraId="53A0E468" w14:textId="77777777" w:rsidR="00567AAA" w:rsidRPr="00567AAA" w:rsidRDefault="00567AAA" w:rsidP="00567AAA">
      <w:pPr>
        <w:pStyle w:val="Prrafodelista"/>
        <w:numPr>
          <w:ilvl w:val="0"/>
          <w:numId w:val="9"/>
        </w:numPr>
        <w:spacing w:after="0" w:line="240" w:lineRule="auto"/>
        <w:jc w:val="both"/>
        <w:rPr>
          <w:sz w:val="20"/>
          <w:szCs w:val="20"/>
        </w:rPr>
      </w:pPr>
      <w:proofErr w:type="spellStart"/>
      <w:r w:rsidRPr="00567AAA">
        <w:rPr>
          <w:sz w:val="20"/>
          <w:szCs w:val="20"/>
        </w:rPr>
        <w:t>Jordá</w:t>
      </w:r>
      <w:proofErr w:type="spellEnd"/>
      <w:r w:rsidRPr="00567AAA">
        <w:rPr>
          <w:sz w:val="20"/>
          <w:szCs w:val="20"/>
        </w:rPr>
        <w:t xml:space="preserve"> Capitán, E. R. “La protección ambiental y la protección del consumidor: El consumo sostenible”: </w:t>
      </w:r>
      <w:r w:rsidRPr="00567AAA">
        <w:rPr>
          <w:i/>
          <w:sz w:val="20"/>
          <w:szCs w:val="20"/>
        </w:rPr>
        <w:t>Revista de derecho agrario y alimentario</w:t>
      </w:r>
      <w:r w:rsidRPr="00567AAA">
        <w:rPr>
          <w:sz w:val="20"/>
          <w:szCs w:val="20"/>
        </w:rPr>
        <w:t>, Año nº 37, Nº 79, 2021, págs. 77-123.</w:t>
      </w:r>
    </w:p>
    <w:p w14:paraId="5E673D40" w14:textId="77777777" w:rsidR="00567AAA" w:rsidRPr="00567AAA" w:rsidRDefault="00567AAA" w:rsidP="00567AAA">
      <w:pPr>
        <w:pStyle w:val="Prrafodelista"/>
        <w:spacing w:after="0" w:line="240" w:lineRule="auto"/>
        <w:ind w:left="360"/>
        <w:jc w:val="both"/>
        <w:rPr>
          <w:sz w:val="20"/>
          <w:szCs w:val="20"/>
        </w:rPr>
      </w:pPr>
    </w:p>
    <w:p w14:paraId="39A5A76D"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Jurado </w:t>
      </w:r>
      <w:proofErr w:type="spellStart"/>
      <w:r w:rsidRPr="00567AAA">
        <w:rPr>
          <w:sz w:val="20"/>
          <w:szCs w:val="20"/>
        </w:rPr>
        <w:t>Jurado</w:t>
      </w:r>
      <w:proofErr w:type="spellEnd"/>
      <w:r w:rsidRPr="00567AAA">
        <w:rPr>
          <w:sz w:val="20"/>
          <w:szCs w:val="20"/>
        </w:rPr>
        <w:t>, J. J. “La tasación de inmuebles hipotecados: el sistema español en el contexto europeo”: Revista Crítica de Derecho Inmobiliario, Año nº 98, Nº 789, 2022, págs. 227-255.</w:t>
      </w:r>
    </w:p>
    <w:p w14:paraId="2314DF02" w14:textId="77777777" w:rsidR="00567AAA" w:rsidRPr="00567AAA" w:rsidRDefault="00567AAA" w:rsidP="00567AAA">
      <w:pPr>
        <w:pStyle w:val="Prrafodelista"/>
        <w:spacing w:after="0" w:line="240" w:lineRule="auto"/>
        <w:ind w:left="360"/>
        <w:jc w:val="both"/>
        <w:rPr>
          <w:sz w:val="20"/>
          <w:szCs w:val="20"/>
        </w:rPr>
      </w:pPr>
    </w:p>
    <w:p w14:paraId="72BC2478"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la Casa, R. “Aproximación al estudio de las cláusulas lesivas, las cláusulas </w:t>
      </w:r>
      <w:proofErr w:type="spellStart"/>
      <w:r w:rsidRPr="00567AAA">
        <w:rPr>
          <w:sz w:val="20"/>
          <w:szCs w:val="20"/>
        </w:rPr>
        <w:t>limitativaas</w:t>
      </w:r>
      <w:proofErr w:type="spellEnd"/>
      <w:r w:rsidRPr="00567AAA">
        <w:rPr>
          <w:sz w:val="20"/>
          <w:szCs w:val="20"/>
        </w:rPr>
        <w:t xml:space="preserve"> y las cláusulas </w:t>
      </w:r>
      <w:proofErr w:type="spellStart"/>
      <w:r w:rsidRPr="00567AAA">
        <w:rPr>
          <w:sz w:val="20"/>
          <w:szCs w:val="20"/>
        </w:rPr>
        <w:t>delimintadoras</w:t>
      </w:r>
      <w:proofErr w:type="spellEnd"/>
      <w:r w:rsidRPr="00567AAA">
        <w:rPr>
          <w:sz w:val="20"/>
          <w:szCs w:val="20"/>
        </w:rPr>
        <w:t xml:space="preserve"> del riesgo en el contrato de seguro al hilo de la jurisprudencia del Tribunal Supremo”: </w:t>
      </w:r>
      <w:r w:rsidRPr="00567AAA">
        <w:rPr>
          <w:i/>
          <w:sz w:val="20"/>
          <w:szCs w:val="20"/>
        </w:rPr>
        <w:t>Revista española de seguros: Publicación doctrinal de Derecho y Economía de los Seguros privados</w:t>
      </w:r>
      <w:r w:rsidRPr="00567AAA">
        <w:rPr>
          <w:sz w:val="20"/>
          <w:szCs w:val="20"/>
        </w:rPr>
        <w:t>, Nº. 188, 2021, págs. 623-648.</w:t>
      </w:r>
    </w:p>
    <w:p w14:paraId="36CFFA25" w14:textId="77777777" w:rsidR="00567AAA" w:rsidRPr="00567AAA" w:rsidRDefault="00567AAA" w:rsidP="00567AAA">
      <w:pPr>
        <w:pStyle w:val="Prrafodelista"/>
        <w:spacing w:after="0" w:line="240" w:lineRule="auto"/>
        <w:ind w:left="360"/>
        <w:jc w:val="both"/>
        <w:rPr>
          <w:sz w:val="20"/>
          <w:szCs w:val="20"/>
        </w:rPr>
      </w:pPr>
    </w:p>
    <w:p w14:paraId="63BC1C4E" w14:textId="77777777" w:rsidR="00567AAA" w:rsidRPr="00567AAA" w:rsidRDefault="00567AAA" w:rsidP="00567AAA">
      <w:pPr>
        <w:pStyle w:val="Prrafodelista"/>
        <w:numPr>
          <w:ilvl w:val="0"/>
          <w:numId w:val="9"/>
        </w:numPr>
        <w:spacing w:after="0" w:line="240" w:lineRule="auto"/>
        <w:jc w:val="both"/>
        <w:rPr>
          <w:sz w:val="20"/>
          <w:szCs w:val="20"/>
        </w:rPr>
      </w:pPr>
      <w:proofErr w:type="spellStart"/>
      <w:r w:rsidRPr="00567AAA">
        <w:rPr>
          <w:sz w:val="20"/>
          <w:szCs w:val="20"/>
        </w:rPr>
        <w:t>Macanás</w:t>
      </w:r>
      <w:proofErr w:type="spellEnd"/>
      <w:r w:rsidRPr="00567AAA">
        <w:rPr>
          <w:sz w:val="20"/>
          <w:szCs w:val="20"/>
        </w:rPr>
        <w:t xml:space="preserve"> Vicente, G. “</w:t>
      </w:r>
      <w:proofErr w:type="spellStart"/>
      <w:r w:rsidRPr="00567AAA">
        <w:rPr>
          <w:sz w:val="20"/>
          <w:szCs w:val="20"/>
        </w:rPr>
        <w:t>Dies</w:t>
      </w:r>
      <w:proofErr w:type="spellEnd"/>
      <w:r w:rsidRPr="00567AAA">
        <w:rPr>
          <w:sz w:val="20"/>
          <w:szCs w:val="20"/>
        </w:rPr>
        <w:t xml:space="preserve"> a quo de la acción de anulación por error vicio y resolución por incumplimiento de compraventa con precio indeterminado. Gabriel </w:t>
      </w:r>
      <w:proofErr w:type="spellStart"/>
      <w:r w:rsidRPr="00567AAA">
        <w:rPr>
          <w:sz w:val="20"/>
          <w:szCs w:val="20"/>
        </w:rPr>
        <w:t>Macanás</w:t>
      </w:r>
      <w:proofErr w:type="spellEnd"/>
      <w:r w:rsidRPr="00567AAA">
        <w:rPr>
          <w:sz w:val="20"/>
          <w:szCs w:val="20"/>
        </w:rPr>
        <w:t xml:space="preserve">”: </w:t>
      </w:r>
      <w:r w:rsidRPr="00567AAA">
        <w:rPr>
          <w:i/>
          <w:sz w:val="20"/>
          <w:szCs w:val="20"/>
        </w:rPr>
        <w:t xml:space="preserve">Cuadernos </w:t>
      </w:r>
      <w:proofErr w:type="spellStart"/>
      <w:r w:rsidRPr="00567AAA">
        <w:rPr>
          <w:i/>
          <w:sz w:val="20"/>
          <w:szCs w:val="20"/>
        </w:rPr>
        <w:t>Civitas</w:t>
      </w:r>
      <w:proofErr w:type="spellEnd"/>
      <w:r w:rsidRPr="00567AAA">
        <w:rPr>
          <w:i/>
          <w:sz w:val="20"/>
          <w:szCs w:val="20"/>
        </w:rPr>
        <w:t xml:space="preserve"> de jurisprudencia civil</w:t>
      </w:r>
      <w:r w:rsidRPr="00567AAA">
        <w:rPr>
          <w:sz w:val="20"/>
          <w:szCs w:val="20"/>
        </w:rPr>
        <w:t>, Nº 117, 2021, págs. 11-36.</w:t>
      </w:r>
    </w:p>
    <w:p w14:paraId="4296C563" w14:textId="77777777" w:rsidR="00567AAA" w:rsidRPr="00567AAA" w:rsidRDefault="00567AAA" w:rsidP="00567AAA">
      <w:pPr>
        <w:pStyle w:val="Prrafodelista"/>
        <w:spacing w:after="0" w:line="240" w:lineRule="auto"/>
        <w:ind w:left="360"/>
        <w:jc w:val="both"/>
        <w:rPr>
          <w:sz w:val="20"/>
          <w:szCs w:val="20"/>
        </w:rPr>
      </w:pPr>
    </w:p>
    <w:p w14:paraId="2D1F33C5"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Marcos Fernández, F. “El régimen de prescripción de las acciones de daños por el «cártel de coches»”: </w:t>
      </w:r>
      <w:r w:rsidRPr="00567AAA">
        <w:rPr>
          <w:i/>
          <w:sz w:val="20"/>
          <w:szCs w:val="20"/>
        </w:rPr>
        <w:t>Diario La Ley</w:t>
      </w:r>
      <w:r w:rsidRPr="00567AAA">
        <w:rPr>
          <w:sz w:val="20"/>
          <w:szCs w:val="20"/>
        </w:rPr>
        <w:t>, Nº 9975, 2021.</w:t>
      </w:r>
    </w:p>
    <w:p w14:paraId="2111C703" w14:textId="77777777" w:rsidR="00567AAA" w:rsidRPr="00567AAA" w:rsidRDefault="00567AAA" w:rsidP="00567AAA">
      <w:pPr>
        <w:pStyle w:val="Prrafodelista"/>
        <w:spacing w:after="0" w:line="240" w:lineRule="auto"/>
        <w:ind w:left="360"/>
        <w:jc w:val="both"/>
        <w:rPr>
          <w:sz w:val="20"/>
          <w:szCs w:val="20"/>
        </w:rPr>
      </w:pPr>
    </w:p>
    <w:p w14:paraId="420C8BA4"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Marín López, J. J. “La reforma de la Directiva del seguro obligatorio del automóvil”: </w:t>
      </w:r>
      <w:r w:rsidRPr="00567AAA">
        <w:rPr>
          <w:i/>
          <w:sz w:val="20"/>
          <w:szCs w:val="20"/>
        </w:rPr>
        <w:t>Revista española de seguros: Publicación doctrinal de Derecho y Economía de los Seguros privados</w:t>
      </w:r>
      <w:r w:rsidRPr="00567AAA">
        <w:rPr>
          <w:sz w:val="20"/>
          <w:szCs w:val="20"/>
        </w:rPr>
        <w:t>, Nº. 188, 2021, págs. 709-710.</w:t>
      </w:r>
    </w:p>
    <w:p w14:paraId="7655EC57" w14:textId="77777777" w:rsidR="00567AAA" w:rsidRPr="00567AAA" w:rsidRDefault="00567AAA" w:rsidP="00567AAA">
      <w:pPr>
        <w:pStyle w:val="Prrafodelista"/>
        <w:spacing w:after="0" w:line="240" w:lineRule="auto"/>
        <w:ind w:left="360"/>
        <w:jc w:val="both"/>
        <w:rPr>
          <w:sz w:val="20"/>
          <w:szCs w:val="20"/>
        </w:rPr>
      </w:pPr>
    </w:p>
    <w:p w14:paraId="5958B6AC"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Martín Faba, J. M. “Comentario a la STS (Pleno) de 2 de febrero de 2021 (RJ 2021, 314). El impago de un número significativo de cuotas de amortización del préstamo hipotecario faculta al vencimiento anticipado de la total obligación de pago”: </w:t>
      </w:r>
      <w:r w:rsidRPr="00567AAA">
        <w:rPr>
          <w:i/>
          <w:sz w:val="20"/>
          <w:szCs w:val="20"/>
        </w:rPr>
        <w:t xml:space="preserve">Cuadernos </w:t>
      </w:r>
      <w:proofErr w:type="spellStart"/>
      <w:r w:rsidRPr="00567AAA">
        <w:rPr>
          <w:i/>
          <w:sz w:val="20"/>
          <w:szCs w:val="20"/>
        </w:rPr>
        <w:t>Civitas</w:t>
      </w:r>
      <w:proofErr w:type="spellEnd"/>
      <w:r w:rsidRPr="00567AAA">
        <w:rPr>
          <w:i/>
          <w:sz w:val="20"/>
          <w:szCs w:val="20"/>
        </w:rPr>
        <w:t xml:space="preserve"> de jurisprudencia civil</w:t>
      </w:r>
      <w:r w:rsidRPr="00567AAA">
        <w:rPr>
          <w:sz w:val="20"/>
          <w:szCs w:val="20"/>
        </w:rPr>
        <w:t>, Nº 118, 2022, págs. 37-64.</w:t>
      </w:r>
    </w:p>
    <w:p w14:paraId="3B64C212" w14:textId="77777777" w:rsidR="00567AAA" w:rsidRPr="00567AAA" w:rsidRDefault="00567AAA" w:rsidP="00567AAA">
      <w:pPr>
        <w:pStyle w:val="Prrafodelista"/>
        <w:spacing w:after="0" w:line="240" w:lineRule="auto"/>
        <w:ind w:left="360"/>
        <w:jc w:val="both"/>
        <w:rPr>
          <w:sz w:val="20"/>
          <w:szCs w:val="20"/>
        </w:rPr>
      </w:pPr>
    </w:p>
    <w:p w14:paraId="2376015C"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Matamoros </w:t>
      </w:r>
      <w:proofErr w:type="spellStart"/>
      <w:r w:rsidRPr="00567AAA">
        <w:rPr>
          <w:sz w:val="20"/>
          <w:szCs w:val="20"/>
        </w:rPr>
        <w:t>Llurba</w:t>
      </w:r>
      <w:proofErr w:type="spellEnd"/>
      <w:r w:rsidRPr="00567AAA">
        <w:rPr>
          <w:sz w:val="20"/>
          <w:szCs w:val="20"/>
        </w:rPr>
        <w:t xml:space="preserve">, M. “Recopilación jurisprudencial y legislativa sobre la afectación de la COVID-19 con relación a consumidores y usuarios”: </w:t>
      </w:r>
      <w:r w:rsidRPr="00567AAA">
        <w:rPr>
          <w:i/>
          <w:sz w:val="20"/>
          <w:szCs w:val="20"/>
        </w:rPr>
        <w:t>Revista Jurídica sobre Consumidores y Usuarios</w:t>
      </w:r>
      <w:r w:rsidRPr="00567AAA">
        <w:rPr>
          <w:sz w:val="20"/>
          <w:szCs w:val="20"/>
        </w:rPr>
        <w:t xml:space="preserve">, Nº 10 (La responsabilidad patrimonial de la Administración pública, ante la COVID-19), Enero 2022. </w:t>
      </w:r>
    </w:p>
    <w:p w14:paraId="011EF194" w14:textId="77777777" w:rsidR="00567AAA" w:rsidRPr="00567AAA" w:rsidRDefault="00567AAA" w:rsidP="00567AAA">
      <w:pPr>
        <w:pStyle w:val="Prrafodelista"/>
        <w:spacing w:after="0" w:line="240" w:lineRule="auto"/>
        <w:ind w:left="360"/>
        <w:jc w:val="both"/>
        <w:rPr>
          <w:sz w:val="20"/>
          <w:szCs w:val="20"/>
        </w:rPr>
      </w:pPr>
    </w:p>
    <w:p w14:paraId="1B26755D"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Mayor </w:t>
      </w:r>
      <w:proofErr w:type="spellStart"/>
      <w:r w:rsidRPr="00567AAA">
        <w:rPr>
          <w:sz w:val="20"/>
          <w:szCs w:val="20"/>
        </w:rPr>
        <w:t>Civit</w:t>
      </w:r>
      <w:proofErr w:type="spellEnd"/>
      <w:r w:rsidRPr="00567AAA">
        <w:rPr>
          <w:sz w:val="20"/>
          <w:szCs w:val="20"/>
        </w:rPr>
        <w:t xml:space="preserve">, J. J. “El seguro obligatorio de un camión, el de su remolque, los daños producidos y cuestiones paralelas, a la luz de la </w:t>
      </w:r>
      <w:proofErr w:type="spellStart"/>
      <w:r w:rsidRPr="00567AAA">
        <w:rPr>
          <w:sz w:val="20"/>
          <w:szCs w:val="20"/>
        </w:rPr>
        <w:t>St.TS</w:t>
      </w:r>
      <w:proofErr w:type="spellEnd"/>
      <w:r w:rsidRPr="00567AAA">
        <w:rPr>
          <w:sz w:val="20"/>
          <w:szCs w:val="20"/>
        </w:rPr>
        <w:t xml:space="preserve"> de Pleno, de fecha 07.10.2021”: </w:t>
      </w:r>
      <w:r w:rsidRPr="00567AAA">
        <w:rPr>
          <w:i/>
          <w:sz w:val="20"/>
          <w:szCs w:val="20"/>
        </w:rPr>
        <w:t>Revista española de seguros: Publicación doctrinal de Derecho y Economía de los Seguros privados</w:t>
      </w:r>
      <w:r w:rsidRPr="00567AAA">
        <w:rPr>
          <w:sz w:val="20"/>
          <w:szCs w:val="20"/>
        </w:rPr>
        <w:t>, Nº. 188, 2021, págs. 711-764.</w:t>
      </w:r>
    </w:p>
    <w:p w14:paraId="2D7125E9" w14:textId="77777777" w:rsidR="00567AAA" w:rsidRPr="00567AAA" w:rsidRDefault="00567AAA" w:rsidP="00567AAA">
      <w:pPr>
        <w:pStyle w:val="Prrafodelista"/>
        <w:spacing w:after="0" w:line="240" w:lineRule="auto"/>
        <w:ind w:left="360"/>
        <w:jc w:val="both"/>
        <w:rPr>
          <w:sz w:val="20"/>
          <w:szCs w:val="20"/>
        </w:rPr>
      </w:pPr>
    </w:p>
    <w:p w14:paraId="68C838AA"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Miranda Serrano, L. M. “¿Hacia un [errático] control de </w:t>
      </w:r>
      <w:proofErr w:type="spellStart"/>
      <w:r w:rsidRPr="00567AAA">
        <w:rPr>
          <w:sz w:val="20"/>
          <w:szCs w:val="20"/>
        </w:rPr>
        <w:t>abusividad</w:t>
      </w:r>
      <w:proofErr w:type="spellEnd"/>
      <w:r w:rsidRPr="00567AAA">
        <w:rPr>
          <w:sz w:val="20"/>
          <w:szCs w:val="20"/>
        </w:rPr>
        <w:t xml:space="preserve"> de las cláusulas predispuestas relativas a los elementos esenciales de los contratos de consumo?”: </w:t>
      </w:r>
      <w:r w:rsidRPr="00567AAA">
        <w:rPr>
          <w:i/>
          <w:sz w:val="20"/>
          <w:szCs w:val="20"/>
        </w:rPr>
        <w:t>La Ley mercantil</w:t>
      </w:r>
      <w:r w:rsidRPr="00567AAA">
        <w:rPr>
          <w:sz w:val="20"/>
          <w:szCs w:val="20"/>
        </w:rPr>
        <w:t>, Nº. 87 (enero), 2022.</w:t>
      </w:r>
    </w:p>
    <w:p w14:paraId="6432D238" w14:textId="77777777" w:rsidR="00567AAA" w:rsidRPr="00567AAA" w:rsidRDefault="00567AAA" w:rsidP="00567AAA">
      <w:pPr>
        <w:pStyle w:val="Prrafodelista"/>
        <w:spacing w:after="0" w:line="240" w:lineRule="auto"/>
        <w:ind w:left="360"/>
        <w:jc w:val="both"/>
        <w:rPr>
          <w:sz w:val="20"/>
          <w:szCs w:val="20"/>
        </w:rPr>
      </w:pPr>
    </w:p>
    <w:p w14:paraId="0CB7ABA1" w14:textId="77777777" w:rsidR="00567AAA" w:rsidRPr="00567AAA" w:rsidRDefault="00567AAA" w:rsidP="00567AAA">
      <w:pPr>
        <w:pStyle w:val="Prrafodelista"/>
        <w:numPr>
          <w:ilvl w:val="0"/>
          <w:numId w:val="9"/>
        </w:numPr>
        <w:spacing w:after="0" w:line="240" w:lineRule="auto"/>
        <w:jc w:val="both"/>
        <w:rPr>
          <w:sz w:val="20"/>
          <w:szCs w:val="20"/>
        </w:rPr>
      </w:pPr>
      <w:proofErr w:type="spellStart"/>
      <w:r w:rsidRPr="00567AAA">
        <w:rPr>
          <w:sz w:val="20"/>
          <w:szCs w:val="20"/>
        </w:rPr>
        <w:t>Monsante</w:t>
      </w:r>
      <w:proofErr w:type="spellEnd"/>
      <w:r w:rsidRPr="00567AAA">
        <w:rPr>
          <w:sz w:val="20"/>
          <w:szCs w:val="20"/>
        </w:rPr>
        <w:t xml:space="preserve"> </w:t>
      </w:r>
      <w:proofErr w:type="spellStart"/>
      <w:r w:rsidRPr="00567AAA">
        <w:rPr>
          <w:sz w:val="20"/>
          <w:szCs w:val="20"/>
        </w:rPr>
        <w:t>Moy</w:t>
      </w:r>
      <w:proofErr w:type="spellEnd"/>
      <w:r w:rsidRPr="00567AAA">
        <w:rPr>
          <w:sz w:val="20"/>
          <w:szCs w:val="20"/>
        </w:rPr>
        <w:t xml:space="preserve">, I., Novoa Suárez, A. y Quintanilla Gutiérrez, A. “Smart </w:t>
      </w:r>
      <w:proofErr w:type="spellStart"/>
      <w:r w:rsidRPr="00567AAA">
        <w:rPr>
          <w:sz w:val="20"/>
          <w:szCs w:val="20"/>
        </w:rPr>
        <w:t>contracts</w:t>
      </w:r>
      <w:proofErr w:type="spellEnd"/>
      <w:r w:rsidRPr="00567AAA">
        <w:rPr>
          <w:sz w:val="20"/>
          <w:szCs w:val="20"/>
        </w:rPr>
        <w:t xml:space="preserve"> como solución eficiente a los nuevos problemas del consumidor en el e-</w:t>
      </w:r>
      <w:proofErr w:type="spellStart"/>
      <w:r w:rsidRPr="00567AAA">
        <w:rPr>
          <w:sz w:val="20"/>
          <w:szCs w:val="20"/>
        </w:rPr>
        <w:t>commerce</w:t>
      </w:r>
      <w:proofErr w:type="spellEnd"/>
      <w:r w:rsidRPr="00567AAA">
        <w:rPr>
          <w:sz w:val="20"/>
          <w:szCs w:val="20"/>
        </w:rPr>
        <w:t xml:space="preserve">”: </w:t>
      </w:r>
      <w:r w:rsidRPr="00567AAA">
        <w:rPr>
          <w:i/>
          <w:sz w:val="20"/>
          <w:szCs w:val="20"/>
        </w:rPr>
        <w:t>THEMIS: Revista de Derecho</w:t>
      </w:r>
      <w:r w:rsidRPr="00567AAA">
        <w:rPr>
          <w:sz w:val="20"/>
          <w:szCs w:val="20"/>
        </w:rPr>
        <w:t>, Nº. 79, 2021 (Ejemplar dedicado a: Derecho y Tecnología), págs. 373-392.</w:t>
      </w:r>
    </w:p>
    <w:p w14:paraId="7D3FE792" w14:textId="77777777" w:rsidR="00567AAA" w:rsidRPr="00567AAA" w:rsidRDefault="00567AAA" w:rsidP="00567AAA">
      <w:pPr>
        <w:pStyle w:val="Prrafodelista"/>
        <w:spacing w:after="0" w:line="240" w:lineRule="auto"/>
        <w:ind w:left="360"/>
        <w:jc w:val="both"/>
        <w:rPr>
          <w:sz w:val="20"/>
          <w:szCs w:val="20"/>
        </w:rPr>
      </w:pPr>
    </w:p>
    <w:p w14:paraId="17A3D310"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Monterroso Casado, E. “Acción directa contra la aseguradora y valoración de daños en la responsabilidad civil por negligencia médica”: </w:t>
      </w:r>
      <w:r w:rsidRPr="00567AAA">
        <w:rPr>
          <w:i/>
          <w:sz w:val="20"/>
          <w:szCs w:val="20"/>
        </w:rPr>
        <w:t>Revista Crítica de Derecho Inmobiliario</w:t>
      </w:r>
      <w:r w:rsidRPr="00567AAA">
        <w:rPr>
          <w:sz w:val="20"/>
          <w:szCs w:val="20"/>
        </w:rPr>
        <w:t>, Año nº 97, Nº 788, 2021, págs. 3819-3833.</w:t>
      </w:r>
    </w:p>
    <w:p w14:paraId="02E4CC95" w14:textId="77777777" w:rsidR="00567AAA" w:rsidRPr="00567AAA" w:rsidRDefault="00567AAA" w:rsidP="00567AAA">
      <w:pPr>
        <w:pStyle w:val="Prrafodelista"/>
        <w:spacing w:after="0" w:line="240" w:lineRule="auto"/>
        <w:ind w:left="360"/>
        <w:jc w:val="both"/>
        <w:rPr>
          <w:sz w:val="20"/>
          <w:szCs w:val="20"/>
        </w:rPr>
      </w:pPr>
    </w:p>
    <w:p w14:paraId="1E891359"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Moreno </w:t>
      </w:r>
      <w:proofErr w:type="spellStart"/>
      <w:r w:rsidRPr="00567AAA">
        <w:rPr>
          <w:sz w:val="20"/>
          <w:szCs w:val="20"/>
        </w:rPr>
        <w:t>Blesa</w:t>
      </w:r>
      <w:proofErr w:type="spellEnd"/>
      <w:r w:rsidRPr="00567AAA">
        <w:rPr>
          <w:sz w:val="20"/>
          <w:szCs w:val="20"/>
        </w:rPr>
        <w:t xml:space="preserve">, L. “La retirada de contenidos ilícitos por los prestadores de servicios en línea”: </w:t>
      </w:r>
      <w:r w:rsidRPr="00567AAA">
        <w:rPr>
          <w:i/>
          <w:sz w:val="20"/>
          <w:szCs w:val="20"/>
        </w:rPr>
        <w:t>THEMIS: Revista de Derecho</w:t>
      </w:r>
      <w:r w:rsidRPr="00567AAA">
        <w:rPr>
          <w:sz w:val="20"/>
          <w:szCs w:val="20"/>
        </w:rPr>
        <w:t>, Nº. 79, 2021 (Ejemplar dedicado a: Derecho y Tecnología), págs. 73-86.</w:t>
      </w:r>
    </w:p>
    <w:p w14:paraId="0BB7FF0D"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Muñoz Paredes, M. L. “¿Sigue siendo el seguro el mismo contrato después del Big Data y la inteligencia artificial?”: </w:t>
      </w:r>
      <w:r w:rsidRPr="00567AAA">
        <w:rPr>
          <w:i/>
          <w:sz w:val="20"/>
          <w:szCs w:val="20"/>
        </w:rPr>
        <w:t>Revista española de seguros: Publicación doctrinal de Derecho y Economía de los Seguros privados</w:t>
      </w:r>
      <w:r w:rsidRPr="00567AAA">
        <w:rPr>
          <w:sz w:val="20"/>
          <w:szCs w:val="20"/>
        </w:rPr>
        <w:t>, Nº. 187, 2021, págs. 509-539.</w:t>
      </w:r>
    </w:p>
    <w:p w14:paraId="2CC0454E" w14:textId="77777777" w:rsidR="00567AAA" w:rsidRPr="00567AAA" w:rsidRDefault="00567AAA" w:rsidP="00567AAA">
      <w:pPr>
        <w:pStyle w:val="Prrafodelista"/>
        <w:spacing w:after="0" w:line="240" w:lineRule="auto"/>
        <w:ind w:left="360"/>
        <w:jc w:val="both"/>
        <w:rPr>
          <w:sz w:val="20"/>
          <w:szCs w:val="20"/>
        </w:rPr>
      </w:pPr>
    </w:p>
    <w:p w14:paraId="672F81EC"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Nadal Gómez, I. “Presente y futuro de las reclamaciones de los pasajeros de transporte aéreo. Análisis de las reformas procesales pendientes”: </w:t>
      </w:r>
      <w:r w:rsidRPr="00567AAA">
        <w:rPr>
          <w:i/>
          <w:sz w:val="20"/>
          <w:szCs w:val="20"/>
        </w:rPr>
        <w:t>Justicia: revista de derecho procesal</w:t>
      </w:r>
      <w:r w:rsidRPr="00567AAA">
        <w:rPr>
          <w:sz w:val="20"/>
          <w:szCs w:val="20"/>
        </w:rPr>
        <w:t>, Nº 2, 2021, págs. 141-214.</w:t>
      </w:r>
    </w:p>
    <w:p w14:paraId="24982A9B" w14:textId="77777777" w:rsidR="00567AAA" w:rsidRPr="00567AAA" w:rsidRDefault="00567AAA" w:rsidP="00567AAA">
      <w:pPr>
        <w:pStyle w:val="Prrafodelista"/>
        <w:spacing w:after="0" w:line="240" w:lineRule="auto"/>
        <w:ind w:left="360"/>
        <w:jc w:val="both"/>
        <w:rPr>
          <w:sz w:val="20"/>
          <w:szCs w:val="20"/>
        </w:rPr>
      </w:pPr>
    </w:p>
    <w:p w14:paraId="7CA7370D"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Navarro Rodríguez, S. “Cautelas en el ámbito de la intermediación inmobiliaria a la luz de la jurisprudencia más reciente y de la normativa sobre consumidores tras su última reforma”: </w:t>
      </w:r>
      <w:r w:rsidRPr="00567AAA">
        <w:rPr>
          <w:i/>
          <w:sz w:val="20"/>
          <w:szCs w:val="20"/>
        </w:rPr>
        <w:t>Diario La Ley</w:t>
      </w:r>
      <w:r w:rsidRPr="00567AAA">
        <w:rPr>
          <w:sz w:val="20"/>
          <w:szCs w:val="20"/>
        </w:rPr>
        <w:t>, Nº 9980, 2021.</w:t>
      </w:r>
    </w:p>
    <w:p w14:paraId="35F7D726" w14:textId="77777777" w:rsidR="00567AAA" w:rsidRPr="00567AAA" w:rsidRDefault="00567AAA" w:rsidP="00567AAA">
      <w:pPr>
        <w:pStyle w:val="Prrafodelista"/>
        <w:spacing w:after="0" w:line="240" w:lineRule="auto"/>
        <w:ind w:left="360"/>
        <w:jc w:val="both"/>
        <w:rPr>
          <w:sz w:val="20"/>
          <w:szCs w:val="20"/>
        </w:rPr>
      </w:pPr>
    </w:p>
    <w:p w14:paraId="0005962A"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Nieto </w:t>
      </w:r>
      <w:proofErr w:type="spellStart"/>
      <w:r w:rsidRPr="00567AAA">
        <w:rPr>
          <w:sz w:val="20"/>
          <w:szCs w:val="20"/>
        </w:rPr>
        <w:t>Brackelmanns</w:t>
      </w:r>
      <w:proofErr w:type="spellEnd"/>
      <w:r w:rsidRPr="00567AAA">
        <w:rPr>
          <w:sz w:val="20"/>
          <w:szCs w:val="20"/>
        </w:rPr>
        <w:t xml:space="preserve">, E. “Primera norma sobre </w:t>
      </w:r>
      <w:proofErr w:type="spellStart"/>
      <w:r w:rsidRPr="00567AAA">
        <w:rPr>
          <w:sz w:val="20"/>
          <w:szCs w:val="20"/>
        </w:rPr>
        <w:t>criptoactivos</w:t>
      </w:r>
      <w:proofErr w:type="spellEnd"/>
      <w:r w:rsidRPr="00567AAA">
        <w:rPr>
          <w:sz w:val="20"/>
          <w:szCs w:val="20"/>
        </w:rPr>
        <w:t xml:space="preserve"> en España: la CNMV regula su publicidad”: </w:t>
      </w:r>
      <w:r w:rsidRPr="00567AAA">
        <w:rPr>
          <w:i/>
          <w:sz w:val="20"/>
          <w:szCs w:val="20"/>
        </w:rPr>
        <w:t>Actualidad jurídica Aranzadi</w:t>
      </w:r>
      <w:r w:rsidRPr="00567AAA">
        <w:rPr>
          <w:sz w:val="20"/>
          <w:szCs w:val="20"/>
        </w:rPr>
        <w:t>, Nº 982, 2022.</w:t>
      </w:r>
    </w:p>
    <w:p w14:paraId="715E7610" w14:textId="77777777" w:rsidR="00567AAA" w:rsidRPr="00567AAA" w:rsidRDefault="00567AAA" w:rsidP="00567AAA">
      <w:pPr>
        <w:pStyle w:val="Prrafodelista"/>
        <w:spacing w:after="0" w:line="240" w:lineRule="auto"/>
        <w:ind w:left="360"/>
        <w:jc w:val="both"/>
        <w:rPr>
          <w:sz w:val="20"/>
          <w:szCs w:val="20"/>
        </w:rPr>
      </w:pPr>
    </w:p>
    <w:p w14:paraId="4FE4357B"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Olmedo Peralta, E. “Comercialización de servicios hoteleros a través de plataformas digitales de reserva de habitaciones: el controvertido uso de las cláusulas de nación más favorecida (</w:t>
      </w:r>
      <w:proofErr w:type="spellStart"/>
      <w:r w:rsidRPr="00567AAA">
        <w:rPr>
          <w:sz w:val="20"/>
          <w:szCs w:val="20"/>
        </w:rPr>
        <w:t>most</w:t>
      </w:r>
      <w:proofErr w:type="spellEnd"/>
      <w:r w:rsidRPr="00567AAA">
        <w:rPr>
          <w:sz w:val="20"/>
          <w:szCs w:val="20"/>
        </w:rPr>
        <w:t xml:space="preserve"> </w:t>
      </w:r>
      <w:proofErr w:type="spellStart"/>
      <w:r w:rsidRPr="00567AAA">
        <w:rPr>
          <w:sz w:val="20"/>
          <w:szCs w:val="20"/>
        </w:rPr>
        <w:t>favoured</w:t>
      </w:r>
      <w:proofErr w:type="spellEnd"/>
      <w:r w:rsidRPr="00567AAA">
        <w:rPr>
          <w:sz w:val="20"/>
          <w:szCs w:val="20"/>
        </w:rPr>
        <w:t xml:space="preserve"> </w:t>
      </w:r>
      <w:proofErr w:type="spellStart"/>
      <w:r w:rsidRPr="00567AAA">
        <w:rPr>
          <w:sz w:val="20"/>
          <w:szCs w:val="20"/>
        </w:rPr>
        <w:t>nation</w:t>
      </w:r>
      <w:proofErr w:type="spellEnd"/>
      <w:r w:rsidRPr="00567AAA">
        <w:rPr>
          <w:sz w:val="20"/>
          <w:szCs w:val="20"/>
        </w:rPr>
        <w:t xml:space="preserve">)”: </w:t>
      </w:r>
      <w:r w:rsidRPr="00567AAA">
        <w:rPr>
          <w:i/>
          <w:sz w:val="20"/>
          <w:szCs w:val="20"/>
        </w:rPr>
        <w:t>Revista General de Derecho del Turismo RGDT</w:t>
      </w:r>
      <w:r w:rsidRPr="00567AAA">
        <w:rPr>
          <w:sz w:val="20"/>
          <w:szCs w:val="20"/>
        </w:rPr>
        <w:t>, Nº. 4, 2021.</w:t>
      </w:r>
    </w:p>
    <w:p w14:paraId="00E48615" w14:textId="77777777" w:rsidR="00567AAA" w:rsidRPr="00567AAA" w:rsidRDefault="00567AAA" w:rsidP="00567AAA">
      <w:pPr>
        <w:pStyle w:val="Prrafodelista"/>
        <w:spacing w:after="0" w:line="240" w:lineRule="auto"/>
        <w:ind w:left="360"/>
        <w:jc w:val="both"/>
        <w:rPr>
          <w:sz w:val="20"/>
          <w:szCs w:val="20"/>
        </w:rPr>
      </w:pPr>
    </w:p>
    <w:p w14:paraId="59F8714D"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Pardo Prado, S. “Problemática jurídica de </w:t>
      </w:r>
      <w:proofErr w:type="spellStart"/>
      <w:r w:rsidRPr="00567AAA">
        <w:rPr>
          <w:sz w:val="20"/>
          <w:szCs w:val="20"/>
        </w:rPr>
        <w:t>blockchain</w:t>
      </w:r>
      <w:proofErr w:type="spellEnd"/>
      <w:r w:rsidRPr="00567AAA">
        <w:rPr>
          <w:sz w:val="20"/>
          <w:szCs w:val="20"/>
        </w:rPr>
        <w:t xml:space="preserve">: Circular 1/2022, reglamento </w:t>
      </w:r>
      <w:proofErr w:type="spellStart"/>
      <w:r w:rsidRPr="00567AAA">
        <w:rPr>
          <w:sz w:val="20"/>
          <w:szCs w:val="20"/>
        </w:rPr>
        <w:t>MiCA</w:t>
      </w:r>
      <w:proofErr w:type="spellEnd"/>
      <w:r w:rsidRPr="00567AAA">
        <w:rPr>
          <w:sz w:val="20"/>
          <w:szCs w:val="20"/>
        </w:rPr>
        <w:t xml:space="preserve">, derechos ARCO, derecho al olvido y consumidores”: </w:t>
      </w:r>
      <w:r w:rsidRPr="00567AAA">
        <w:rPr>
          <w:i/>
          <w:sz w:val="20"/>
          <w:szCs w:val="20"/>
        </w:rPr>
        <w:t xml:space="preserve">Revista de Derecho </w:t>
      </w:r>
      <w:proofErr w:type="spellStart"/>
      <w:r w:rsidRPr="00567AAA">
        <w:rPr>
          <w:i/>
          <w:sz w:val="20"/>
          <w:szCs w:val="20"/>
        </w:rPr>
        <w:t>vLex</w:t>
      </w:r>
      <w:proofErr w:type="spellEnd"/>
      <w:r w:rsidRPr="00567AAA">
        <w:rPr>
          <w:sz w:val="20"/>
          <w:szCs w:val="20"/>
        </w:rPr>
        <w:t xml:space="preserve">, Nº 212, Enero 2022. </w:t>
      </w:r>
    </w:p>
    <w:p w14:paraId="2B1F6E1E" w14:textId="77777777" w:rsidR="00567AAA" w:rsidRPr="00567AAA" w:rsidRDefault="00567AAA" w:rsidP="00567AAA">
      <w:pPr>
        <w:pStyle w:val="Prrafodelista"/>
        <w:spacing w:after="0" w:line="240" w:lineRule="auto"/>
        <w:ind w:left="360"/>
        <w:jc w:val="both"/>
        <w:rPr>
          <w:sz w:val="20"/>
          <w:szCs w:val="20"/>
        </w:rPr>
      </w:pPr>
    </w:p>
    <w:p w14:paraId="6FD03D5A"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Peña Calderón, N. “El contrato de transporte aéreo y la emergencia por COVID-19: El estatuto aeronáutico chileno frente a la cancelación de vuelos por caso fortuito y la reactivación del tráfico aéreo </w:t>
      </w:r>
      <w:proofErr w:type="spellStart"/>
      <w:r w:rsidRPr="00567AAA">
        <w:rPr>
          <w:sz w:val="20"/>
          <w:szCs w:val="20"/>
        </w:rPr>
        <w:t>pospandemia</w:t>
      </w:r>
      <w:proofErr w:type="spellEnd"/>
      <w:r w:rsidRPr="00567AAA">
        <w:rPr>
          <w:sz w:val="20"/>
          <w:szCs w:val="20"/>
        </w:rPr>
        <w:t xml:space="preserve">”: </w:t>
      </w:r>
      <w:r w:rsidRPr="00567AAA">
        <w:rPr>
          <w:i/>
          <w:sz w:val="20"/>
          <w:szCs w:val="20"/>
        </w:rPr>
        <w:t>Revista chilena de derecho privado</w:t>
      </w:r>
      <w:r w:rsidRPr="00567AAA">
        <w:rPr>
          <w:sz w:val="20"/>
          <w:szCs w:val="20"/>
        </w:rPr>
        <w:t>, Nº. 36, 2021, págs. 79-111.</w:t>
      </w:r>
    </w:p>
    <w:p w14:paraId="22CE9856" w14:textId="77777777" w:rsidR="00567AAA" w:rsidRPr="00567AAA" w:rsidRDefault="00567AAA" w:rsidP="00567AAA">
      <w:pPr>
        <w:pStyle w:val="Prrafodelista"/>
        <w:spacing w:after="0" w:line="240" w:lineRule="auto"/>
        <w:ind w:left="360"/>
        <w:jc w:val="both"/>
        <w:rPr>
          <w:sz w:val="20"/>
          <w:szCs w:val="20"/>
        </w:rPr>
      </w:pPr>
    </w:p>
    <w:p w14:paraId="6AB6F1C8" w14:textId="77777777" w:rsid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Peralta Gutiérrez, A. “La necesaria regulación de la vigilancia masiva: Casos </w:t>
      </w:r>
      <w:proofErr w:type="spellStart"/>
      <w:r w:rsidRPr="00567AAA">
        <w:rPr>
          <w:sz w:val="20"/>
          <w:szCs w:val="20"/>
        </w:rPr>
        <w:t>Quadrature</w:t>
      </w:r>
      <w:proofErr w:type="spellEnd"/>
      <w:r w:rsidRPr="00567AAA">
        <w:rPr>
          <w:sz w:val="20"/>
          <w:szCs w:val="20"/>
        </w:rPr>
        <w:t xml:space="preserve"> du Net y Big </w:t>
      </w:r>
      <w:proofErr w:type="spellStart"/>
      <w:r w:rsidRPr="00567AAA">
        <w:rPr>
          <w:sz w:val="20"/>
          <w:szCs w:val="20"/>
        </w:rPr>
        <w:t>Brother</w:t>
      </w:r>
      <w:proofErr w:type="spellEnd"/>
      <w:r w:rsidRPr="00567AAA">
        <w:rPr>
          <w:sz w:val="20"/>
          <w:szCs w:val="20"/>
        </w:rPr>
        <w:t xml:space="preserve"> </w:t>
      </w:r>
      <w:proofErr w:type="spellStart"/>
      <w:r w:rsidRPr="00567AAA">
        <w:rPr>
          <w:sz w:val="20"/>
          <w:szCs w:val="20"/>
        </w:rPr>
        <w:t>Watch</w:t>
      </w:r>
      <w:proofErr w:type="spellEnd"/>
      <w:r w:rsidRPr="00567AAA">
        <w:rPr>
          <w:sz w:val="20"/>
          <w:szCs w:val="20"/>
        </w:rPr>
        <w:t xml:space="preserve">”: </w:t>
      </w:r>
      <w:r w:rsidRPr="00567AAA">
        <w:rPr>
          <w:i/>
          <w:sz w:val="20"/>
          <w:szCs w:val="20"/>
        </w:rPr>
        <w:t>Diario La Ley</w:t>
      </w:r>
      <w:r w:rsidRPr="00567AAA">
        <w:rPr>
          <w:sz w:val="20"/>
          <w:szCs w:val="20"/>
        </w:rPr>
        <w:t>, Nº 9973, 2021.</w:t>
      </w:r>
    </w:p>
    <w:p w14:paraId="59396178" w14:textId="77777777" w:rsidR="009C07E8" w:rsidRDefault="009C07E8" w:rsidP="009C07E8">
      <w:pPr>
        <w:pStyle w:val="Prrafodelista"/>
        <w:spacing w:after="0" w:line="240" w:lineRule="auto"/>
        <w:ind w:left="360"/>
        <w:jc w:val="both"/>
        <w:rPr>
          <w:sz w:val="20"/>
          <w:szCs w:val="20"/>
        </w:rPr>
      </w:pPr>
    </w:p>
    <w:p w14:paraId="2EBC7FFA" w14:textId="7D2981D7" w:rsidR="009C07E8" w:rsidRPr="00567AAA" w:rsidRDefault="009C07E8" w:rsidP="009C07E8">
      <w:pPr>
        <w:pStyle w:val="Prrafodelista"/>
        <w:numPr>
          <w:ilvl w:val="0"/>
          <w:numId w:val="9"/>
        </w:numPr>
        <w:spacing w:after="0" w:line="240" w:lineRule="auto"/>
        <w:jc w:val="both"/>
        <w:rPr>
          <w:sz w:val="20"/>
          <w:szCs w:val="20"/>
        </w:rPr>
      </w:pPr>
      <w:r w:rsidRPr="009C07E8">
        <w:rPr>
          <w:sz w:val="20"/>
          <w:szCs w:val="20"/>
        </w:rPr>
        <w:t>Pérez Benítez</w:t>
      </w:r>
      <w:r>
        <w:rPr>
          <w:sz w:val="20"/>
          <w:szCs w:val="20"/>
        </w:rPr>
        <w:t>, J. J. “</w:t>
      </w:r>
      <w:r w:rsidRPr="009C07E8">
        <w:rPr>
          <w:sz w:val="20"/>
          <w:szCs w:val="20"/>
        </w:rPr>
        <w:t>La aplicación privada del derecho del mercado de valores en el contexto de la litigación en masa</w:t>
      </w:r>
      <w:r>
        <w:rPr>
          <w:sz w:val="20"/>
          <w:szCs w:val="20"/>
        </w:rPr>
        <w:t xml:space="preserve">”: </w:t>
      </w:r>
      <w:r w:rsidRPr="009C07E8">
        <w:rPr>
          <w:i/>
          <w:sz w:val="20"/>
          <w:szCs w:val="20"/>
        </w:rPr>
        <w:t>La Ley mercantil</w:t>
      </w:r>
      <w:r w:rsidRPr="009C07E8">
        <w:rPr>
          <w:sz w:val="20"/>
          <w:szCs w:val="20"/>
        </w:rPr>
        <w:t>, Nº. 89 (marzo), 2022</w:t>
      </w:r>
      <w:r>
        <w:rPr>
          <w:sz w:val="20"/>
          <w:szCs w:val="20"/>
        </w:rPr>
        <w:t xml:space="preserve">. </w:t>
      </w:r>
    </w:p>
    <w:p w14:paraId="07667DFF" w14:textId="77777777" w:rsidR="00567AAA" w:rsidRPr="00567AAA" w:rsidRDefault="00567AAA" w:rsidP="00567AAA">
      <w:pPr>
        <w:pStyle w:val="Prrafodelista"/>
        <w:spacing w:after="0" w:line="240" w:lineRule="auto"/>
        <w:ind w:left="360"/>
        <w:jc w:val="both"/>
        <w:rPr>
          <w:sz w:val="20"/>
          <w:szCs w:val="20"/>
        </w:rPr>
      </w:pPr>
    </w:p>
    <w:p w14:paraId="01FC482D" w14:textId="77777777" w:rsidR="00567AAA" w:rsidRPr="00567AAA" w:rsidRDefault="00567AAA" w:rsidP="00567AAA">
      <w:pPr>
        <w:pStyle w:val="Prrafodelista"/>
        <w:numPr>
          <w:ilvl w:val="0"/>
          <w:numId w:val="9"/>
        </w:numPr>
        <w:spacing w:after="0" w:line="240" w:lineRule="auto"/>
        <w:jc w:val="both"/>
        <w:rPr>
          <w:sz w:val="20"/>
          <w:szCs w:val="20"/>
        </w:rPr>
      </w:pPr>
      <w:proofErr w:type="spellStart"/>
      <w:r w:rsidRPr="00567AAA">
        <w:rPr>
          <w:sz w:val="20"/>
          <w:szCs w:val="20"/>
        </w:rPr>
        <w:t>Pousa</w:t>
      </w:r>
      <w:proofErr w:type="spellEnd"/>
      <w:r w:rsidRPr="00567AAA">
        <w:rPr>
          <w:sz w:val="20"/>
          <w:szCs w:val="20"/>
        </w:rPr>
        <w:t xml:space="preserve"> Velázquez, J. J. “El TS eleva nueva cuestión prejudicial al TJUE por la comisión de apertura de los préstamos hipotecarios”: </w:t>
      </w:r>
      <w:r w:rsidRPr="00567AAA">
        <w:rPr>
          <w:i/>
          <w:sz w:val="20"/>
          <w:szCs w:val="20"/>
        </w:rPr>
        <w:t>Actualidad jurídica Aranzadi</w:t>
      </w:r>
      <w:r w:rsidRPr="00567AAA">
        <w:rPr>
          <w:sz w:val="20"/>
          <w:szCs w:val="20"/>
        </w:rPr>
        <w:t>, Nº 979, 2021.</w:t>
      </w:r>
    </w:p>
    <w:p w14:paraId="4669A417" w14:textId="77777777" w:rsidR="00567AAA" w:rsidRPr="00567AAA" w:rsidRDefault="00567AAA" w:rsidP="00567AAA">
      <w:pPr>
        <w:pStyle w:val="Prrafodelista"/>
        <w:spacing w:after="0" w:line="240" w:lineRule="auto"/>
        <w:ind w:left="360"/>
        <w:jc w:val="both"/>
        <w:rPr>
          <w:sz w:val="20"/>
          <w:szCs w:val="20"/>
        </w:rPr>
      </w:pPr>
    </w:p>
    <w:p w14:paraId="5DC8D39B" w14:textId="77777777" w:rsidR="00567AAA" w:rsidRPr="00567AAA" w:rsidRDefault="00567AAA" w:rsidP="00567AAA">
      <w:pPr>
        <w:pStyle w:val="Prrafodelista"/>
        <w:numPr>
          <w:ilvl w:val="0"/>
          <w:numId w:val="9"/>
        </w:numPr>
        <w:spacing w:after="0" w:line="240" w:lineRule="auto"/>
        <w:jc w:val="both"/>
        <w:rPr>
          <w:sz w:val="20"/>
          <w:szCs w:val="20"/>
        </w:rPr>
      </w:pPr>
      <w:proofErr w:type="spellStart"/>
      <w:r w:rsidRPr="00567AAA">
        <w:rPr>
          <w:sz w:val="20"/>
          <w:szCs w:val="20"/>
        </w:rPr>
        <w:t>Pujolas</w:t>
      </w:r>
      <w:proofErr w:type="spellEnd"/>
      <w:r w:rsidRPr="00567AAA">
        <w:rPr>
          <w:sz w:val="20"/>
          <w:szCs w:val="20"/>
        </w:rPr>
        <w:t xml:space="preserve">, M. “La validez de los pactos novatorios de las cláusulas suelo”: </w:t>
      </w:r>
      <w:r w:rsidRPr="00567AAA">
        <w:rPr>
          <w:i/>
          <w:sz w:val="20"/>
          <w:szCs w:val="20"/>
        </w:rPr>
        <w:t>Actualidad jurídica Aranzadi</w:t>
      </w:r>
      <w:r w:rsidRPr="00567AAA">
        <w:rPr>
          <w:sz w:val="20"/>
          <w:szCs w:val="20"/>
        </w:rPr>
        <w:t>, Nº 980, 2021.</w:t>
      </w:r>
    </w:p>
    <w:p w14:paraId="7C6ADC90" w14:textId="77777777" w:rsidR="00567AAA" w:rsidRPr="00567AAA" w:rsidRDefault="00567AAA" w:rsidP="00567AAA">
      <w:pPr>
        <w:pStyle w:val="Prrafodelista"/>
        <w:spacing w:after="0" w:line="240" w:lineRule="auto"/>
        <w:ind w:left="360"/>
        <w:jc w:val="both"/>
        <w:rPr>
          <w:sz w:val="20"/>
          <w:szCs w:val="20"/>
        </w:rPr>
      </w:pPr>
    </w:p>
    <w:p w14:paraId="2A9C78CC"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Rodríguez Cárcamo, J. M y Fernández Bravo, G. “Directiva 93/13: ¿directiva de cláusulas opacas?”: </w:t>
      </w:r>
      <w:r w:rsidRPr="00567AAA">
        <w:rPr>
          <w:i/>
          <w:sz w:val="20"/>
          <w:szCs w:val="20"/>
        </w:rPr>
        <w:t>Diario La Ley</w:t>
      </w:r>
      <w:r w:rsidRPr="00567AAA">
        <w:rPr>
          <w:sz w:val="20"/>
          <w:szCs w:val="20"/>
        </w:rPr>
        <w:t>, Nº 9995, 2022.</w:t>
      </w:r>
    </w:p>
    <w:p w14:paraId="4FD306F2" w14:textId="77777777" w:rsidR="00567AAA" w:rsidRPr="00567AAA" w:rsidRDefault="00567AAA" w:rsidP="00567AAA">
      <w:pPr>
        <w:pStyle w:val="Prrafodelista"/>
        <w:spacing w:after="0" w:line="240" w:lineRule="auto"/>
        <w:ind w:left="360"/>
        <w:jc w:val="both"/>
        <w:rPr>
          <w:sz w:val="20"/>
          <w:szCs w:val="20"/>
        </w:rPr>
      </w:pPr>
    </w:p>
    <w:p w14:paraId="6DBE4DC6"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Rodríguez </w:t>
      </w:r>
      <w:proofErr w:type="spellStart"/>
      <w:r w:rsidRPr="00567AAA">
        <w:rPr>
          <w:sz w:val="20"/>
          <w:szCs w:val="20"/>
        </w:rPr>
        <w:t>Ferrández</w:t>
      </w:r>
      <w:proofErr w:type="spellEnd"/>
      <w:r w:rsidRPr="00567AAA">
        <w:rPr>
          <w:sz w:val="20"/>
          <w:szCs w:val="20"/>
        </w:rPr>
        <w:t xml:space="preserve">, S. “Intereses sociales protegidos a través del bien jurídico-penal del delito de publicidad engañosa”: </w:t>
      </w:r>
      <w:r w:rsidRPr="00567AAA">
        <w:rPr>
          <w:i/>
          <w:sz w:val="20"/>
          <w:szCs w:val="20"/>
        </w:rPr>
        <w:t>Revista Internacional de Doctrina y Jurisprudencia</w:t>
      </w:r>
      <w:r w:rsidRPr="00567AAA">
        <w:rPr>
          <w:sz w:val="20"/>
          <w:szCs w:val="20"/>
        </w:rPr>
        <w:t>, Nº. 26 (Diciembre), 2021, págs. 57-80.</w:t>
      </w:r>
    </w:p>
    <w:p w14:paraId="38BA994B" w14:textId="77777777" w:rsidR="00567AAA" w:rsidRPr="00567AAA" w:rsidRDefault="00567AAA" w:rsidP="00567AAA">
      <w:pPr>
        <w:pStyle w:val="Prrafodelista"/>
        <w:spacing w:after="0" w:line="240" w:lineRule="auto"/>
        <w:ind w:left="360"/>
        <w:jc w:val="both"/>
        <w:rPr>
          <w:sz w:val="20"/>
          <w:szCs w:val="20"/>
        </w:rPr>
      </w:pPr>
    </w:p>
    <w:p w14:paraId="6997AF88"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Rodríguez García, N. “La responsabilidad de las plataformas de economía colaborativa a la luz de la Ley 34/2002 de Servicios de la Sociedad de la Información”: </w:t>
      </w:r>
      <w:r w:rsidRPr="00567AAA">
        <w:rPr>
          <w:i/>
          <w:sz w:val="20"/>
          <w:szCs w:val="20"/>
        </w:rPr>
        <w:t>Anales de la Facultad de Derecho</w:t>
      </w:r>
      <w:r w:rsidRPr="00567AAA">
        <w:rPr>
          <w:sz w:val="20"/>
          <w:szCs w:val="20"/>
        </w:rPr>
        <w:t>, Nº 38, 2021, págs. 131-152.</w:t>
      </w:r>
    </w:p>
    <w:p w14:paraId="7B35D3B6" w14:textId="77777777" w:rsidR="00567AAA" w:rsidRPr="00567AAA" w:rsidRDefault="00567AAA" w:rsidP="00567AAA">
      <w:pPr>
        <w:pStyle w:val="Prrafodelista"/>
        <w:spacing w:after="0" w:line="240" w:lineRule="auto"/>
        <w:ind w:left="360"/>
        <w:jc w:val="both"/>
        <w:rPr>
          <w:sz w:val="20"/>
          <w:szCs w:val="20"/>
        </w:rPr>
      </w:pPr>
    </w:p>
    <w:p w14:paraId="5B07EF1E"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Rodríguez </w:t>
      </w:r>
      <w:proofErr w:type="spellStart"/>
      <w:r w:rsidRPr="00567AAA">
        <w:rPr>
          <w:sz w:val="20"/>
          <w:szCs w:val="20"/>
        </w:rPr>
        <w:t>Lainz</w:t>
      </w:r>
      <w:proofErr w:type="spellEnd"/>
      <w:r w:rsidRPr="00567AAA">
        <w:rPr>
          <w:sz w:val="20"/>
          <w:szCs w:val="20"/>
        </w:rPr>
        <w:t xml:space="preserve">, J. L. “Reflexiones sobre el tratamiento de datos personales por prestadores de servicios de comunicaciones vía internet para la lucha contra abusos sexuales de menores en línea en el Reglamento (UE) 2021/1232”: </w:t>
      </w:r>
      <w:r w:rsidRPr="00567AAA">
        <w:rPr>
          <w:i/>
          <w:sz w:val="20"/>
          <w:szCs w:val="20"/>
        </w:rPr>
        <w:t>Diario La Ley</w:t>
      </w:r>
      <w:r w:rsidRPr="00567AAA">
        <w:rPr>
          <w:sz w:val="20"/>
          <w:szCs w:val="20"/>
        </w:rPr>
        <w:t>, Nº 9974, 2021.</w:t>
      </w:r>
    </w:p>
    <w:p w14:paraId="5A6D316E" w14:textId="77777777" w:rsidR="00567AAA" w:rsidRPr="00567AAA" w:rsidRDefault="00567AAA" w:rsidP="00567AAA">
      <w:pPr>
        <w:pStyle w:val="Prrafodelista"/>
        <w:spacing w:after="0" w:line="240" w:lineRule="auto"/>
        <w:ind w:left="360"/>
        <w:jc w:val="both"/>
        <w:rPr>
          <w:sz w:val="20"/>
          <w:szCs w:val="20"/>
        </w:rPr>
      </w:pPr>
    </w:p>
    <w:p w14:paraId="2A0E3981" w14:textId="77777777" w:rsidR="00567AAA" w:rsidRPr="00567AAA" w:rsidRDefault="00567AAA" w:rsidP="00567AAA">
      <w:pPr>
        <w:pStyle w:val="Prrafodelista"/>
        <w:numPr>
          <w:ilvl w:val="0"/>
          <w:numId w:val="9"/>
        </w:numPr>
        <w:spacing w:after="0" w:line="240" w:lineRule="auto"/>
        <w:jc w:val="both"/>
        <w:rPr>
          <w:sz w:val="20"/>
          <w:szCs w:val="20"/>
        </w:rPr>
      </w:pPr>
      <w:proofErr w:type="spellStart"/>
      <w:r w:rsidRPr="00567AAA">
        <w:rPr>
          <w:sz w:val="20"/>
          <w:szCs w:val="20"/>
        </w:rPr>
        <w:t>Sanahuja</w:t>
      </w:r>
      <w:proofErr w:type="spellEnd"/>
      <w:r w:rsidRPr="00567AAA">
        <w:rPr>
          <w:sz w:val="20"/>
          <w:szCs w:val="20"/>
        </w:rPr>
        <w:t xml:space="preserve">, F. “La importancia del cuestionario de salud en los seguros de vida”: </w:t>
      </w:r>
      <w:r w:rsidRPr="00567AAA">
        <w:rPr>
          <w:i/>
          <w:sz w:val="20"/>
          <w:szCs w:val="20"/>
        </w:rPr>
        <w:t>Actualidad jurídica Aranzadi</w:t>
      </w:r>
      <w:r w:rsidRPr="00567AAA">
        <w:rPr>
          <w:sz w:val="20"/>
          <w:szCs w:val="20"/>
        </w:rPr>
        <w:t>, Nº 979, 2021.</w:t>
      </w:r>
    </w:p>
    <w:p w14:paraId="7EC0DCF5" w14:textId="77777777" w:rsidR="00567AAA" w:rsidRPr="00567AAA" w:rsidRDefault="00567AAA" w:rsidP="00567AAA">
      <w:pPr>
        <w:pStyle w:val="Prrafodelista"/>
        <w:spacing w:after="0" w:line="240" w:lineRule="auto"/>
        <w:ind w:left="360"/>
        <w:jc w:val="both"/>
        <w:rPr>
          <w:sz w:val="20"/>
          <w:szCs w:val="20"/>
        </w:rPr>
      </w:pPr>
    </w:p>
    <w:p w14:paraId="47E98DB4"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Sánchez </w:t>
      </w:r>
      <w:proofErr w:type="spellStart"/>
      <w:r w:rsidRPr="00567AAA">
        <w:rPr>
          <w:sz w:val="20"/>
          <w:szCs w:val="20"/>
        </w:rPr>
        <w:t>Aristi</w:t>
      </w:r>
      <w:proofErr w:type="spellEnd"/>
      <w:r w:rsidRPr="00567AAA">
        <w:rPr>
          <w:sz w:val="20"/>
          <w:szCs w:val="20"/>
        </w:rPr>
        <w:t xml:space="preserve">, R. “Abuso de derecho en contrato de apuesta. Comentario a la Sentencia núm. 137/2021 de la Sala Primera del Tribunal Supremo, de 11 de marzo de 2021 (RJ 2021, 1246)”: </w:t>
      </w:r>
      <w:r w:rsidRPr="00567AAA">
        <w:rPr>
          <w:i/>
          <w:sz w:val="20"/>
          <w:szCs w:val="20"/>
        </w:rPr>
        <w:t xml:space="preserve">Cuadernos </w:t>
      </w:r>
      <w:proofErr w:type="spellStart"/>
      <w:r w:rsidRPr="00567AAA">
        <w:rPr>
          <w:i/>
          <w:sz w:val="20"/>
          <w:szCs w:val="20"/>
        </w:rPr>
        <w:t>Civitas</w:t>
      </w:r>
      <w:proofErr w:type="spellEnd"/>
      <w:r w:rsidRPr="00567AAA">
        <w:rPr>
          <w:i/>
          <w:sz w:val="20"/>
          <w:szCs w:val="20"/>
        </w:rPr>
        <w:t xml:space="preserve"> de jurisprudencia civil</w:t>
      </w:r>
      <w:r w:rsidRPr="00567AAA">
        <w:rPr>
          <w:sz w:val="20"/>
          <w:szCs w:val="20"/>
        </w:rPr>
        <w:t>, Nº 117, 2021, págs. 299-318.</w:t>
      </w:r>
    </w:p>
    <w:p w14:paraId="65EDFF0A" w14:textId="77777777" w:rsidR="00567AAA" w:rsidRPr="00567AAA" w:rsidRDefault="00567AAA" w:rsidP="00567AAA">
      <w:pPr>
        <w:pStyle w:val="Prrafodelista"/>
        <w:spacing w:after="0" w:line="240" w:lineRule="auto"/>
        <w:ind w:left="360"/>
        <w:jc w:val="both"/>
        <w:rPr>
          <w:sz w:val="20"/>
          <w:szCs w:val="20"/>
        </w:rPr>
      </w:pPr>
    </w:p>
    <w:p w14:paraId="765E1BDD"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Sánchez </w:t>
      </w:r>
      <w:proofErr w:type="spellStart"/>
      <w:r w:rsidRPr="00567AAA">
        <w:rPr>
          <w:sz w:val="20"/>
          <w:szCs w:val="20"/>
        </w:rPr>
        <w:t>Garcia</w:t>
      </w:r>
      <w:proofErr w:type="spellEnd"/>
      <w:r w:rsidRPr="00567AAA">
        <w:rPr>
          <w:sz w:val="20"/>
          <w:szCs w:val="20"/>
        </w:rPr>
        <w:t xml:space="preserve">, J. “El control de transparencia de los intereses remuneratorios en los contratos de crédito </w:t>
      </w:r>
      <w:proofErr w:type="spellStart"/>
      <w:r w:rsidRPr="00567AAA">
        <w:rPr>
          <w:sz w:val="20"/>
          <w:szCs w:val="20"/>
        </w:rPr>
        <w:t>revolving</w:t>
      </w:r>
      <w:proofErr w:type="spellEnd"/>
      <w:r w:rsidRPr="00567AAA">
        <w:rPr>
          <w:sz w:val="20"/>
          <w:szCs w:val="20"/>
        </w:rPr>
        <w:t xml:space="preserve">”, </w:t>
      </w:r>
      <w:r w:rsidRPr="00567AAA">
        <w:rPr>
          <w:i/>
          <w:sz w:val="20"/>
          <w:szCs w:val="20"/>
        </w:rPr>
        <w:t xml:space="preserve">Revista de Derecho </w:t>
      </w:r>
      <w:proofErr w:type="spellStart"/>
      <w:r w:rsidRPr="00567AAA">
        <w:rPr>
          <w:i/>
          <w:sz w:val="20"/>
          <w:szCs w:val="20"/>
        </w:rPr>
        <w:t>vLex</w:t>
      </w:r>
      <w:proofErr w:type="spellEnd"/>
      <w:r w:rsidRPr="00567AAA">
        <w:rPr>
          <w:sz w:val="20"/>
          <w:szCs w:val="20"/>
        </w:rPr>
        <w:t xml:space="preserve">, Nº 214, Marzo 2022. </w:t>
      </w:r>
    </w:p>
    <w:p w14:paraId="135FE972" w14:textId="77777777" w:rsidR="00567AAA" w:rsidRPr="00567AAA" w:rsidRDefault="00567AAA" w:rsidP="00567AAA">
      <w:pPr>
        <w:pStyle w:val="Prrafodelista"/>
        <w:spacing w:after="0" w:line="240" w:lineRule="auto"/>
        <w:ind w:left="360"/>
        <w:jc w:val="both"/>
        <w:rPr>
          <w:sz w:val="20"/>
          <w:szCs w:val="20"/>
        </w:rPr>
      </w:pPr>
    </w:p>
    <w:p w14:paraId="618B6D24"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Sánchez Moragas, F. X. “La apreciación de la vulnerabilidad, en los contratos con personas consumidoras con discapacidad intelectual”: </w:t>
      </w:r>
      <w:r w:rsidRPr="00567AAA">
        <w:rPr>
          <w:i/>
          <w:sz w:val="20"/>
          <w:szCs w:val="20"/>
        </w:rPr>
        <w:t>Diario La Ley</w:t>
      </w:r>
      <w:r w:rsidRPr="00567AAA">
        <w:rPr>
          <w:sz w:val="20"/>
          <w:szCs w:val="20"/>
        </w:rPr>
        <w:t xml:space="preserve">, Nº 10005, 2022. </w:t>
      </w:r>
    </w:p>
    <w:p w14:paraId="3CE6D6CB" w14:textId="77777777" w:rsidR="00567AAA" w:rsidRPr="00567AAA" w:rsidRDefault="00567AAA" w:rsidP="00567AAA">
      <w:pPr>
        <w:pStyle w:val="Prrafodelista"/>
        <w:spacing w:after="0" w:line="240" w:lineRule="auto"/>
        <w:ind w:left="360"/>
        <w:jc w:val="both"/>
        <w:rPr>
          <w:sz w:val="20"/>
          <w:szCs w:val="20"/>
        </w:rPr>
      </w:pPr>
    </w:p>
    <w:p w14:paraId="7ECB05FB"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Sánchez Moragas, F. X. “La firma manuscrita digital, en la contratación presencial, con personas consumidoras y la obligación legal de las empresas, de facilitar información, antes, durante y después de la contratación”: </w:t>
      </w:r>
      <w:r w:rsidRPr="00567AAA">
        <w:rPr>
          <w:i/>
          <w:sz w:val="20"/>
          <w:szCs w:val="20"/>
        </w:rPr>
        <w:t>Diario La Ley</w:t>
      </w:r>
      <w:r w:rsidRPr="00567AAA">
        <w:rPr>
          <w:sz w:val="20"/>
          <w:szCs w:val="20"/>
        </w:rPr>
        <w:t xml:space="preserve">, Nº 10034, 2022. </w:t>
      </w:r>
    </w:p>
    <w:p w14:paraId="4DB15F06" w14:textId="77777777" w:rsidR="00567AAA" w:rsidRPr="00567AAA" w:rsidRDefault="00567AAA" w:rsidP="00567AAA">
      <w:pPr>
        <w:pStyle w:val="Prrafodelista"/>
        <w:spacing w:after="0" w:line="240" w:lineRule="auto"/>
        <w:ind w:left="360"/>
        <w:jc w:val="both"/>
        <w:rPr>
          <w:sz w:val="20"/>
          <w:szCs w:val="20"/>
        </w:rPr>
      </w:pPr>
    </w:p>
    <w:p w14:paraId="2897584D"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Sánchez Ruiz de Valdivia, I., </w:t>
      </w:r>
      <w:proofErr w:type="spellStart"/>
      <w:r w:rsidRPr="00567AAA">
        <w:rPr>
          <w:i/>
          <w:sz w:val="20"/>
          <w:szCs w:val="20"/>
        </w:rPr>
        <w:t>Abusividad</w:t>
      </w:r>
      <w:proofErr w:type="spellEnd"/>
      <w:r w:rsidRPr="00567AAA">
        <w:rPr>
          <w:i/>
          <w:sz w:val="20"/>
          <w:szCs w:val="20"/>
        </w:rPr>
        <w:t xml:space="preserve"> y transparencia en la contratación predispuesta con consumidores y, también, con autónomos y empresarios (PYMES)</w:t>
      </w:r>
      <w:r w:rsidRPr="00567AAA">
        <w:rPr>
          <w:sz w:val="20"/>
          <w:szCs w:val="20"/>
        </w:rPr>
        <w:t xml:space="preserve">, Aranzadi Thomson Reuters, 2021. </w:t>
      </w:r>
    </w:p>
    <w:p w14:paraId="512343C2" w14:textId="77777777" w:rsidR="00567AAA" w:rsidRPr="00567AAA" w:rsidRDefault="00567AAA" w:rsidP="00567AAA">
      <w:pPr>
        <w:pStyle w:val="Prrafodelista"/>
        <w:spacing w:after="0" w:line="240" w:lineRule="auto"/>
        <w:ind w:left="360"/>
        <w:jc w:val="both"/>
        <w:rPr>
          <w:sz w:val="20"/>
          <w:szCs w:val="20"/>
        </w:rPr>
      </w:pPr>
    </w:p>
    <w:p w14:paraId="50EB55BF"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Santisteban Galarza, M. “Reconocimiento facial y protección de datos: una respuesta provisional a un problema pendiente”: </w:t>
      </w:r>
      <w:r w:rsidRPr="00567AAA">
        <w:rPr>
          <w:i/>
          <w:sz w:val="20"/>
          <w:szCs w:val="20"/>
        </w:rPr>
        <w:t>RDUNED. Revista de derecho UNED</w:t>
      </w:r>
      <w:r w:rsidRPr="00567AAA">
        <w:rPr>
          <w:sz w:val="20"/>
          <w:szCs w:val="20"/>
        </w:rPr>
        <w:t>, Nº. 28, 2021, págs. 499-526.</w:t>
      </w:r>
    </w:p>
    <w:p w14:paraId="6F456C48" w14:textId="77777777" w:rsidR="00567AAA" w:rsidRPr="00567AAA" w:rsidRDefault="00567AAA" w:rsidP="00567AAA">
      <w:pPr>
        <w:pStyle w:val="Prrafodelista"/>
        <w:spacing w:after="0" w:line="240" w:lineRule="auto"/>
        <w:ind w:left="360"/>
        <w:jc w:val="both"/>
        <w:rPr>
          <w:sz w:val="20"/>
          <w:szCs w:val="20"/>
        </w:rPr>
      </w:pPr>
    </w:p>
    <w:p w14:paraId="5557F593"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lastRenderedPageBreak/>
        <w:t xml:space="preserve">Schumann Barragán, G. “Smart </w:t>
      </w:r>
      <w:proofErr w:type="spellStart"/>
      <w:r w:rsidRPr="00567AAA">
        <w:rPr>
          <w:sz w:val="20"/>
          <w:szCs w:val="20"/>
        </w:rPr>
        <w:t>contracts</w:t>
      </w:r>
      <w:proofErr w:type="spellEnd"/>
      <w:r w:rsidRPr="00567AAA">
        <w:rPr>
          <w:sz w:val="20"/>
          <w:szCs w:val="20"/>
        </w:rPr>
        <w:t xml:space="preserve"> y tutela judicial. La incidencia de los contratos autoejecutables en la tutela judicial de los derechos y los intereses materiales de los justiciables”: </w:t>
      </w:r>
      <w:r w:rsidRPr="00567AAA">
        <w:rPr>
          <w:i/>
          <w:sz w:val="20"/>
          <w:szCs w:val="20"/>
        </w:rPr>
        <w:t>Justicia: revista de derecho procesal</w:t>
      </w:r>
      <w:r w:rsidRPr="00567AAA">
        <w:rPr>
          <w:sz w:val="20"/>
          <w:szCs w:val="20"/>
        </w:rPr>
        <w:t xml:space="preserve">, Nº 2, 2021, págs. 309-338. </w:t>
      </w:r>
    </w:p>
    <w:p w14:paraId="2A74E624" w14:textId="77777777" w:rsidR="00567AAA" w:rsidRPr="00567AAA" w:rsidRDefault="00567AAA" w:rsidP="00567AAA">
      <w:pPr>
        <w:pStyle w:val="Prrafodelista"/>
        <w:spacing w:after="0" w:line="240" w:lineRule="auto"/>
        <w:ind w:left="360"/>
        <w:jc w:val="both"/>
        <w:rPr>
          <w:sz w:val="20"/>
          <w:szCs w:val="20"/>
        </w:rPr>
      </w:pPr>
    </w:p>
    <w:p w14:paraId="61ADAF78" w14:textId="77777777" w:rsidR="00567AAA" w:rsidRPr="00567AAA" w:rsidRDefault="00567AAA" w:rsidP="00567AAA">
      <w:pPr>
        <w:pStyle w:val="Prrafodelista"/>
        <w:numPr>
          <w:ilvl w:val="0"/>
          <w:numId w:val="9"/>
        </w:numPr>
        <w:spacing w:after="0" w:line="240" w:lineRule="auto"/>
        <w:jc w:val="both"/>
        <w:rPr>
          <w:sz w:val="20"/>
          <w:szCs w:val="20"/>
        </w:rPr>
      </w:pPr>
      <w:proofErr w:type="spellStart"/>
      <w:r w:rsidRPr="00567AAA">
        <w:rPr>
          <w:sz w:val="20"/>
          <w:szCs w:val="20"/>
        </w:rPr>
        <w:t>Senno</w:t>
      </w:r>
      <w:proofErr w:type="spellEnd"/>
      <w:r w:rsidRPr="00567AAA">
        <w:rPr>
          <w:sz w:val="20"/>
          <w:szCs w:val="20"/>
        </w:rPr>
        <w:t xml:space="preserve"> </w:t>
      </w:r>
      <w:proofErr w:type="spellStart"/>
      <w:r w:rsidRPr="00567AAA">
        <w:rPr>
          <w:sz w:val="20"/>
          <w:szCs w:val="20"/>
        </w:rPr>
        <w:t>Vassallo</w:t>
      </w:r>
      <w:proofErr w:type="spellEnd"/>
      <w:r w:rsidRPr="00567AAA">
        <w:rPr>
          <w:sz w:val="20"/>
          <w:szCs w:val="20"/>
        </w:rPr>
        <w:t xml:space="preserve">, F. “¿Desea recibir comunicaciones promocionales? Un análisis desde las reglas de protección al consumidor y de datos personales”: </w:t>
      </w:r>
      <w:r w:rsidRPr="00567AAA">
        <w:rPr>
          <w:i/>
          <w:sz w:val="20"/>
          <w:szCs w:val="20"/>
        </w:rPr>
        <w:t>THEMIS: Revista de Derecho</w:t>
      </w:r>
      <w:r w:rsidRPr="00567AAA">
        <w:rPr>
          <w:sz w:val="20"/>
          <w:szCs w:val="20"/>
        </w:rPr>
        <w:t>, Nº. 79, 2021 (Ejemplar dedicado a: Derecho y Tecnología), págs. 393-408.</w:t>
      </w:r>
    </w:p>
    <w:p w14:paraId="5F3177DE" w14:textId="77777777" w:rsidR="00567AAA" w:rsidRPr="00567AAA" w:rsidRDefault="00567AAA" w:rsidP="00567AAA">
      <w:pPr>
        <w:pStyle w:val="Prrafodelista"/>
        <w:spacing w:after="0" w:line="240" w:lineRule="auto"/>
        <w:ind w:left="360"/>
        <w:jc w:val="both"/>
        <w:rPr>
          <w:sz w:val="20"/>
          <w:szCs w:val="20"/>
        </w:rPr>
      </w:pPr>
    </w:p>
    <w:p w14:paraId="07D0615C"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Solé </w:t>
      </w:r>
      <w:proofErr w:type="spellStart"/>
      <w:r w:rsidRPr="00567AAA">
        <w:rPr>
          <w:sz w:val="20"/>
          <w:szCs w:val="20"/>
        </w:rPr>
        <w:t>Feliu</w:t>
      </w:r>
      <w:proofErr w:type="spellEnd"/>
      <w:r w:rsidRPr="00567AAA">
        <w:rPr>
          <w:sz w:val="20"/>
          <w:szCs w:val="20"/>
        </w:rPr>
        <w:t>, J. “Prótesis de cadera potencialmente peligrosa y defecto del producto ¿hacia una expansión de la noción de defecto</w:t>
      </w:r>
      <w:proofErr w:type="gramStart"/>
      <w:r w:rsidRPr="00567AAA">
        <w:rPr>
          <w:sz w:val="20"/>
          <w:szCs w:val="20"/>
        </w:rPr>
        <w:t>?.</w:t>
      </w:r>
      <w:proofErr w:type="gramEnd"/>
      <w:r w:rsidRPr="00567AAA">
        <w:rPr>
          <w:sz w:val="20"/>
          <w:szCs w:val="20"/>
        </w:rPr>
        <w:t xml:space="preserve"> Comentario a la STS de 1 de marzo de 2021 (RJ 2021, 881)”: </w:t>
      </w:r>
      <w:r w:rsidRPr="00567AAA">
        <w:rPr>
          <w:i/>
          <w:sz w:val="20"/>
          <w:szCs w:val="20"/>
        </w:rPr>
        <w:t xml:space="preserve">Cuadernos </w:t>
      </w:r>
      <w:proofErr w:type="spellStart"/>
      <w:r w:rsidRPr="00567AAA">
        <w:rPr>
          <w:i/>
          <w:sz w:val="20"/>
          <w:szCs w:val="20"/>
        </w:rPr>
        <w:t>Civitas</w:t>
      </w:r>
      <w:proofErr w:type="spellEnd"/>
      <w:r w:rsidRPr="00567AAA">
        <w:rPr>
          <w:i/>
          <w:sz w:val="20"/>
          <w:szCs w:val="20"/>
        </w:rPr>
        <w:t xml:space="preserve"> de jurisprudencia civil</w:t>
      </w:r>
      <w:r w:rsidRPr="00567AAA">
        <w:rPr>
          <w:sz w:val="20"/>
          <w:szCs w:val="20"/>
        </w:rPr>
        <w:t>, Nº 117, 2021, págs. 231-252.</w:t>
      </w:r>
    </w:p>
    <w:p w14:paraId="6033B480" w14:textId="77777777" w:rsidR="00567AAA" w:rsidRPr="00567AAA" w:rsidRDefault="00567AAA" w:rsidP="00567AAA">
      <w:pPr>
        <w:pStyle w:val="Prrafodelista"/>
        <w:spacing w:after="0" w:line="240" w:lineRule="auto"/>
        <w:ind w:left="360"/>
        <w:jc w:val="both"/>
        <w:rPr>
          <w:sz w:val="20"/>
          <w:szCs w:val="20"/>
        </w:rPr>
      </w:pPr>
    </w:p>
    <w:p w14:paraId="3AA0878A"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Tapia Hermida, A. J. “Decálogo de la normativa de protección del consumidor en la Unión Europea”: </w:t>
      </w:r>
      <w:r w:rsidRPr="00567AAA">
        <w:rPr>
          <w:i/>
          <w:sz w:val="20"/>
          <w:szCs w:val="20"/>
        </w:rPr>
        <w:t>Diario La Ley</w:t>
      </w:r>
      <w:r w:rsidRPr="00567AAA">
        <w:rPr>
          <w:sz w:val="20"/>
          <w:szCs w:val="20"/>
        </w:rPr>
        <w:t>, Nº 10019, 2022.</w:t>
      </w:r>
    </w:p>
    <w:p w14:paraId="3B7C8855" w14:textId="77777777" w:rsidR="00567AAA" w:rsidRPr="00567AAA" w:rsidRDefault="00567AAA" w:rsidP="00567AAA">
      <w:pPr>
        <w:pStyle w:val="Prrafodelista"/>
        <w:spacing w:after="0" w:line="240" w:lineRule="auto"/>
        <w:ind w:left="360"/>
        <w:jc w:val="both"/>
        <w:rPr>
          <w:sz w:val="20"/>
          <w:szCs w:val="20"/>
        </w:rPr>
      </w:pPr>
    </w:p>
    <w:p w14:paraId="3386FE7F"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Tapia Hermida, A. J. “La reforma en 2021 de la normativa de consumo por los Reales Decretos Ley 7 y 24. Transparencia, ejercicio de sus derechos por el consumidor y responsabilidad civil y administrativa”: </w:t>
      </w:r>
      <w:r w:rsidRPr="00567AAA">
        <w:rPr>
          <w:i/>
          <w:sz w:val="20"/>
          <w:szCs w:val="20"/>
        </w:rPr>
        <w:t>La Ley mercantil</w:t>
      </w:r>
      <w:r w:rsidRPr="00567AAA">
        <w:rPr>
          <w:sz w:val="20"/>
          <w:szCs w:val="20"/>
        </w:rPr>
        <w:t>, Nº. 87 (enero), 2022.</w:t>
      </w:r>
    </w:p>
    <w:p w14:paraId="5CDE0AE7" w14:textId="77777777" w:rsidR="00567AAA" w:rsidRPr="00567AAA" w:rsidRDefault="00567AAA" w:rsidP="00567AAA">
      <w:pPr>
        <w:pStyle w:val="Prrafodelista"/>
        <w:spacing w:after="0" w:line="240" w:lineRule="auto"/>
        <w:ind w:left="360"/>
        <w:jc w:val="both"/>
        <w:rPr>
          <w:sz w:val="20"/>
          <w:szCs w:val="20"/>
        </w:rPr>
      </w:pPr>
    </w:p>
    <w:p w14:paraId="4D5525AC"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Tapia Hermida, A. J. “Síntesis de la reforma en 2021 de la normativa de consumo por los Reales Decretos Ley 7 y 24 en materia de transparencia, ejercicio de sus derechos por el consumidor y responsabilidad civil y administrativa”: </w:t>
      </w:r>
      <w:r w:rsidRPr="00567AAA">
        <w:rPr>
          <w:i/>
          <w:sz w:val="20"/>
          <w:szCs w:val="20"/>
        </w:rPr>
        <w:t>Diario La Ley</w:t>
      </w:r>
      <w:r w:rsidRPr="00567AAA">
        <w:rPr>
          <w:sz w:val="20"/>
          <w:szCs w:val="20"/>
        </w:rPr>
        <w:t>, Nº 9991, 2022.</w:t>
      </w:r>
    </w:p>
    <w:p w14:paraId="56930496" w14:textId="77777777" w:rsidR="00567AAA" w:rsidRPr="00567AAA" w:rsidRDefault="00567AAA" w:rsidP="00567AAA">
      <w:pPr>
        <w:pStyle w:val="Prrafodelista"/>
        <w:spacing w:after="0" w:line="240" w:lineRule="auto"/>
        <w:ind w:left="360"/>
        <w:jc w:val="both"/>
        <w:rPr>
          <w:sz w:val="20"/>
          <w:szCs w:val="20"/>
        </w:rPr>
      </w:pPr>
    </w:p>
    <w:p w14:paraId="6123C4CF"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Torres Suárez, F. “Trazabilidad para evitar el fraude de alimentos”: </w:t>
      </w:r>
      <w:r w:rsidRPr="00567AAA">
        <w:rPr>
          <w:i/>
          <w:sz w:val="20"/>
          <w:szCs w:val="20"/>
        </w:rPr>
        <w:t>Alimentaria: Revista de tecnología e higiene de los alimentos</w:t>
      </w:r>
      <w:r w:rsidRPr="00567AAA">
        <w:rPr>
          <w:sz w:val="20"/>
          <w:szCs w:val="20"/>
        </w:rPr>
        <w:t xml:space="preserve">, Nº 529, 2022 (Ejemplar dedicado a: Distribución y Logística), págs. 58-60. </w:t>
      </w:r>
    </w:p>
    <w:p w14:paraId="34421CA1" w14:textId="77777777" w:rsidR="00567AAA" w:rsidRPr="00567AAA" w:rsidRDefault="00567AAA" w:rsidP="00567AAA">
      <w:pPr>
        <w:pStyle w:val="Prrafodelista"/>
        <w:spacing w:after="0" w:line="240" w:lineRule="auto"/>
        <w:ind w:left="360"/>
        <w:jc w:val="both"/>
        <w:rPr>
          <w:sz w:val="20"/>
          <w:szCs w:val="20"/>
        </w:rPr>
      </w:pPr>
    </w:p>
    <w:p w14:paraId="675127C0"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Yáñez de Andrés, A. “La espiral responsabilidad-seguro. Notas actuales”: </w:t>
      </w:r>
      <w:r w:rsidRPr="00567AAA">
        <w:rPr>
          <w:i/>
          <w:sz w:val="20"/>
          <w:szCs w:val="20"/>
        </w:rPr>
        <w:t>Diario La Ley</w:t>
      </w:r>
      <w:r w:rsidRPr="00567AAA">
        <w:rPr>
          <w:sz w:val="20"/>
          <w:szCs w:val="20"/>
        </w:rPr>
        <w:t>, Nº 9996, 2022.</w:t>
      </w:r>
    </w:p>
    <w:p w14:paraId="2F6ED3BB" w14:textId="77777777" w:rsidR="00567AAA" w:rsidRPr="00567AAA" w:rsidRDefault="00567AAA" w:rsidP="00567AAA">
      <w:pPr>
        <w:pStyle w:val="Prrafodelista"/>
        <w:spacing w:after="0" w:line="240" w:lineRule="auto"/>
        <w:ind w:left="360"/>
        <w:jc w:val="both"/>
        <w:rPr>
          <w:sz w:val="20"/>
          <w:szCs w:val="20"/>
        </w:rPr>
      </w:pPr>
    </w:p>
    <w:p w14:paraId="49BD84C0" w14:textId="77777777" w:rsidR="00567AAA" w:rsidRPr="00567AAA" w:rsidRDefault="00567AAA" w:rsidP="00567AAA">
      <w:pPr>
        <w:pStyle w:val="Prrafodelista"/>
        <w:numPr>
          <w:ilvl w:val="0"/>
          <w:numId w:val="9"/>
        </w:numPr>
        <w:spacing w:after="0" w:line="240" w:lineRule="auto"/>
        <w:jc w:val="both"/>
        <w:rPr>
          <w:sz w:val="20"/>
          <w:szCs w:val="20"/>
        </w:rPr>
      </w:pPr>
      <w:r w:rsidRPr="00567AAA">
        <w:rPr>
          <w:sz w:val="20"/>
          <w:szCs w:val="20"/>
        </w:rPr>
        <w:t xml:space="preserve">Yáñez de Andrés, A. “Seguro obligatorio y voluntario. Vuelta a la dualidad de regímenes”: </w:t>
      </w:r>
      <w:r w:rsidRPr="00567AAA">
        <w:rPr>
          <w:i/>
          <w:sz w:val="20"/>
          <w:szCs w:val="20"/>
        </w:rPr>
        <w:t>Diario La Ley</w:t>
      </w:r>
      <w:r w:rsidRPr="00567AAA">
        <w:rPr>
          <w:sz w:val="20"/>
          <w:szCs w:val="20"/>
        </w:rPr>
        <w:t xml:space="preserve">, Nº 10018, 2022. </w:t>
      </w:r>
    </w:p>
    <w:p w14:paraId="7781716A" w14:textId="77777777" w:rsidR="00B44604" w:rsidRPr="00567AAA" w:rsidRDefault="00B44604" w:rsidP="00CE63DC">
      <w:pPr>
        <w:rPr>
          <w:rFonts w:cstheme="minorHAnsi"/>
          <w:sz w:val="20"/>
          <w:szCs w:val="20"/>
        </w:rPr>
      </w:pPr>
    </w:p>
    <w:p w14:paraId="3BE8FA80" w14:textId="77777777" w:rsidR="00CE63DC" w:rsidRDefault="00CE63DC" w:rsidP="003F49BB">
      <w:pPr>
        <w:spacing w:beforeLines="100" w:before="240" w:afterLines="100" w:after="240"/>
        <w:jc w:val="center"/>
        <w:rPr>
          <w:sz w:val="16"/>
          <w:szCs w:val="16"/>
        </w:rPr>
      </w:pPr>
    </w:p>
    <w:p w14:paraId="472EABF0" w14:textId="77777777" w:rsidR="00567AAA" w:rsidRDefault="00567AAA" w:rsidP="003F49BB">
      <w:pPr>
        <w:spacing w:beforeLines="100" w:before="240" w:afterLines="100" w:after="240"/>
        <w:jc w:val="center"/>
        <w:rPr>
          <w:sz w:val="16"/>
          <w:szCs w:val="16"/>
        </w:rPr>
      </w:pPr>
    </w:p>
    <w:p w14:paraId="6486F6D8" w14:textId="77777777" w:rsidR="00567AAA" w:rsidRDefault="00567AAA" w:rsidP="003F49BB">
      <w:pPr>
        <w:spacing w:beforeLines="100" w:before="240" w:afterLines="100" w:after="240"/>
        <w:jc w:val="center"/>
        <w:rPr>
          <w:sz w:val="16"/>
          <w:szCs w:val="16"/>
        </w:rPr>
      </w:pPr>
    </w:p>
    <w:p w14:paraId="28B8A273" w14:textId="77777777" w:rsidR="00567AAA" w:rsidRDefault="00567AAA" w:rsidP="003F49BB">
      <w:pPr>
        <w:spacing w:beforeLines="100" w:before="240" w:afterLines="100" w:after="240"/>
        <w:jc w:val="center"/>
        <w:rPr>
          <w:sz w:val="16"/>
          <w:szCs w:val="16"/>
        </w:rPr>
      </w:pPr>
    </w:p>
    <w:p w14:paraId="4E3CD16B" w14:textId="77777777" w:rsidR="00567AAA" w:rsidRDefault="00567AAA" w:rsidP="003F49BB">
      <w:pPr>
        <w:spacing w:beforeLines="100" w:before="240" w:afterLines="100" w:after="240"/>
        <w:jc w:val="center"/>
        <w:rPr>
          <w:sz w:val="16"/>
          <w:szCs w:val="16"/>
        </w:rPr>
      </w:pPr>
    </w:p>
    <w:p w14:paraId="0E3AE631" w14:textId="77777777" w:rsidR="00567AAA" w:rsidRDefault="00567AAA" w:rsidP="003F49BB">
      <w:pPr>
        <w:spacing w:beforeLines="100" w:before="240" w:afterLines="100" w:after="240"/>
        <w:jc w:val="center"/>
        <w:rPr>
          <w:sz w:val="16"/>
          <w:szCs w:val="16"/>
        </w:rPr>
      </w:pPr>
    </w:p>
    <w:p w14:paraId="0E267EFC" w14:textId="77777777" w:rsidR="00567AAA" w:rsidRDefault="00567AAA" w:rsidP="009C07E8">
      <w:pPr>
        <w:spacing w:beforeLines="100" w:before="240" w:afterLines="100" w:after="240"/>
        <w:rPr>
          <w:sz w:val="16"/>
          <w:szCs w:val="16"/>
        </w:rPr>
      </w:pPr>
    </w:p>
    <w:p w14:paraId="5B3BB757" w14:textId="77777777" w:rsidR="009C07E8" w:rsidRDefault="009C07E8" w:rsidP="009C07E8">
      <w:pPr>
        <w:spacing w:beforeLines="100" w:before="240" w:afterLines="100" w:after="240"/>
        <w:rPr>
          <w:sz w:val="16"/>
          <w:szCs w:val="16"/>
        </w:rPr>
      </w:pPr>
    </w:p>
    <w:p w14:paraId="75E2506D" w14:textId="77777777" w:rsidR="00567AAA" w:rsidRDefault="00567AAA" w:rsidP="003F49BB">
      <w:pPr>
        <w:spacing w:beforeLines="100" w:before="240" w:afterLines="100" w:after="240"/>
        <w:jc w:val="center"/>
        <w:rPr>
          <w:sz w:val="16"/>
          <w:szCs w:val="16"/>
        </w:rPr>
      </w:pPr>
    </w:p>
    <w:p w14:paraId="06345F5C" w14:textId="77777777" w:rsidR="00567AAA" w:rsidRDefault="00567AAA" w:rsidP="003F49BB">
      <w:pPr>
        <w:spacing w:beforeLines="100" w:before="240" w:afterLines="100" w:after="240"/>
        <w:jc w:val="center"/>
        <w:rPr>
          <w:sz w:val="16"/>
          <w:szCs w:val="16"/>
        </w:rPr>
      </w:pPr>
    </w:p>
    <w:p w14:paraId="6774DC87" w14:textId="77777777" w:rsidR="00567AAA" w:rsidRDefault="00567AAA" w:rsidP="003F49BB">
      <w:pPr>
        <w:spacing w:beforeLines="100" w:before="240" w:afterLines="100" w:after="240"/>
        <w:jc w:val="center"/>
        <w:rPr>
          <w:sz w:val="16"/>
          <w:szCs w:val="16"/>
        </w:rPr>
      </w:pPr>
    </w:p>
    <w:p w14:paraId="73DED83D" w14:textId="77777777" w:rsidR="003F49BB" w:rsidRPr="003F49BB" w:rsidRDefault="003F49BB" w:rsidP="003F49BB">
      <w:pPr>
        <w:spacing w:beforeLines="100" w:before="240" w:afterLines="100" w:after="240"/>
        <w:jc w:val="center"/>
        <w:rPr>
          <w:sz w:val="16"/>
          <w:szCs w:val="16"/>
        </w:rPr>
      </w:pPr>
      <w:r w:rsidRPr="003F49BB">
        <w:rPr>
          <w:sz w:val="16"/>
          <w:szCs w:val="16"/>
        </w:rPr>
        <w:t>Si algún autor, profesional o investigador conoce la publicación de algún trabajo sobre Derecho y consumo, puede facilitarnos la referencia para publicarlo dentro del presente in</w:t>
      </w:r>
      <w:r>
        <w:rPr>
          <w:sz w:val="16"/>
          <w:szCs w:val="16"/>
        </w:rPr>
        <w:t xml:space="preserve">forme, </w:t>
      </w:r>
      <w:r w:rsidRPr="003F49BB">
        <w:rPr>
          <w:sz w:val="16"/>
          <w:szCs w:val="16"/>
        </w:rPr>
        <w:t>en el periodo correspondiente.</w:t>
      </w:r>
    </w:p>
    <w:sectPr w:rsidR="003F49BB" w:rsidRPr="003F49BB" w:rsidSect="000562B1">
      <w:footerReference w:type="default" r:id="rId11"/>
      <w:pgSz w:w="11906" w:h="16838"/>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24B34B" w14:textId="77777777" w:rsidR="007834BC" w:rsidRDefault="007834BC" w:rsidP="000562B1">
      <w:pPr>
        <w:spacing w:after="0" w:line="240" w:lineRule="auto"/>
      </w:pPr>
      <w:r>
        <w:separator/>
      </w:r>
    </w:p>
  </w:endnote>
  <w:endnote w:type="continuationSeparator" w:id="0">
    <w:p w14:paraId="0B04313F" w14:textId="77777777" w:rsidR="007834BC" w:rsidRDefault="007834BC" w:rsidP="00056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1363187"/>
      <w:docPartObj>
        <w:docPartGallery w:val="Page Numbers (Bottom of Page)"/>
        <w:docPartUnique/>
      </w:docPartObj>
    </w:sdtPr>
    <w:sdtEndPr>
      <w:rPr>
        <w:rFonts w:cstheme="minorHAnsi"/>
      </w:rPr>
    </w:sdtEndPr>
    <w:sdtContent>
      <w:p w14:paraId="63290595" w14:textId="77777777" w:rsidR="00827C04" w:rsidRPr="000562B1" w:rsidRDefault="00827C04">
        <w:pPr>
          <w:pStyle w:val="Piedepgina"/>
          <w:jc w:val="right"/>
          <w:rPr>
            <w:rFonts w:cstheme="minorHAnsi"/>
          </w:rPr>
        </w:pPr>
        <w:r w:rsidRPr="000562B1">
          <w:rPr>
            <w:rFonts w:cstheme="minorHAnsi"/>
          </w:rPr>
          <w:fldChar w:fldCharType="begin"/>
        </w:r>
        <w:r w:rsidRPr="000562B1">
          <w:rPr>
            <w:rFonts w:cstheme="minorHAnsi"/>
          </w:rPr>
          <w:instrText>PAGE   \* MERGEFORMAT</w:instrText>
        </w:r>
        <w:r w:rsidRPr="000562B1">
          <w:rPr>
            <w:rFonts w:cstheme="minorHAnsi"/>
          </w:rPr>
          <w:fldChar w:fldCharType="separate"/>
        </w:r>
        <w:r w:rsidR="00E53C19">
          <w:rPr>
            <w:rFonts w:cstheme="minorHAnsi"/>
            <w:noProof/>
          </w:rPr>
          <w:t>0</w:t>
        </w:r>
        <w:r w:rsidRPr="000562B1">
          <w:rPr>
            <w:rFonts w:cstheme="minorHAnsi"/>
          </w:rPr>
          <w:fldChar w:fldCharType="end"/>
        </w:r>
      </w:p>
    </w:sdtContent>
  </w:sdt>
  <w:p w14:paraId="37C823B9" w14:textId="77777777" w:rsidR="00827C04" w:rsidRDefault="00827C0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A7DDC7" w14:textId="77777777" w:rsidR="007834BC" w:rsidRDefault="007834BC" w:rsidP="000562B1">
      <w:pPr>
        <w:spacing w:after="0" w:line="240" w:lineRule="auto"/>
      </w:pPr>
      <w:r>
        <w:separator/>
      </w:r>
    </w:p>
  </w:footnote>
  <w:footnote w:type="continuationSeparator" w:id="0">
    <w:p w14:paraId="3E9C6DAB" w14:textId="77777777" w:rsidR="007834BC" w:rsidRDefault="007834BC" w:rsidP="000562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315AE"/>
    <w:multiLevelType w:val="hybridMultilevel"/>
    <w:tmpl w:val="F6222D90"/>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FCB0E10"/>
    <w:multiLevelType w:val="hybridMultilevel"/>
    <w:tmpl w:val="46386646"/>
    <w:lvl w:ilvl="0" w:tplc="45FE9F5A">
      <w:start w:val="1"/>
      <w:numFmt w:val="bullet"/>
      <w:lvlText w:val="-"/>
      <w:lvlJc w:val="left"/>
      <w:pPr>
        <w:ind w:left="360" w:hanging="360"/>
      </w:pPr>
      <w:rPr>
        <w:rFonts w:ascii="Calibri" w:hAnsi="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14397483"/>
    <w:multiLevelType w:val="hybridMultilevel"/>
    <w:tmpl w:val="2014F256"/>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CA75E7F"/>
    <w:multiLevelType w:val="hybridMultilevel"/>
    <w:tmpl w:val="08249B3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DC54DE8"/>
    <w:multiLevelType w:val="hybridMultilevel"/>
    <w:tmpl w:val="12665926"/>
    <w:lvl w:ilvl="0" w:tplc="45FE9F5A">
      <w:start w:val="1"/>
      <w:numFmt w:val="bullet"/>
      <w:lvlText w:val="-"/>
      <w:lvlJc w:val="left"/>
      <w:pPr>
        <w:ind w:left="360" w:hanging="360"/>
      </w:pPr>
      <w:rPr>
        <w:rFonts w:ascii="Calibri" w:hAnsi="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3D4075B9"/>
    <w:multiLevelType w:val="hybridMultilevel"/>
    <w:tmpl w:val="55201CA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8995F83"/>
    <w:multiLevelType w:val="hybridMultilevel"/>
    <w:tmpl w:val="CB32DB9E"/>
    <w:lvl w:ilvl="0" w:tplc="1D1411FC">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713A1A64"/>
    <w:multiLevelType w:val="hybridMultilevel"/>
    <w:tmpl w:val="370E71BC"/>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78CB4682"/>
    <w:multiLevelType w:val="hybridMultilevel"/>
    <w:tmpl w:val="F922407E"/>
    <w:lvl w:ilvl="0" w:tplc="45FE9F5A">
      <w:start w:val="1"/>
      <w:numFmt w:val="bullet"/>
      <w:lvlText w:val="-"/>
      <w:lvlJc w:val="left"/>
      <w:pPr>
        <w:ind w:left="720" w:hanging="360"/>
      </w:pPr>
      <w:rPr>
        <w:rFonts w:ascii="Calibri" w:hAnsi="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7"/>
  </w:num>
  <w:num w:numId="4">
    <w:abstractNumId w:val="5"/>
  </w:num>
  <w:num w:numId="5">
    <w:abstractNumId w:val="2"/>
  </w:num>
  <w:num w:numId="6">
    <w:abstractNumId w:val="3"/>
  </w:num>
  <w:num w:numId="7">
    <w:abstractNumId w:val="6"/>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8D6"/>
    <w:rsid w:val="00020F4E"/>
    <w:rsid w:val="000562B1"/>
    <w:rsid w:val="0012310A"/>
    <w:rsid w:val="001342BF"/>
    <w:rsid w:val="0017035A"/>
    <w:rsid w:val="00181687"/>
    <w:rsid w:val="001A3DC8"/>
    <w:rsid w:val="001B39D6"/>
    <w:rsid w:val="001E467C"/>
    <w:rsid w:val="00226C2F"/>
    <w:rsid w:val="002321F9"/>
    <w:rsid w:val="0024425F"/>
    <w:rsid w:val="002920B4"/>
    <w:rsid w:val="002C3D5D"/>
    <w:rsid w:val="00326C94"/>
    <w:rsid w:val="003662F8"/>
    <w:rsid w:val="003A1A16"/>
    <w:rsid w:val="003C79EE"/>
    <w:rsid w:val="003C7E66"/>
    <w:rsid w:val="003E66AA"/>
    <w:rsid w:val="003F49BB"/>
    <w:rsid w:val="003F4BCA"/>
    <w:rsid w:val="00410FE1"/>
    <w:rsid w:val="004158D3"/>
    <w:rsid w:val="00467E42"/>
    <w:rsid w:val="00474518"/>
    <w:rsid w:val="004C5AA1"/>
    <w:rsid w:val="004D794A"/>
    <w:rsid w:val="0051297C"/>
    <w:rsid w:val="005524C4"/>
    <w:rsid w:val="005527B0"/>
    <w:rsid w:val="00567AAA"/>
    <w:rsid w:val="005B7019"/>
    <w:rsid w:val="005E340F"/>
    <w:rsid w:val="005F0DEC"/>
    <w:rsid w:val="005F1DFB"/>
    <w:rsid w:val="005F3752"/>
    <w:rsid w:val="00633110"/>
    <w:rsid w:val="00656A1A"/>
    <w:rsid w:val="00673A7C"/>
    <w:rsid w:val="006B172C"/>
    <w:rsid w:val="007834BC"/>
    <w:rsid w:val="007C2FE3"/>
    <w:rsid w:val="00816AAB"/>
    <w:rsid w:val="008251E3"/>
    <w:rsid w:val="00827C04"/>
    <w:rsid w:val="00846866"/>
    <w:rsid w:val="008D2AC3"/>
    <w:rsid w:val="008D6849"/>
    <w:rsid w:val="00916F83"/>
    <w:rsid w:val="00923CBC"/>
    <w:rsid w:val="0093649B"/>
    <w:rsid w:val="009432D4"/>
    <w:rsid w:val="00952BF5"/>
    <w:rsid w:val="009C07E8"/>
    <w:rsid w:val="009E7932"/>
    <w:rsid w:val="00A00862"/>
    <w:rsid w:val="00A178D6"/>
    <w:rsid w:val="00A21DDE"/>
    <w:rsid w:val="00A4262A"/>
    <w:rsid w:val="00A535EC"/>
    <w:rsid w:val="00A95CE0"/>
    <w:rsid w:val="00B00158"/>
    <w:rsid w:val="00B03532"/>
    <w:rsid w:val="00B065EF"/>
    <w:rsid w:val="00B40032"/>
    <w:rsid w:val="00B42623"/>
    <w:rsid w:val="00B44604"/>
    <w:rsid w:val="00B55B74"/>
    <w:rsid w:val="00B917BF"/>
    <w:rsid w:val="00BE3615"/>
    <w:rsid w:val="00C41A52"/>
    <w:rsid w:val="00C45C39"/>
    <w:rsid w:val="00C660D0"/>
    <w:rsid w:val="00C67BF4"/>
    <w:rsid w:val="00C67C8B"/>
    <w:rsid w:val="00C73ED8"/>
    <w:rsid w:val="00C943B2"/>
    <w:rsid w:val="00C97832"/>
    <w:rsid w:val="00CB0586"/>
    <w:rsid w:val="00CE63DC"/>
    <w:rsid w:val="00D364FB"/>
    <w:rsid w:val="00D37249"/>
    <w:rsid w:val="00D827B7"/>
    <w:rsid w:val="00DA30E6"/>
    <w:rsid w:val="00DC326F"/>
    <w:rsid w:val="00E37172"/>
    <w:rsid w:val="00E53C19"/>
    <w:rsid w:val="00E618E3"/>
    <w:rsid w:val="00E7533D"/>
    <w:rsid w:val="00E843AB"/>
    <w:rsid w:val="00E86324"/>
    <w:rsid w:val="00EE05FD"/>
    <w:rsid w:val="00FA6DED"/>
    <w:rsid w:val="00FD741E"/>
    <w:rsid w:val="00FF618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1F9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E3615"/>
    <w:pPr>
      <w:ind w:left="720"/>
      <w:contextualSpacing/>
    </w:pPr>
  </w:style>
  <w:style w:type="paragraph" w:styleId="Textodeglobo">
    <w:name w:val="Balloon Text"/>
    <w:basedOn w:val="Normal"/>
    <w:link w:val="TextodegloboCar"/>
    <w:uiPriority w:val="99"/>
    <w:semiHidden/>
    <w:unhideWhenUsed/>
    <w:rsid w:val="00C660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60D0"/>
    <w:rPr>
      <w:rFonts w:ascii="Tahoma" w:hAnsi="Tahoma" w:cs="Tahoma"/>
      <w:sz w:val="16"/>
      <w:szCs w:val="16"/>
    </w:rPr>
  </w:style>
  <w:style w:type="paragraph" w:styleId="Encabezado">
    <w:name w:val="header"/>
    <w:basedOn w:val="Normal"/>
    <w:link w:val="EncabezadoCar"/>
    <w:uiPriority w:val="99"/>
    <w:unhideWhenUsed/>
    <w:rsid w:val="000562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562B1"/>
  </w:style>
  <w:style w:type="paragraph" w:styleId="Piedepgina">
    <w:name w:val="footer"/>
    <w:basedOn w:val="Normal"/>
    <w:link w:val="PiedepginaCar"/>
    <w:uiPriority w:val="99"/>
    <w:unhideWhenUsed/>
    <w:rsid w:val="000562B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62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E3615"/>
    <w:pPr>
      <w:ind w:left="720"/>
      <w:contextualSpacing/>
    </w:pPr>
  </w:style>
  <w:style w:type="paragraph" w:styleId="Textodeglobo">
    <w:name w:val="Balloon Text"/>
    <w:basedOn w:val="Normal"/>
    <w:link w:val="TextodegloboCar"/>
    <w:uiPriority w:val="99"/>
    <w:semiHidden/>
    <w:unhideWhenUsed/>
    <w:rsid w:val="00C660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60D0"/>
    <w:rPr>
      <w:rFonts w:ascii="Tahoma" w:hAnsi="Tahoma" w:cs="Tahoma"/>
      <w:sz w:val="16"/>
      <w:szCs w:val="16"/>
    </w:rPr>
  </w:style>
  <w:style w:type="paragraph" w:styleId="Encabezado">
    <w:name w:val="header"/>
    <w:basedOn w:val="Normal"/>
    <w:link w:val="EncabezadoCar"/>
    <w:uiPriority w:val="99"/>
    <w:unhideWhenUsed/>
    <w:rsid w:val="000562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562B1"/>
  </w:style>
  <w:style w:type="paragraph" w:styleId="Piedepgina">
    <w:name w:val="footer"/>
    <w:basedOn w:val="Normal"/>
    <w:link w:val="PiedepginaCar"/>
    <w:uiPriority w:val="99"/>
    <w:unhideWhenUsed/>
    <w:rsid w:val="000562B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62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219153">
      <w:bodyDiv w:val="1"/>
      <w:marLeft w:val="0"/>
      <w:marRight w:val="0"/>
      <w:marTop w:val="0"/>
      <w:marBottom w:val="0"/>
      <w:divBdr>
        <w:top w:val="none" w:sz="0" w:space="0" w:color="auto"/>
        <w:left w:val="none" w:sz="0" w:space="0" w:color="auto"/>
        <w:bottom w:val="none" w:sz="0" w:space="0" w:color="auto"/>
        <w:right w:val="none" w:sz="0" w:space="0" w:color="auto"/>
      </w:divBdr>
      <w:divsChild>
        <w:div w:id="709261901">
          <w:marLeft w:val="0"/>
          <w:marRight w:val="0"/>
          <w:marTop w:val="0"/>
          <w:marBottom w:val="150"/>
          <w:divBdr>
            <w:top w:val="none" w:sz="0" w:space="0" w:color="auto"/>
            <w:left w:val="none" w:sz="0" w:space="0" w:color="auto"/>
            <w:bottom w:val="none" w:sz="0" w:space="0" w:color="auto"/>
            <w:right w:val="none" w:sz="0" w:space="0" w:color="auto"/>
          </w:divBdr>
        </w:div>
        <w:div w:id="54663381">
          <w:marLeft w:val="0"/>
          <w:marRight w:val="0"/>
          <w:marTop w:val="0"/>
          <w:marBottom w:val="300"/>
          <w:divBdr>
            <w:top w:val="none" w:sz="0" w:space="0" w:color="auto"/>
            <w:left w:val="none" w:sz="0" w:space="0" w:color="auto"/>
            <w:bottom w:val="none" w:sz="0" w:space="0" w:color="auto"/>
            <w:right w:val="none" w:sz="0" w:space="0" w:color="auto"/>
          </w:divBdr>
          <w:divsChild>
            <w:div w:id="20587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2EC53-C3B8-4BE6-995E-502CA4732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2726</Words>
  <Characters>14997</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BASTANTE GONZALEZ</dc:creator>
  <cp:lastModifiedBy>JESUS BASTANTE GONZALEZ</cp:lastModifiedBy>
  <cp:revision>7</cp:revision>
  <cp:lastPrinted>2022-04-06T09:16:00Z</cp:lastPrinted>
  <dcterms:created xsi:type="dcterms:W3CDTF">2022-03-24T16:42:00Z</dcterms:created>
  <dcterms:modified xsi:type="dcterms:W3CDTF">2022-04-06T09:17:00Z</dcterms:modified>
</cp:coreProperties>
</file>