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5E329" w14:textId="77777777" w:rsidR="00656A1A" w:rsidRDefault="00DA30E6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71A90E6" wp14:editId="6135A164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860" cy="10708052"/>
            <wp:effectExtent l="0" t="0" r="2540" b="0"/>
            <wp:wrapNone/>
            <wp:docPr id="2" name="Imagen 2" descr="C:\Users\Jesus\Downloads\Red and Grayscale Corporate Company Annual Re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\Downloads\Red and Grayscale Corporate Company Annual Report 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8" cy="10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6F4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E524A1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5F136E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D376D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882B77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9C48A1A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3F2BA5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1E2C271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D715D" wp14:editId="2472D62D">
                <wp:simplePos x="0" y="0"/>
                <wp:positionH relativeFrom="column">
                  <wp:posOffset>-697998</wp:posOffset>
                </wp:positionH>
                <wp:positionV relativeFrom="paragraph">
                  <wp:posOffset>76427</wp:posOffset>
                </wp:positionV>
                <wp:extent cx="6236970" cy="5117911"/>
                <wp:effectExtent l="0" t="0" r="0" b="698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1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6CF4" w14:textId="05058EEB" w:rsidR="00827C04" w:rsidRDefault="00C05417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Abril-Junio</w:t>
                            </w:r>
                            <w:r w:rsidR="00567AA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2022</w:t>
                            </w:r>
                          </w:p>
                          <w:p w14:paraId="2EB7BD8F" w14:textId="77777777" w:rsidR="00827C04" w:rsidRPr="00D37249" w:rsidRDefault="00827C04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9EFE686" w14:textId="77777777" w:rsidR="00827C04" w:rsidRPr="00D37249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INFORME</w:t>
                            </w:r>
                          </w:p>
                          <w:p w14:paraId="636B78C5" w14:textId="77777777" w:rsidR="00827C04" w:rsidRPr="005F1DF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DERECHO Y CONSUMO (BIBLIOGRAFÍ</w:t>
                            </w:r>
                            <w:r w:rsidRPr="005F1DFB"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A)</w:t>
                            </w:r>
                          </w:p>
                          <w:p w14:paraId="2D05127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6A1D3C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45E8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9E469D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ABCD6E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8C99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1E513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C18BA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BB30137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D4293F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E34383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14:paraId="045E4226" w14:textId="77777777"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Víctor Bastante </w:t>
                            </w:r>
                            <w:proofErr w:type="spellStart"/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Granell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F1C51F2" w14:textId="4E4CA0CA" w:rsidR="00827C04" w:rsidRPr="00EE05FD" w:rsidRDefault="00C05417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Profesor Contratado</w:t>
                            </w:r>
                            <w:r w:rsidR="00827C04"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Doctor. </w:t>
                            </w:r>
                          </w:p>
                          <w:p w14:paraId="6C8075D8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Universidad de Almería.</w:t>
                            </w:r>
                          </w:p>
                          <w:p w14:paraId="1735E3DF" w14:textId="77777777" w:rsidR="00827C04" w:rsidRPr="003F49B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F49BB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vbg415@ual.es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54.95pt;margin-top:6pt;width:491.1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" filled="f" stroked="f" strokeweight=".5pt">
                <v:textbox>
                  <w:txbxContent>
                    <w:p w14:paraId="4D436CF4" w14:textId="05058EEB" w:rsidR="00827C04" w:rsidRDefault="00C05417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Abril-Junio</w:t>
                      </w:r>
                      <w:r w:rsidR="00567AAA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2022</w:t>
                      </w:r>
                    </w:p>
                    <w:p w14:paraId="2EB7BD8F" w14:textId="77777777" w:rsidR="00827C04" w:rsidRPr="00D37249" w:rsidRDefault="00827C04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9EFE686" w14:textId="77777777" w:rsidR="00827C04" w:rsidRPr="00D37249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  <w:t>INFORME</w:t>
                      </w:r>
                    </w:p>
                    <w:p w14:paraId="636B78C5" w14:textId="77777777" w:rsidR="00827C04" w:rsidRPr="005F1DF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DERECHO Y CONSUMO (BIBLIOGRAFÍ</w:t>
                      </w:r>
                      <w:r w:rsidRPr="005F1DFB"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A)</w:t>
                      </w:r>
                    </w:p>
                    <w:p w14:paraId="2D05127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6A1D3C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45E8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9E469D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1ABCD6E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598C99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1E513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C18BA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6BB30137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D4293F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E34383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</w:rPr>
                      </w:pPr>
                    </w:p>
                    <w:p w14:paraId="045E4226" w14:textId="77777777"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Víctor Bastante </w:t>
                      </w:r>
                      <w:proofErr w:type="spellStart"/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Granell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F1C51F2" w14:textId="4E4CA0CA" w:rsidR="00827C04" w:rsidRPr="00EE05FD" w:rsidRDefault="00C05417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Profesor Contratado</w:t>
                      </w:r>
                      <w:r w:rsidR="00827C04"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Doctor. </w:t>
                      </w:r>
                    </w:p>
                    <w:p w14:paraId="6C8075D8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Universidad de Almería.</w:t>
                      </w:r>
                    </w:p>
                    <w:p w14:paraId="1735E3DF" w14:textId="77777777" w:rsidR="00827C04" w:rsidRPr="003F49B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F49BB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vbg415@ual.es</w:t>
                      </w:r>
                    </w:p>
                  </w:txbxContent>
                </v:textbox>
              </v:shape>
            </w:pict>
          </mc:Fallback>
        </mc:AlternateContent>
      </w:r>
    </w:p>
    <w:p w14:paraId="634A3D0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214C09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2D226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B8E3A3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A5D080F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E0AEF6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48E447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0E5561C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925319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2EC10E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552136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8BF8FA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7F6610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1F4B98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47D8F2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FE9F70E" w14:textId="77777777" w:rsidR="00D37249" w:rsidRDefault="005F0DEC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F4A92" wp14:editId="682CB527">
                <wp:simplePos x="0" y="0"/>
                <wp:positionH relativeFrom="column">
                  <wp:posOffset>5288354</wp:posOffset>
                </wp:positionH>
                <wp:positionV relativeFrom="paragraph">
                  <wp:posOffset>504175</wp:posOffset>
                </wp:positionV>
                <wp:extent cx="1190360" cy="78639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360" cy="78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130AB" w14:textId="77777777" w:rsidR="00827C04" w:rsidRPr="005F0DEC" w:rsidRDefault="00827C04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F0DEC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left:0;text-align:left;margin-left:416.4pt;margin-top:39.7pt;width:93.7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" filled="f" stroked="f" strokeweight=".5pt">
                <v:textbox>
                  <w:txbxContent>
                    <w:p w14:paraId="320130AB" w14:textId="77777777" w:rsidR="00827C04" w:rsidRPr="005F0DEC" w:rsidRDefault="00827C04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5F0DEC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DB7A1CA" w14:textId="77777777" w:rsidR="00C660D0" w:rsidRDefault="000562B1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62E8B83" wp14:editId="3AFA0952">
            <wp:simplePos x="0" y="0"/>
            <wp:positionH relativeFrom="column">
              <wp:posOffset>-1048237</wp:posOffset>
            </wp:positionH>
            <wp:positionV relativeFrom="paragraph">
              <wp:posOffset>-889162</wp:posOffset>
            </wp:positionV>
            <wp:extent cx="7549116" cy="9803218"/>
            <wp:effectExtent l="0" t="0" r="0" b="7620"/>
            <wp:wrapNone/>
            <wp:docPr id="7" name="Imagen 7" descr="C:\Users\Jesus\Downloads\Red and Grayscale Corporate Company Annual Re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\Downloads\Red and Grayscale Corporate Company Annual Report (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98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495B1" wp14:editId="280F7CF2">
                <wp:simplePos x="0" y="0"/>
                <wp:positionH relativeFrom="column">
                  <wp:posOffset>1120775</wp:posOffset>
                </wp:positionH>
                <wp:positionV relativeFrom="paragraph">
                  <wp:posOffset>-218307</wp:posOffset>
                </wp:positionV>
                <wp:extent cx="3466213" cy="107388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213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8AFD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NFORME</w:t>
                            </w:r>
                          </w:p>
                          <w:p w14:paraId="7A65D15E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DERECHO Y CONSUMO 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(BIBLIOGRAFÍA)</w:t>
                            </w:r>
                          </w:p>
                          <w:p w14:paraId="2F1DEB9A" w14:textId="77777777" w:rsidR="00827C04" w:rsidRPr="005F0DEC" w:rsidRDefault="00827C04" w:rsidP="00226C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1D940F1" w14:textId="6D369556" w:rsidR="00827C04" w:rsidRDefault="00C05417" w:rsidP="00567AAA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Abril-Junio</w:t>
                            </w:r>
                            <w:r w:rsidR="00567AAA"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28" type="#_x0000_t202" style="position:absolute;left:0;text-align:left;margin-left:88.25pt;margin-top:-17.2pt;width:272.95pt;height:8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" filled="f" stroked="f" strokeweight=".5pt">
                <v:textbox>
                  <w:txbxContent>
                    <w:p w14:paraId="22498AFD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NFORME</w:t>
                      </w:r>
                    </w:p>
                    <w:p w14:paraId="7A65D15E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DERECHO Y CONSUMO </w:t>
                      </w:r>
                      <w:r w:rsidRPr="00226C2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(BIBLIOGRAFÍA)</w:t>
                      </w:r>
                    </w:p>
                    <w:p w14:paraId="2F1DEB9A" w14:textId="77777777" w:rsidR="00827C04" w:rsidRPr="005F0DEC" w:rsidRDefault="00827C04" w:rsidP="00226C2F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  <w:p w14:paraId="31D940F1" w14:textId="6D369556" w:rsidR="00827C04" w:rsidRDefault="00C05417" w:rsidP="00567AAA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Abril-Junio</w:t>
                      </w:r>
                      <w:r w:rsidR="00567AAA"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8C683B8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52B812AB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91AFD" wp14:editId="2ACD5C44">
                <wp:simplePos x="0" y="0"/>
                <wp:positionH relativeFrom="column">
                  <wp:posOffset>4331335</wp:posOffset>
                </wp:positionH>
                <wp:positionV relativeFrom="paragraph">
                  <wp:posOffset>71297</wp:posOffset>
                </wp:positionV>
                <wp:extent cx="659130" cy="47752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C319D" w14:textId="77777777" w:rsidR="00827C04" w:rsidRPr="00226C2F" w:rsidRDefault="00827C04" w:rsidP="00226C2F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26C2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9" type="#_x0000_t202" style="position:absolute;left:0;text-align:left;margin-left:341.05pt;margin-top:5.6pt;width:51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" filled="f" stroked="f" strokeweight=".5pt">
                <v:textbox>
                  <w:txbxContent>
                    <w:p w14:paraId="04DC319D" w14:textId="77777777" w:rsidR="00827C04" w:rsidRPr="00226C2F" w:rsidRDefault="00827C04" w:rsidP="00226C2F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226C2F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B10861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749B5E68" w14:textId="77777777" w:rsidR="00226C2F" w:rsidRP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20"/>
          <w:szCs w:val="20"/>
        </w:rPr>
      </w:pPr>
    </w:p>
    <w:p w14:paraId="0781AEA6" w14:textId="77777777" w:rsidR="00226C2F" w:rsidRPr="005F0DEC" w:rsidRDefault="00226C2F" w:rsidP="00C943B2">
      <w:pPr>
        <w:rPr>
          <w:rFonts w:ascii="Segoe UI" w:hAnsi="Segoe UI" w:cs="Segoe UI"/>
          <w:b/>
          <w:color w:val="000000" w:themeColor="text1"/>
          <w:sz w:val="20"/>
          <w:szCs w:val="20"/>
        </w:rPr>
      </w:pPr>
    </w:p>
    <w:p w14:paraId="49CCF3BC" w14:textId="77777777" w:rsidR="00C05417" w:rsidRPr="00C05417" w:rsidRDefault="00C05417" w:rsidP="00C05417">
      <w:pPr>
        <w:spacing w:after="0" w:line="240" w:lineRule="auto"/>
        <w:jc w:val="both"/>
        <w:rPr>
          <w:sz w:val="20"/>
          <w:szCs w:val="20"/>
        </w:rPr>
      </w:pPr>
    </w:p>
    <w:p w14:paraId="0CA2281E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sz w:val="20"/>
          <w:szCs w:val="20"/>
        </w:rPr>
        <w:t xml:space="preserve">ADAN DOMENECH, Federico. “Bienaventurados los que crean sin ver, pues de ellos será el reino de los cielos”: </w:t>
      </w:r>
      <w:r w:rsidRPr="00C05417">
        <w:rPr>
          <w:i/>
          <w:sz w:val="20"/>
          <w:szCs w:val="20"/>
        </w:rPr>
        <w:t>Revista Jurídica sobre Consumidores y Usuarios</w:t>
      </w:r>
      <w:r w:rsidRPr="00C05417">
        <w:rPr>
          <w:sz w:val="20"/>
          <w:szCs w:val="20"/>
        </w:rPr>
        <w:t xml:space="preserve">, Núm. 11, págs. 5-6. </w:t>
      </w:r>
    </w:p>
    <w:p w14:paraId="1BCC13E3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43E9AC4A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Adan Domenech</w:t>
      </w:r>
      <w:r w:rsidRPr="00C05417">
        <w:rPr>
          <w:sz w:val="20"/>
          <w:szCs w:val="20"/>
        </w:rPr>
        <w:t xml:space="preserve">, Federico. “Errónea interpretación judicial de las hipotecas IRPH”: </w:t>
      </w:r>
      <w:r w:rsidRPr="00C05417">
        <w:rPr>
          <w:i/>
          <w:sz w:val="20"/>
          <w:szCs w:val="20"/>
        </w:rPr>
        <w:t>Revista Jurídica sobre Consumidores y Usuarios</w:t>
      </w:r>
      <w:r w:rsidRPr="00C05417">
        <w:rPr>
          <w:sz w:val="20"/>
          <w:szCs w:val="20"/>
        </w:rPr>
        <w:t xml:space="preserve">, Núm. 11, págs. 7-19. </w:t>
      </w:r>
    </w:p>
    <w:p w14:paraId="7F23B1AB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76835EDB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Álvarez García</w:t>
      </w:r>
      <w:r w:rsidRPr="00C05417">
        <w:rPr>
          <w:sz w:val="20"/>
          <w:szCs w:val="20"/>
        </w:rPr>
        <w:t xml:space="preserve">, </w:t>
      </w:r>
      <w:proofErr w:type="spellStart"/>
      <w:r w:rsidRPr="00C05417">
        <w:rPr>
          <w:sz w:val="20"/>
          <w:szCs w:val="20"/>
        </w:rPr>
        <w:t>Nelia</w:t>
      </w:r>
      <w:proofErr w:type="spellEnd"/>
      <w:r w:rsidRPr="00C05417">
        <w:rPr>
          <w:sz w:val="20"/>
          <w:szCs w:val="20"/>
        </w:rPr>
        <w:t xml:space="preserve">. “La sanción de la CNIL a Google y el posicionamiento de las autoridades de control europeas sobre la realización de transferencias internacionales de datos derivadas del uso de cookies analíticas”: </w:t>
      </w:r>
      <w:r w:rsidRPr="00C05417">
        <w:rPr>
          <w:i/>
          <w:sz w:val="20"/>
          <w:szCs w:val="20"/>
        </w:rPr>
        <w:t>La Ley privacidad</w:t>
      </w:r>
      <w:r w:rsidRPr="00C05417">
        <w:rPr>
          <w:sz w:val="20"/>
          <w:szCs w:val="20"/>
        </w:rPr>
        <w:t xml:space="preserve">, Nº. 11, 2022. </w:t>
      </w:r>
    </w:p>
    <w:p w14:paraId="1763F4E5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28DAFECE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Amo Fernández</w:t>
      </w:r>
      <w:r w:rsidRPr="00C05417">
        <w:rPr>
          <w:sz w:val="20"/>
          <w:szCs w:val="20"/>
        </w:rPr>
        <w:t xml:space="preserve">, Miguel. “El mercado de la vivienda, la inflación y la guerra en Ucrania”: </w:t>
      </w:r>
      <w:r w:rsidRPr="00C05417">
        <w:rPr>
          <w:i/>
          <w:sz w:val="20"/>
          <w:szCs w:val="20"/>
        </w:rPr>
        <w:t>El notario del siglo XXI: revista del Colegio Notarial de Madrid</w:t>
      </w:r>
      <w:r w:rsidRPr="00C05417">
        <w:rPr>
          <w:sz w:val="20"/>
          <w:szCs w:val="20"/>
        </w:rPr>
        <w:t xml:space="preserve">, Nº. 102, 2022, págs. 40-45. </w:t>
      </w:r>
    </w:p>
    <w:p w14:paraId="70B6ADC2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2B34F100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Barber Cárcamo</w:t>
      </w:r>
      <w:r w:rsidRPr="00C05417">
        <w:rPr>
          <w:sz w:val="20"/>
          <w:szCs w:val="20"/>
        </w:rPr>
        <w:t xml:space="preserve">, Roncesvalles. “Garantías en las ventas de consumo y economía circular: ¿El inicio de un nuevo paradigma?”: </w:t>
      </w:r>
      <w:r w:rsidRPr="00C05417">
        <w:rPr>
          <w:i/>
          <w:sz w:val="20"/>
          <w:szCs w:val="20"/>
        </w:rPr>
        <w:t>Revista de Derecho Civil</w:t>
      </w:r>
      <w:r w:rsidRPr="00C05417">
        <w:rPr>
          <w:sz w:val="20"/>
          <w:szCs w:val="20"/>
        </w:rPr>
        <w:t>, Vol. 9, Nº. 2 (abril-junio), 2022, págs. 141-186.</w:t>
      </w:r>
    </w:p>
    <w:p w14:paraId="746DF96D" w14:textId="290E5ADA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  <w:r w:rsidRPr="00C05417">
        <w:rPr>
          <w:sz w:val="20"/>
          <w:szCs w:val="20"/>
        </w:rPr>
        <w:t xml:space="preserve"> </w:t>
      </w:r>
    </w:p>
    <w:p w14:paraId="3A06CD93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Blanco Sánchez</w:t>
      </w:r>
      <w:r w:rsidRPr="00C05417">
        <w:rPr>
          <w:sz w:val="20"/>
          <w:szCs w:val="20"/>
        </w:rPr>
        <w:t xml:space="preserve">, María Jesús. “La protección del consumidor financiero en un mercado cada vez más digital. Especial referencia al derecho de desistimiento en </w:t>
      </w:r>
      <w:proofErr w:type="spellStart"/>
      <w:r w:rsidRPr="00C05417">
        <w:rPr>
          <w:sz w:val="20"/>
          <w:szCs w:val="20"/>
        </w:rPr>
        <w:t>smart</w:t>
      </w:r>
      <w:proofErr w:type="spellEnd"/>
      <w:r w:rsidRPr="00C05417">
        <w:rPr>
          <w:sz w:val="20"/>
          <w:szCs w:val="20"/>
        </w:rPr>
        <w:t xml:space="preserve"> </w:t>
      </w:r>
      <w:proofErr w:type="spellStart"/>
      <w:r w:rsidRPr="00C05417">
        <w:rPr>
          <w:sz w:val="20"/>
          <w:szCs w:val="20"/>
        </w:rPr>
        <w:t>contract</w:t>
      </w:r>
      <w:proofErr w:type="spellEnd"/>
      <w:r w:rsidRPr="00C05417">
        <w:rPr>
          <w:sz w:val="20"/>
          <w:szCs w:val="20"/>
        </w:rPr>
        <w:t xml:space="preserve"> con consumidores”: </w:t>
      </w:r>
      <w:r w:rsidRPr="00C05417">
        <w:rPr>
          <w:i/>
          <w:sz w:val="20"/>
          <w:szCs w:val="20"/>
        </w:rPr>
        <w:t>La Ley mercantil</w:t>
      </w:r>
      <w:r w:rsidRPr="00C05417">
        <w:rPr>
          <w:sz w:val="20"/>
          <w:szCs w:val="20"/>
        </w:rPr>
        <w:t xml:space="preserve">, Nº. 91 (mayo), 2022. </w:t>
      </w:r>
    </w:p>
    <w:p w14:paraId="26C02C79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3209475C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Bonachera Villegas</w:t>
      </w:r>
      <w:r w:rsidRPr="00C05417">
        <w:rPr>
          <w:sz w:val="20"/>
          <w:szCs w:val="20"/>
        </w:rPr>
        <w:t xml:space="preserve">, Raquel Dominica. “Aspectos procesales de la cesión de créditos hipotecarios a los fondos de titularización y otros tipos de ingeniería financiera”: </w:t>
      </w:r>
      <w:r w:rsidRPr="00C05417">
        <w:rPr>
          <w:i/>
          <w:sz w:val="20"/>
          <w:szCs w:val="20"/>
        </w:rPr>
        <w:t>Revista de Derecho Civil</w:t>
      </w:r>
      <w:r w:rsidRPr="00C05417">
        <w:rPr>
          <w:sz w:val="20"/>
          <w:szCs w:val="20"/>
        </w:rPr>
        <w:t xml:space="preserve">, Vol. 9, Nº. 2 (abril-junio), 2022, págs. 113-139. </w:t>
      </w:r>
    </w:p>
    <w:p w14:paraId="3576D82D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29036ECA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Borrallo Fernández</w:t>
      </w:r>
      <w:r w:rsidRPr="00C05417">
        <w:rPr>
          <w:sz w:val="20"/>
          <w:szCs w:val="20"/>
        </w:rPr>
        <w:t xml:space="preserve">, Cristina. “IRPH: Una aproximación técnica a su </w:t>
      </w:r>
      <w:proofErr w:type="spellStart"/>
      <w:r w:rsidRPr="00C05417">
        <w:rPr>
          <w:sz w:val="20"/>
          <w:szCs w:val="20"/>
        </w:rPr>
        <w:t>abusividad</w:t>
      </w:r>
      <w:proofErr w:type="spellEnd"/>
      <w:r w:rsidRPr="00C05417">
        <w:rPr>
          <w:sz w:val="20"/>
          <w:szCs w:val="20"/>
        </w:rPr>
        <w:t xml:space="preserve">”: </w:t>
      </w:r>
      <w:r w:rsidRPr="00C05417">
        <w:rPr>
          <w:i/>
          <w:sz w:val="20"/>
          <w:szCs w:val="20"/>
        </w:rPr>
        <w:t>Revista Jurídica sobre Consumidores y Usuarios</w:t>
      </w:r>
      <w:r w:rsidRPr="00C05417">
        <w:rPr>
          <w:sz w:val="20"/>
          <w:szCs w:val="20"/>
        </w:rPr>
        <w:t xml:space="preserve">, Núm. 11, págs. 20-41. </w:t>
      </w:r>
    </w:p>
    <w:p w14:paraId="2B50155C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03BDF11C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sz w:val="20"/>
          <w:szCs w:val="20"/>
        </w:rPr>
        <w:t xml:space="preserve">CARRASCO PERERA, Ángel. “Contratación por discapacitados con y sin apoyos”: </w:t>
      </w:r>
      <w:r w:rsidRPr="00C05417">
        <w:rPr>
          <w:i/>
          <w:sz w:val="20"/>
          <w:szCs w:val="20"/>
        </w:rPr>
        <w:t>Revista CESCO de Derecho de Consumo</w:t>
      </w:r>
      <w:r w:rsidRPr="00C05417">
        <w:rPr>
          <w:sz w:val="20"/>
          <w:szCs w:val="20"/>
        </w:rPr>
        <w:t xml:space="preserve">, nº 42 (abril-junio) 2022, págs. 196-233. </w:t>
      </w:r>
    </w:p>
    <w:p w14:paraId="3A502A30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28D77BB7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Carrasco Perera</w:t>
      </w:r>
      <w:r w:rsidRPr="00C05417">
        <w:rPr>
          <w:sz w:val="20"/>
          <w:szCs w:val="20"/>
        </w:rPr>
        <w:t xml:space="preserve">, Ángel. “El culebrón de la OPV del extinto Banco Popular”: </w:t>
      </w:r>
      <w:r w:rsidRPr="00C05417">
        <w:rPr>
          <w:i/>
          <w:sz w:val="20"/>
          <w:szCs w:val="20"/>
        </w:rPr>
        <w:t>Actualidad jurídica Aranzadi</w:t>
      </w:r>
      <w:r w:rsidRPr="00C05417">
        <w:rPr>
          <w:sz w:val="20"/>
          <w:szCs w:val="20"/>
        </w:rPr>
        <w:t xml:space="preserve">, ISSN 1132-0257, Nº 983, 2022. </w:t>
      </w:r>
    </w:p>
    <w:p w14:paraId="306F3D05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6DB1EC53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sz w:val="20"/>
          <w:szCs w:val="20"/>
        </w:rPr>
        <w:t xml:space="preserve">CARRETERO GARCIA, Ana María. “Economía circular versus economía lineal. Propuestas normativas en España y Francia relativas al uso de envases y a la información dirigida al consumidor sobre cualidades ambientales de los productos”: </w:t>
      </w:r>
      <w:r w:rsidRPr="00C05417">
        <w:rPr>
          <w:i/>
          <w:sz w:val="20"/>
          <w:szCs w:val="20"/>
        </w:rPr>
        <w:t>Revista CESCO de Derecho de Consumo</w:t>
      </w:r>
      <w:r w:rsidRPr="00C05417">
        <w:rPr>
          <w:sz w:val="20"/>
          <w:szCs w:val="20"/>
        </w:rPr>
        <w:t xml:space="preserve">, nº 42 (abril-junio) 2022, págs. 19-52. </w:t>
      </w:r>
    </w:p>
    <w:p w14:paraId="3684AA88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5DC42BFB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lastRenderedPageBreak/>
        <w:t>Casanova Martí</w:t>
      </w:r>
      <w:r w:rsidRPr="00C05417">
        <w:rPr>
          <w:sz w:val="20"/>
          <w:szCs w:val="20"/>
        </w:rPr>
        <w:t xml:space="preserve">, Roser. “La venta extrajudicial de inmuebles hipotecados: ¿posible aplicación del art. 641 LEC?”: </w:t>
      </w:r>
      <w:r w:rsidRPr="00C05417">
        <w:rPr>
          <w:i/>
          <w:sz w:val="20"/>
          <w:szCs w:val="20"/>
        </w:rPr>
        <w:t>Anales de derecho</w:t>
      </w:r>
      <w:r w:rsidRPr="00C05417">
        <w:rPr>
          <w:sz w:val="20"/>
          <w:szCs w:val="20"/>
        </w:rPr>
        <w:t xml:space="preserve">, Nº. 39, 2022. </w:t>
      </w:r>
    </w:p>
    <w:p w14:paraId="1A8EE259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49D81187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Castillo García</w:t>
      </w:r>
      <w:r w:rsidRPr="00C05417">
        <w:rPr>
          <w:sz w:val="20"/>
          <w:szCs w:val="20"/>
        </w:rPr>
        <w:t>, Mariano. “Regulación del abuso de mercado y "</w:t>
      </w:r>
      <w:proofErr w:type="spellStart"/>
      <w:r w:rsidRPr="00C05417">
        <w:rPr>
          <w:sz w:val="20"/>
          <w:szCs w:val="20"/>
        </w:rPr>
        <w:t>tokens</w:t>
      </w:r>
      <w:proofErr w:type="spellEnd"/>
      <w:r w:rsidRPr="00C05417">
        <w:rPr>
          <w:sz w:val="20"/>
          <w:szCs w:val="20"/>
        </w:rPr>
        <w:t xml:space="preserve"> </w:t>
      </w:r>
      <w:proofErr w:type="spellStart"/>
      <w:r w:rsidRPr="00C05417">
        <w:rPr>
          <w:sz w:val="20"/>
          <w:szCs w:val="20"/>
        </w:rPr>
        <w:t>economics</w:t>
      </w:r>
      <w:proofErr w:type="spellEnd"/>
      <w:r w:rsidRPr="00C05417">
        <w:rPr>
          <w:sz w:val="20"/>
          <w:szCs w:val="20"/>
        </w:rPr>
        <w:t xml:space="preserve">"”: </w:t>
      </w:r>
      <w:r w:rsidRPr="00C05417">
        <w:rPr>
          <w:i/>
          <w:sz w:val="20"/>
          <w:szCs w:val="20"/>
        </w:rPr>
        <w:t>Revista de derecho bancario y bursátil</w:t>
      </w:r>
      <w:r w:rsidRPr="00C05417">
        <w:rPr>
          <w:sz w:val="20"/>
          <w:szCs w:val="20"/>
        </w:rPr>
        <w:t xml:space="preserve">, Año nº 41, Nº 165, 2022, págs. 223-248. </w:t>
      </w:r>
    </w:p>
    <w:p w14:paraId="768E39FC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01253D9E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Depares Aguilar</w:t>
      </w:r>
      <w:r w:rsidRPr="00C05417">
        <w:rPr>
          <w:sz w:val="20"/>
          <w:szCs w:val="20"/>
        </w:rPr>
        <w:t xml:space="preserve">, Marc. “¿Cómo son las últimas modificaciones en materia de vivienda catalana? ¿cuáles son las nuevas obligaciones de los grandes tenedores?”: </w:t>
      </w:r>
      <w:r w:rsidRPr="00C05417">
        <w:rPr>
          <w:i/>
          <w:sz w:val="20"/>
          <w:szCs w:val="20"/>
        </w:rPr>
        <w:t>Diario La Ley</w:t>
      </w:r>
      <w:r w:rsidRPr="00C05417">
        <w:rPr>
          <w:sz w:val="20"/>
          <w:szCs w:val="20"/>
        </w:rPr>
        <w:t xml:space="preserve">, Nº 10078, 2022. </w:t>
      </w:r>
    </w:p>
    <w:p w14:paraId="49536797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0CB97426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Domínguez Yamasaki</w:t>
      </w:r>
      <w:r w:rsidRPr="00C05417">
        <w:rPr>
          <w:sz w:val="20"/>
          <w:szCs w:val="20"/>
        </w:rPr>
        <w:t xml:space="preserve">, María Isabel. “Discapacidad y derecho de acceso al mercado financiero del crédito tras la reforma del Código Civil: impacto en la prevención del sobreendeudamiento”: </w:t>
      </w:r>
      <w:r w:rsidRPr="00C05417">
        <w:rPr>
          <w:i/>
          <w:sz w:val="20"/>
          <w:szCs w:val="20"/>
        </w:rPr>
        <w:t>Revista de derecho bancario y bursátil</w:t>
      </w:r>
      <w:r w:rsidRPr="00C05417">
        <w:rPr>
          <w:sz w:val="20"/>
          <w:szCs w:val="20"/>
        </w:rPr>
        <w:t xml:space="preserve">, Año nº 40, Nº 164, 2021, págs. 309-344. </w:t>
      </w:r>
    </w:p>
    <w:p w14:paraId="1FB9ED31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41A98D8E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Erausquin Vázquez</w:t>
      </w:r>
      <w:r w:rsidRPr="00C05417">
        <w:rPr>
          <w:sz w:val="20"/>
          <w:szCs w:val="20"/>
        </w:rPr>
        <w:t xml:space="preserve">, José María; </w:t>
      </w:r>
      <w:r w:rsidRPr="00C05417">
        <w:rPr>
          <w:caps/>
          <w:sz w:val="20"/>
          <w:szCs w:val="20"/>
        </w:rPr>
        <w:t>Ortiz Pérez</w:t>
      </w:r>
      <w:r w:rsidRPr="00C05417">
        <w:rPr>
          <w:sz w:val="20"/>
          <w:szCs w:val="20"/>
        </w:rPr>
        <w:t xml:space="preserve">, Maite. “El tipo IRPH cajas y las peculiaridades que lo convierten en especialmente gravoso para los consumidores contratantes”: </w:t>
      </w:r>
      <w:r w:rsidRPr="00C05417">
        <w:rPr>
          <w:i/>
          <w:sz w:val="20"/>
          <w:szCs w:val="20"/>
        </w:rPr>
        <w:t>Revista Jurídica sobre Consumidores y Usuarios</w:t>
      </w:r>
      <w:r w:rsidRPr="00C05417">
        <w:rPr>
          <w:sz w:val="20"/>
          <w:szCs w:val="20"/>
        </w:rPr>
        <w:t xml:space="preserve">, Núm. 11, págs. 42-63. </w:t>
      </w:r>
    </w:p>
    <w:p w14:paraId="3ACD2267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20A844F6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Fernández Alén</w:t>
      </w:r>
      <w:r w:rsidRPr="00C05417">
        <w:rPr>
          <w:sz w:val="20"/>
          <w:szCs w:val="20"/>
        </w:rPr>
        <w:t xml:space="preserve">, Javier. “Riesgos emergentes en los </w:t>
      </w:r>
      <w:proofErr w:type="spellStart"/>
      <w:r w:rsidRPr="00C05417">
        <w:rPr>
          <w:sz w:val="20"/>
          <w:szCs w:val="20"/>
        </w:rPr>
        <w:t>criptoactivos</w:t>
      </w:r>
      <w:proofErr w:type="spellEnd"/>
      <w:r w:rsidRPr="00C05417">
        <w:rPr>
          <w:sz w:val="20"/>
          <w:szCs w:val="20"/>
        </w:rPr>
        <w:t xml:space="preserve">”: </w:t>
      </w:r>
      <w:r w:rsidRPr="00C05417">
        <w:rPr>
          <w:i/>
          <w:sz w:val="20"/>
          <w:szCs w:val="20"/>
        </w:rPr>
        <w:t>Revista de derecho bancario y bursátil</w:t>
      </w:r>
      <w:r w:rsidRPr="00C05417">
        <w:rPr>
          <w:sz w:val="20"/>
          <w:szCs w:val="20"/>
        </w:rPr>
        <w:t xml:space="preserve">, Año nº 40, Nº 164, 2021, págs. 451-466. </w:t>
      </w:r>
    </w:p>
    <w:p w14:paraId="6AADACB2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726A4E5B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Fernández de Marcos</w:t>
      </w:r>
      <w:r w:rsidRPr="00C05417">
        <w:rPr>
          <w:sz w:val="20"/>
          <w:szCs w:val="20"/>
        </w:rPr>
        <w:t xml:space="preserve">, Elena </w:t>
      </w:r>
      <w:proofErr w:type="spellStart"/>
      <w:r w:rsidRPr="00C05417">
        <w:rPr>
          <w:sz w:val="20"/>
          <w:szCs w:val="20"/>
        </w:rPr>
        <w:t>Davara</w:t>
      </w:r>
      <w:proofErr w:type="spellEnd"/>
      <w:r w:rsidRPr="00C05417">
        <w:rPr>
          <w:sz w:val="20"/>
          <w:szCs w:val="20"/>
        </w:rPr>
        <w:t xml:space="preserve">. “RGPD: sueños cumplidos y sueños por cumplir”: </w:t>
      </w:r>
      <w:r w:rsidRPr="00C05417">
        <w:rPr>
          <w:i/>
          <w:sz w:val="20"/>
          <w:szCs w:val="20"/>
        </w:rPr>
        <w:t>La Ley privacidad</w:t>
      </w:r>
      <w:r w:rsidRPr="00C05417">
        <w:rPr>
          <w:sz w:val="20"/>
          <w:szCs w:val="20"/>
        </w:rPr>
        <w:t xml:space="preserve">, Nº. 11, 2022. </w:t>
      </w:r>
    </w:p>
    <w:p w14:paraId="23C71C5B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734CF3B7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Fernández Torres</w:t>
      </w:r>
      <w:r w:rsidRPr="00C05417">
        <w:rPr>
          <w:sz w:val="20"/>
          <w:szCs w:val="20"/>
        </w:rPr>
        <w:t xml:space="preserve">, Isabel. “Plazo de caducidad de la acción de nulidad ante la reestructuración de distintos swaps”: </w:t>
      </w:r>
      <w:r w:rsidRPr="00C05417">
        <w:rPr>
          <w:i/>
          <w:sz w:val="20"/>
          <w:szCs w:val="20"/>
        </w:rPr>
        <w:t>Revista de derecho bancario y bursátil</w:t>
      </w:r>
      <w:r w:rsidRPr="00C05417">
        <w:rPr>
          <w:sz w:val="20"/>
          <w:szCs w:val="20"/>
        </w:rPr>
        <w:t xml:space="preserve">, Año nº 40, Nº 164, 2021, págs. 409-412. </w:t>
      </w:r>
    </w:p>
    <w:p w14:paraId="289793EB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6A2E9AA8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Fidalgo Gallardo</w:t>
      </w:r>
      <w:r w:rsidRPr="00C05417">
        <w:rPr>
          <w:sz w:val="20"/>
          <w:szCs w:val="20"/>
        </w:rPr>
        <w:t xml:space="preserve">, Carlos. “Un laberinto, un trampantojo… y una trampa. En torno a la reforma de la Segunda Oportunidad con ocasión de la transposición de la Directiva 2019/1023”: </w:t>
      </w:r>
      <w:r w:rsidRPr="00C05417">
        <w:rPr>
          <w:i/>
          <w:sz w:val="20"/>
          <w:szCs w:val="20"/>
        </w:rPr>
        <w:t>Diario La Ley</w:t>
      </w:r>
      <w:r w:rsidRPr="00C05417">
        <w:rPr>
          <w:sz w:val="20"/>
          <w:szCs w:val="20"/>
        </w:rPr>
        <w:t xml:space="preserve">, Nº 10052, 2022. </w:t>
      </w:r>
    </w:p>
    <w:p w14:paraId="5A127570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18EFFD85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Fuentes Martínez</w:t>
      </w:r>
      <w:r w:rsidRPr="00C05417">
        <w:rPr>
          <w:sz w:val="20"/>
          <w:szCs w:val="20"/>
        </w:rPr>
        <w:t xml:space="preserve">, Jesús Julián. “Derogado, por fin, el artículo 28, de la ley hipotecaria: ¿Y ahora qué?”: </w:t>
      </w:r>
      <w:r w:rsidRPr="00C05417">
        <w:rPr>
          <w:i/>
          <w:sz w:val="20"/>
          <w:szCs w:val="20"/>
        </w:rPr>
        <w:t xml:space="preserve">Revista Catalana de </w:t>
      </w:r>
      <w:proofErr w:type="spellStart"/>
      <w:r w:rsidRPr="00C05417">
        <w:rPr>
          <w:i/>
          <w:sz w:val="20"/>
          <w:szCs w:val="20"/>
        </w:rPr>
        <w:t>Dret</w:t>
      </w:r>
      <w:proofErr w:type="spellEnd"/>
      <w:r w:rsidRPr="00C05417">
        <w:rPr>
          <w:i/>
          <w:sz w:val="20"/>
          <w:szCs w:val="20"/>
        </w:rPr>
        <w:t xml:space="preserve"> </w:t>
      </w:r>
      <w:proofErr w:type="spellStart"/>
      <w:r w:rsidRPr="00C05417">
        <w:rPr>
          <w:i/>
          <w:sz w:val="20"/>
          <w:szCs w:val="20"/>
        </w:rPr>
        <w:t>Privat</w:t>
      </w:r>
      <w:proofErr w:type="spellEnd"/>
      <w:r w:rsidRPr="00C05417">
        <w:rPr>
          <w:sz w:val="20"/>
          <w:szCs w:val="20"/>
        </w:rPr>
        <w:t xml:space="preserve">, Vol. 24, 2021, págs. 49-74. </w:t>
      </w:r>
    </w:p>
    <w:p w14:paraId="11302614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49DD8CAA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Gállego Lanau</w:t>
      </w:r>
      <w:r w:rsidRPr="00C05417">
        <w:rPr>
          <w:sz w:val="20"/>
          <w:szCs w:val="20"/>
        </w:rPr>
        <w:t xml:space="preserve">, María. “La protección del cliente bancario en la evaluación de solvencia mediante inteligencia artificial”: </w:t>
      </w:r>
      <w:r w:rsidRPr="00C05417">
        <w:rPr>
          <w:i/>
          <w:sz w:val="20"/>
          <w:szCs w:val="20"/>
        </w:rPr>
        <w:t>Revista de derecho bancario y bursátil</w:t>
      </w:r>
      <w:r w:rsidRPr="00C05417">
        <w:rPr>
          <w:sz w:val="20"/>
          <w:szCs w:val="20"/>
        </w:rPr>
        <w:t xml:space="preserve">, Año nº 41, Nº 165, 2022, págs. 95-124. </w:t>
      </w:r>
    </w:p>
    <w:p w14:paraId="54470C34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536A3C2F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García Hernando</w:t>
      </w:r>
      <w:r w:rsidRPr="00C05417">
        <w:rPr>
          <w:sz w:val="20"/>
          <w:szCs w:val="20"/>
        </w:rPr>
        <w:t xml:space="preserve">, Jesús Antonio. “OPS BANKIA 2011: dos «batallas judiciales» sobre un mismo hecho con distintos resultados”: </w:t>
      </w:r>
      <w:r w:rsidRPr="00C05417">
        <w:rPr>
          <w:i/>
          <w:sz w:val="20"/>
          <w:szCs w:val="20"/>
        </w:rPr>
        <w:t>Revista de derecho bancario y bursátil</w:t>
      </w:r>
      <w:r w:rsidRPr="00C05417">
        <w:rPr>
          <w:sz w:val="20"/>
          <w:szCs w:val="20"/>
        </w:rPr>
        <w:t xml:space="preserve">, Año nº 41, Nº 165, 2022, págs. 317-372. </w:t>
      </w:r>
    </w:p>
    <w:p w14:paraId="7F317F50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2D93BC87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Gómez Perals</w:t>
      </w:r>
      <w:r w:rsidRPr="00C05417">
        <w:rPr>
          <w:sz w:val="20"/>
          <w:szCs w:val="20"/>
        </w:rPr>
        <w:t xml:space="preserve">, Miguel. “Panorama de la Ley 13/2015 de Reforma de la Ley Hipotecaria y del Catastro Inmobiliario y su posible reflejo reglamentario”: </w:t>
      </w:r>
      <w:r w:rsidRPr="00C05417">
        <w:rPr>
          <w:i/>
          <w:sz w:val="20"/>
          <w:szCs w:val="20"/>
        </w:rPr>
        <w:t>Revista Crítica de Derecho Inmobiliario</w:t>
      </w:r>
      <w:r w:rsidRPr="00C05417">
        <w:rPr>
          <w:sz w:val="20"/>
          <w:szCs w:val="20"/>
        </w:rPr>
        <w:t xml:space="preserve">, Año nº 98, Nº 790, 2022, págs. 845-904. </w:t>
      </w:r>
    </w:p>
    <w:p w14:paraId="28EE2D27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17B45EA3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González de Castejón LLano-Ponte</w:t>
      </w:r>
      <w:r w:rsidRPr="00C05417">
        <w:rPr>
          <w:sz w:val="20"/>
          <w:szCs w:val="20"/>
        </w:rPr>
        <w:t xml:space="preserve">, Paula. “Análisis de la Guía 01/2022 del </w:t>
      </w:r>
      <w:proofErr w:type="spellStart"/>
      <w:r w:rsidRPr="00C05417">
        <w:rPr>
          <w:sz w:val="20"/>
          <w:szCs w:val="20"/>
        </w:rPr>
        <w:t>European</w:t>
      </w:r>
      <w:proofErr w:type="spellEnd"/>
      <w:r w:rsidRPr="00C05417">
        <w:rPr>
          <w:sz w:val="20"/>
          <w:szCs w:val="20"/>
        </w:rPr>
        <w:t xml:space="preserve"> Data </w:t>
      </w:r>
      <w:proofErr w:type="spellStart"/>
      <w:r w:rsidRPr="00C05417">
        <w:rPr>
          <w:sz w:val="20"/>
          <w:szCs w:val="20"/>
        </w:rPr>
        <w:t>Protection</w:t>
      </w:r>
      <w:proofErr w:type="spellEnd"/>
      <w:r w:rsidRPr="00C05417">
        <w:rPr>
          <w:sz w:val="20"/>
          <w:szCs w:val="20"/>
        </w:rPr>
        <w:t xml:space="preserve"> </w:t>
      </w:r>
      <w:proofErr w:type="spellStart"/>
      <w:r w:rsidRPr="00C05417">
        <w:rPr>
          <w:sz w:val="20"/>
          <w:szCs w:val="20"/>
        </w:rPr>
        <w:t>Board</w:t>
      </w:r>
      <w:proofErr w:type="spellEnd"/>
      <w:r w:rsidRPr="00C05417">
        <w:rPr>
          <w:sz w:val="20"/>
          <w:szCs w:val="20"/>
        </w:rPr>
        <w:t xml:space="preserve"> (EDPB) sobre brechas de seguridad de datos personales”: </w:t>
      </w:r>
      <w:r w:rsidRPr="00C05417">
        <w:rPr>
          <w:i/>
          <w:sz w:val="20"/>
          <w:szCs w:val="20"/>
        </w:rPr>
        <w:t>Comunicaciones en propiedad industrial y derecho de la competencia</w:t>
      </w:r>
      <w:r w:rsidRPr="00C05417">
        <w:rPr>
          <w:sz w:val="20"/>
          <w:szCs w:val="20"/>
        </w:rPr>
        <w:t xml:space="preserve">, Nº. 95 (enero-abril), 2022, págs. 57-76. </w:t>
      </w:r>
    </w:p>
    <w:p w14:paraId="44AC1B54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7D9F53A6" w14:textId="77777777" w:rsidR="00C05417" w:rsidRP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Guilarte Gutiérrez</w:t>
      </w:r>
      <w:r w:rsidRPr="00C05417">
        <w:rPr>
          <w:sz w:val="20"/>
          <w:szCs w:val="20"/>
        </w:rPr>
        <w:t xml:space="preserve">, Alfonso. “Anteproyecto Ley de atención a los consumidores”: </w:t>
      </w:r>
      <w:r w:rsidRPr="00C05417">
        <w:rPr>
          <w:i/>
          <w:sz w:val="20"/>
          <w:szCs w:val="20"/>
        </w:rPr>
        <w:t>Revista de derecho bancario y bursátil</w:t>
      </w:r>
      <w:r w:rsidRPr="00C05417">
        <w:rPr>
          <w:sz w:val="20"/>
          <w:szCs w:val="20"/>
        </w:rPr>
        <w:t xml:space="preserve">, Año nº 40, Nº 164, 2021, págs. 399-402. </w:t>
      </w:r>
    </w:p>
    <w:p w14:paraId="64590F99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lastRenderedPageBreak/>
        <w:t>Guilarte Gutiérrez</w:t>
      </w:r>
      <w:r w:rsidRPr="00C05417">
        <w:rPr>
          <w:sz w:val="20"/>
          <w:szCs w:val="20"/>
        </w:rPr>
        <w:t xml:space="preserve">, Vicente. “La legalidad del IRPH: pasado y presente”: </w:t>
      </w:r>
      <w:r w:rsidRPr="00C05417">
        <w:rPr>
          <w:i/>
          <w:sz w:val="20"/>
          <w:szCs w:val="20"/>
        </w:rPr>
        <w:t>Revista Crítica de Derecho Inmobiliario</w:t>
      </w:r>
      <w:r w:rsidRPr="00C05417">
        <w:rPr>
          <w:sz w:val="20"/>
          <w:szCs w:val="20"/>
        </w:rPr>
        <w:t xml:space="preserve">, Año nº 98, Nº 790, 2022, págs. 715-749. </w:t>
      </w:r>
    </w:p>
    <w:p w14:paraId="19A149B3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47B84A02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Hernández Rivera</w:t>
      </w:r>
      <w:r w:rsidRPr="00C05417">
        <w:rPr>
          <w:sz w:val="20"/>
          <w:szCs w:val="20"/>
        </w:rPr>
        <w:t>, Carlos. “A propósito de la nueva Ley General de Comunicación Audiovisual. ¿Qué ocurre con los "</w:t>
      </w:r>
      <w:proofErr w:type="spellStart"/>
      <w:r w:rsidRPr="00C05417">
        <w:rPr>
          <w:sz w:val="20"/>
          <w:szCs w:val="20"/>
        </w:rPr>
        <w:t>influencers</w:t>
      </w:r>
      <w:proofErr w:type="spellEnd"/>
      <w:r w:rsidRPr="00C05417">
        <w:rPr>
          <w:sz w:val="20"/>
          <w:szCs w:val="20"/>
        </w:rPr>
        <w:t xml:space="preserve">"? El desfase entre la evolución tecnológica y nuestros procedimientos de elaboración de normas”: </w:t>
      </w:r>
      <w:r w:rsidRPr="00C05417">
        <w:rPr>
          <w:i/>
          <w:sz w:val="20"/>
          <w:szCs w:val="20"/>
        </w:rPr>
        <w:t>Comunicaciones en propiedad industrial y derecho de la competencia</w:t>
      </w:r>
      <w:r w:rsidRPr="00C05417">
        <w:rPr>
          <w:sz w:val="20"/>
          <w:szCs w:val="20"/>
        </w:rPr>
        <w:t xml:space="preserve">, Nº. 95 (enero-abril), 2022, págs. 45-56. </w:t>
      </w:r>
    </w:p>
    <w:p w14:paraId="5B9505E2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03FBF803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Iribarren Ribas</w:t>
      </w:r>
      <w:r w:rsidRPr="00C05417">
        <w:rPr>
          <w:sz w:val="20"/>
          <w:szCs w:val="20"/>
        </w:rPr>
        <w:t xml:space="preserve">, Jorge; </w:t>
      </w:r>
      <w:r w:rsidRPr="00C05417">
        <w:rPr>
          <w:caps/>
          <w:sz w:val="20"/>
          <w:szCs w:val="20"/>
        </w:rPr>
        <w:t>García Lozano</w:t>
      </w:r>
      <w:r w:rsidRPr="00C05417">
        <w:rPr>
          <w:sz w:val="20"/>
          <w:szCs w:val="20"/>
        </w:rPr>
        <w:t xml:space="preserve">, Lucía. “Sobre los nuevos pronunciamientos del IRPH: no todo está perdido para el consumidor”: </w:t>
      </w:r>
      <w:r w:rsidRPr="00C05417">
        <w:rPr>
          <w:i/>
          <w:sz w:val="20"/>
          <w:szCs w:val="20"/>
        </w:rPr>
        <w:t>Revista Jurídica sobre Consumidores y Usuarios</w:t>
      </w:r>
      <w:r w:rsidRPr="00C05417">
        <w:rPr>
          <w:sz w:val="20"/>
          <w:szCs w:val="20"/>
        </w:rPr>
        <w:t xml:space="preserve">, Núm. 11, págs. 64-77. </w:t>
      </w:r>
    </w:p>
    <w:p w14:paraId="7F0F8F3B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746630ED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Lacaba Sánchez</w:t>
      </w:r>
      <w:r w:rsidRPr="00C05417">
        <w:rPr>
          <w:sz w:val="20"/>
          <w:szCs w:val="20"/>
        </w:rPr>
        <w:t xml:space="preserve">, Fernando. “Hacia el control de transparencia en el contrato de seguro”: </w:t>
      </w:r>
      <w:r w:rsidRPr="00C05417">
        <w:rPr>
          <w:i/>
          <w:sz w:val="20"/>
          <w:szCs w:val="20"/>
        </w:rPr>
        <w:t xml:space="preserve">Revista de Derecho </w:t>
      </w:r>
      <w:proofErr w:type="spellStart"/>
      <w:r w:rsidRPr="00C05417">
        <w:rPr>
          <w:i/>
          <w:sz w:val="20"/>
          <w:szCs w:val="20"/>
        </w:rPr>
        <w:t>vLex</w:t>
      </w:r>
      <w:proofErr w:type="spellEnd"/>
      <w:r w:rsidRPr="00C05417">
        <w:rPr>
          <w:i/>
          <w:sz w:val="20"/>
          <w:szCs w:val="20"/>
        </w:rPr>
        <w:t xml:space="preserve">, </w:t>
      </w:r>
      <w:r w:rsidRPr="00C05417">
        <w:rPr>
          <w:sz w:val="20"/>
          <w:szCs w:val="20"/>
        </w:rPr>
        <w:t>Núm. 216, Mayo 2022.</w:t>
      </w:r>
    </w:p>
    <w:p w14:paraId="12F6CC5D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0F6FE9E3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Leciñena Ibarra</w:t>
      </w:r>
      <w:r w:rsidRPr="00C05417">
        <w:rPr>
          <w:sz w:val="20"/>
          <w:szCs w:val="20"/>
        </w:rPr>
        <w:t xml:space="preserve">, Ascensión. “Contratación con personas de edad avanzada: un reto para la autonomía decisoria en el marco del envejecimiento”: </w:t>
      </w:r>
      <w:r w:rsidRPr="00C05417">
        <w:rPr>
          <w:i/>
          <w:sz w:val="20"/>
          <w:szCs w:val="20"/>
        </w:rPr>
        <w:t>Diario La Ley</w:t>
      </w:r>
      <w:r w:rsidRPr="00C05417">
        <w:rPr>
          <w:sz w:val="20"/>
          <w:szCs w:val="20"/>
        </w:rPr>
        <w:t xml:space="preserve">, Nº 10063, 2022. </w:t>
      </w:r>
    </w:p>
    <w:p w14:paraId="210ABE10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536C719F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Llamas Pombo</w:t>
      </w:r>
      <w:r w:rsidRPr="00C05417">
        <w:rPr>
          <w:sz w:val="20"/>
          <w:szCs w:val="20"/>
        </w:rPr>
        <w:t xml:space="preserve">, Eugenio. “De la noción consumidor a la tutela del contratante débil”: </w:t>
      </w:r>
      <w:r w:rsidRPr="00C05417">
        <w:rPr>
          <w:i/>
          <w:sz w:val="20"/>
          <w:szCs w:val="20"/>
        </w:rPr>
        <w:t>Práctica derecho daños: Revista de Responsabilidad Civil y Seguros</w:t>
      </w:r>
      <w:r w:rsidRPr="00C05417">
        <w:rPr>
          <w:sz w:val="20"/>
          <w:szCs w:val="20"/>
        </w:rPr>
        <w:t xml:space="preserve">, Nº. 150, 2022, pág. 1. </w:t>
      </w:r>
    </w:p>
    <w:p w14:paraId="342A4115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024FB788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Magro Servet</w:t>
      </w:r>
      <w:r w:rsidRPr="00C05417">
        <w:rPr>
          <w:sz w:val="20"/>
          <w:szCs w:val="20"/>
        </w:rPr>
        <w:t xml:space="preserve">, Vicente. “El ofrecimiento del «transporte alternativo» dentro de la indemnización por daños causados en las cancelaciones de vuelos”: </w:t>
      </w:r>
      <w:r w:rsidRPr="00C05417">
        <w:rPr>
          <w:i/>
          <w:sz w:val="20"/>
          <w:szCs w:val="20"/>
        </w:rPr>
        <w:t>Práctica derecho daños: Revista de Responsabilidad Civil y Seguros</w:t>
      </w:r>
      <w:r w:rsidRPr="00C05417">
        <w:rPr>
          <w:sz w:val="20"/>
          <w:szCs w:val="20"/>
        </w:rPr>
        <w:t xml:space="preserve">, Nº. 150, 2022, pág. 2. </w:t>
      </w:r>
    </w:p>
    <w:p w14:paraId="540F913A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47409CEB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Manga Alonso</w:t>
      </w:r>
      <w:r w:rsidRPr="00C05417">
        <w:rPr>
          <w:sz w:val="20"/>
          <w:szCs w:val="20"/>
        </w:rPr>
        <w:t xml:space="preserve">, María Teresa. “Imposición de costas a la entidad bancaria tras allanamiento posterior a reclamación previa al RDL 1/2017: Comentario de la sentencia del Pleno del Tribunal Supremo Nº 36/2021, de 27 de enero de 2021”: </w:t>
      </w:r>
      <w:r w:rsidRPr="00C05417">
        <w:rPr>
          <w:i/>
          <w:sz w:val="20"/>
          <w:szCs w:val="20"/>
        </w:rPr>
        <w:t>Diario La Ley</w:t>
      </w:r>
      <w:r w:rsidRPr="00C05417">
        <w:rPr>
          <w:sz w:val="20"/>
          <w:szCs w:val="20"/>
        </w:rPr>
        <w:t xml:space="preserve">, Nº 10043, 2022. </w:t>
      </w:r>
    </w:p>
    <w:p w14:paraId="74434CA9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14D0CC47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Manzanares Bonilla</w:t>
      </w:r>
      <w:r w:rsidRPr="00C05417">
        <w:rPr>
          <w:sz w:val="20"/>
          <w:szCs w:val="20"/>
        </w:rPr>
        <w:t>, Silvia. “La montaña rusa de la “</w:t>
      </w:r>
      <w:proofErr w:type="spellStart"/>
      <w:r w:rsidRPr="00C05417">
        <w:rPr>
          <w:sz w:val="20"/>
          <w:szCs w:val="20"/>
        </w:rPr>
        <w:t>rebus</w:t>
      </w:r>
      <w:proofErr w:type="spellEnd"/>
      <w:r w:rsidRPr="00C05417">
        <w:rPr>
          <w:sz w:val="20"/>
          <w:szCs w:val="20"/>
        </w:rPr>
        <w:t xml:space="preserve"> sic </w:t>
      </w:r>
      <w:proofErr w:type="spellStart"/>
      <w:r w:rsidRPr="00C05417">
        <w:rPr>
          <w:sz w:val="20"/>
          <w:szCs w:val="20"/>
        </w:rPr>
        <w:t>stantibus</w:t>
      </w:r>
      <w:proofErr w:type="spellEnd"/>
      <w:r w:rsidRPr="00C05417">
        <w:rPr>
          <w:sz w:val="20"/>
          <w:szCs w:val="20"/>
        </w:rPr>
        <w:t xml:space="preserve">”, de nuevo a revisión”: </w:t>
      </w:r>
      <w:r w:rsidRPr="00C05417">
        <w:rPr>
          <w:i/>
          <w:sz w:val="20"/>
          <w:szCs w:val="20"/>
        </w:rPr>
        <w:t>Actualidad jurídica Aranzadi</w:t>
      </w:r>
      <w:r w:rsidRPr="00C05417">
        <w:rPr>
          <w:sz w:val="20"/>
          <w:szCs w:val="20"/>
        </w:rPr>
        <w:t xml:space="preserve">, Nº 984, 2022. </w:t>
      </w:r>
    </w:p>
    <w:p w14:paraId="54E0F37E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29396F4D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Marcos Fernández</w:t>
      </w:r>
      <w:r w:rsidRPr="00C05417">
        <w:rPr>
          <w:sz w:val="20"/>
          <w:szCs w:val="20"/>
        </w:rPr>
        <w:t xml:space="preserve">, Francisco. “Acciones indemnizatorias por la manipulación de los índices de tipos de interés en hipotecas referenciadas al EURIBOR”: </w:t>
      </w:r>
      <w:r w:rsidRPr="00C05417">
        <w:rPr>
          <w:i/>
          <w:sz w:val="20"/>
          <w:szCs w:val="20"/>
        </w:rPr>
        <w:t>Revista de derecho bancario y bursátil</w:t>
      </w:r>
      <w:r w:rsidRPr="00C05417">
        <w:rPr>
          <w:sz w:val="20"/>
          <w:szCs w:val="20"/>
        </w:rPr>
        <w:t xml:space="preserve">, Año nº 41, Nº 165, 2022, págs. 125-162. </w:t>
      </w:r>
    </w:p>
    <w:p w14:paraId="54EA0B9A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1B6F9698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sz w:val="20"/>
          <w:szCs w:val="20"/>
        </w:rPr>
        <w:t xml:space="preserve">MARIN LOPEZ, Manuel Jesús. “La doctrina del TJUE sobre el inicio del plazo de prescripción de la acción de restitución de los gastos hipotecarios: influencia del derecho alemán y efectos en el derecho español”: </w:t>
      </w:r>
      <w:r w:rsidRPr="00C05417">
        <w:rPr>
          <w:i/>
          <w:sz w:val="20"/>
          <w:szCs w:val="20"/>
        </w:rPr>
        <w:t>Revista CESCO de Derecho de Consumo</w:t>
      </w:r>
      <w:r w:rsidRPr="00C05417">
        <w:rPr>
          <w:sz w:val="20"/>
          <w:szCs w:val="20"/>
        </w:rPr>
        <w:t xml:space="preserve">, nº 42 (abril-junio) 2022, págs. 70-167. </w:t>
      </w:r>
    </w:p>
    <w:p w14:paraId="31CC0330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22F112D9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sz w:val="20"/>
          <w:szCs w:val="20"/>
        </w:rPr>
        <w:t xml:space="preserve">MARTINEZ ESPIN, Pascual. “Cuestiones prejudiciales sobre viajes combinados: información precontractual sobre el derecho a resolver el contrato en caso de circunstancias extraordinaria e inevitable y principio de congruencia”: </w:t>
      </w:r>
      <w:r w:rsidRPr="00C05417">
        <w:rPr>
          <w:i/>
          <w:sz w:val="20"/>
          <w:szCs w:val="20"/>
        </w:rPr>
        <w:t>Revista CESCO de Derecho de Consumo</w:t>
      </w:r>
      <w:r w:rsidRPr="00C05417">
        <w:rPr>
          <w:sz w:val="20"/>
          <w:szCs w:val="20"/>
        </w:rPr>
        <w:t xml:space="preserve">, nº 42 (abril-junio) 2022, págs. 53-69. </w:t>
      </w:r>
    </w:p>
    <w:p w14:paraId="7AA32605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156CC934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sz w:val="20"/>
          <w:szCs w:val="20"/>
        </w:rPr>
        <w:t xml:space="preserve">MARTINEZ ESPIN, Pascual. “Responsabilidad de los prestadores de servicios en línea por contenidos protegidos por la propiedad intelectual frente a libertad de expresión”: </w:t>
      </w:r>
      <w:r w:rsidRPr="00C05417">
        <w:rPr>
          <w:i/>
          <w:sz w:val="20"/>
          <w:szCs w:val="20"/>
        </w:rPr>
        <w:t>Revista CESCO de Derecho de Consumo</w:t>
      </w:r>
      <w:r w:rsidRPr="00C05417">
        <w:rPr>
          <w:sz w:val="20"/>
          <w:szCs w:val="20"/>
        </w:rPr>
        <w:t xml:space="preserve">, nº 42 (abril-junio) 2022, págs. 168-181. </w:t>
      </w:r>
    </w:p>
    <w:p w14:paraId="5FF688FF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096F967A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lastRenderedPageBreak/>
        <w:t>Mateo Villa</w:t>
      </w:r>
      <w:r w:rsidRPr="00C05417">
        <w:rPr>
          <w:sz w:val="20"/>
          <w:szCs w:val="20"/>
        </w:rPr>
        <w:t xml:space="preserve">, Iñigo. “Del artículo 103 bis de la Ley Hipotecaria: la conciliación tramitada por el registrador (Segunda parte)”: </w:t>
      </w:r>
      <w:r w:rsidRPr="00C05417">
        <w:rPr>
          <w:i/>
          <w:sz w:val="20"/>
          <w:szCs w:val="20"/>
        </w:rPr>
        <w:t>Revista Crítica de Derecho Inmobiliario</w:t>
      </w:r>
      <w:r w:rsidRPr="00C05417">
        <w:rPr>
          <w:sz w:val="20"/>
          <w:szCs w:val="20"/>
        </w:rPr>
        <w:t xml:space="preserve">, Año nº 98, Nº 790, 2022, págs. 751-813. </w:t>
      </w:r>
    </w:p>
    <w:p w14:paraId="0FF29028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18EC7DD8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Nieto Carol</w:t>
      </w:r>
      <w:r w:rsidRPr="00C05417">
        <w:rPr>
          <w:sz w:val="20"/>
          <w:szCs w:val="20"/>
        </w:rPr>
        <w:t xml:space="preserve">, Ubaldo. “La Tasa Anual Equivalente en los contratos de crédito inmobiliario”: </w:t>
      </w:r>
      <w:r w:rsidRPr="00C05417">
        <w:rPr>
          <w:i/>
          <w:sz w:val="20"/>
          <w:szCs w:val="20"/>
        </w:rPr>
        <w:t>Revista de derecho bancario y bursátil</w:t>
      </w:r>
      <w:r w:rsidRPr="00C05417">
        <w:rPr>
          <w:sz w:val="20"/>
          <w:szCs w:val="20"/>
        </w:rPr>
        <w:t xml:space="preserve">, Año nº 41, Nº 165, 2022, págs. 163-222. </w:t>
      </w:r>
    </w:p>
    <w:p w14:paraId="67910920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43A491CC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Orozco Pardo</w:t>
      </w:r>
      <w:r w:rsidRPr="00C05417">
        <w:rPr>
          <w:sz w:val="20"/>
          <w:szCs w:val="20"/>
        </w:rPr>
        <w:t xml:space="preserve">, Guillermo. “Pasado y presente de la protección de datos: breve reflexión”: </w:t>
      </w:r>
      <w:r w:rsidRPr="00C05417">
        <w:rPr>
          <w:i/>
          <w:sz w:val="20"/>
          <w:szCs w:val="20"/>
        </w:rPr>
        <w:t>La Ley privacidad</w:t>
      </w:r>
      <w:r w:rsidRPr="00C05417">
        <w:rPr>
          <w:sz w:val="20"/>
          <w:szCs w:val="20"/>
        </w:rPr>
        <w:t xml:space="preserve">, Nº. 11, 2022. </w:t>
      </w:r>
    </w:p>
    <w:p w14:paraId="4217EC1D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1B7A2025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Ortega Giménez</w:t>
      </w:r>
      <w:r w:rsidRPr="00C05417">
        <w:rPr>
          <w:sz w:val="20"/>
          <w:szCs w:val="20"/>
        </w:rPr>
        <w:t xml:space="preserve">, Alfonso. “Competencia judicial internacional en materia de contratos celebrados por los consumidores en el marco del Convenio de «Lugano II», a propósito de la STJUE de 30 septiembre de 2021, asunto C-296/20”: </w:t>
      </w:r>
      <w:r w:rsidRPr="00C05417">
        <w:rPr>
          <w:i/>
          <w:sz w:val="20"/>
          <w:szCs w:val="20"/>
        </w:rPr>
        <w:t>Diario La Ley</w:t>
      </w:r>
      <w:r w:rsidRPr="00C05417">
        <w:rPr>
          <w:sz w:val="20"/>
          <w:szCs w:val="20"/>
        </w:rPr>
        <w:t xml:space="preserve">, Nº 10071, 2022. </w:t>
      </w:r>
    </w:p>
    <w:p w14:paraId="2AC9E60F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372FE789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Pacheco Jiménez</w:t>
      </w:r>
      <w:r w:rsidRPr="00C05417">
        <w:rPr>
          <w:sz w:val="20"/>
          <w:szCs w:val="20"/>
        </w:rPr>
        <w:t>, M</w:t>
      </w:r>
      <w:proofErr w:type="gramStart"/>
      <w:r w:rsidRPr="00C05417">
        <w:rPr>
          <w:sz w:val="20"/>
          <w:szCs w:val="20"/>
        </w:rPr>
        <w:t>.ª</w:t>
      </w:r>
      <w:proofErr w:type="gramEnd"/>
      <w:r w:rsidRPr="00C05417">
        <w:rPr>
          <w:sz w:val="20"/>
          <w:szCs w:val="20"/>
        </w:rPr>
        <w:t xml:space="preserve"> Nieves. “De la digitalización de los pagos a los </w:t>
      </w:r>
      <w:proofErr w:type="spellStart"/>
      <w:r w:rsidRPr="00C05417">
        <w:rPr>
          <w:sz w:val="20"/>
          <w:szCs w:val="20"/>
        </w:rPr>
        <w:t>tokens</w:t>
      </w:r>
      <w:proofErr w:type="spellEnd"/>
      <w:r w:rsidRPr="00C05417">
        <w:rPr>
          <w:sz w:val="20"/>
          <w:szCs w:val="20"/>
        </w:rPr>
        <w:t xml:space="preserve"> del </w:t>
      </w:r>
      <w:proofErr w:type="spellStart"/>
      <w:r w:rsidRPr="00C05417">
        <w:rPr>
          <w:sz w:val="20"/>
          <w:szCs w:val="20"/>
        </w:rPr>
        <w:t>metaverso</w:t>
      </w:r>
      <w:proofErr w:type="spellEnd"/>
      <w:r w:rsidRPr="00C05417">
        <w:rPr>
          <w:sz w:val="20"/>
          <w:szCs w:val="20"/>
        </w:rPr>
        <w:t xml:space="preserve">”: </w:t>
      </w:r>
      <w:r w:rsidRPr="00C05417">
        <w:rPr>
          <w:i/>
          <w:sz w:val="20"/>
          <w:szCs w:val="20"/>
        </w:rPr>
        <w:t>La Ley mercantil</w:t>
      </w:r>
      <w:r w:rsidRPr="00C05417">
        <w:rPr>
          <w:sz w:val="20"/>
          <w:szCs w:val="20"/>
        </w:rPr>
        <w:t xml:space="preserve">, Nº. 91 (mayo), 2022. </w:t>
      </w:r>
    </w:p>
    <w:p w14:paraId="1E8B98E8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43D2402C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Ramos Herranz</w:t>
      </w:r>
      <w:r w:rsidRPr="00C05417">
        <w:rPr>
          <w:sz w:val="20"/>
          <w:szCs w:val="20"/>
        </w:rPr>
        <w:t xml:space="preserve">, Isabel. “La publicidad de juguetes y los menores de edad en la ley general de publicidad”: </w:t>
      </w:r>
      <w:r w:rsidRPr="00C05417">
        <w:rPr>
          <w:i/>
          <w:sz w:val="20"/>
          <w:szCs w:val="20"/>
        </w:rPr>
        <w:t>Revista de derecho privado</w:t>
      </w:r>
      <w:r w:rsidRPr="00C05417">
        <w:rPr>
          <w:sz w:val="20"/>
          <w:szCs w:val="20"/>
        </w:rPr>
        <w:t xml:space="preserve">, Año nº 106, Mes 2, 2022, págs. 3-20. </w:t>
      </w:r>
    </w:p>
    <w:p w14:paraId="6C75AC62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73F4A3CF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Ramos</w:t>
      </w:r>
      <w:r w:rsidRPr="00C05417">
        <w:rPr>
          <w:sz w:val="20"/>
          <w:szCs w:val="20"/>
        </w:rPr>
        <w:t xml:space="preserve">, Diego. “Realidad, </w:t>
      </w:r>
      <w:proofErr w:type="spellStart"/>
      <w:r w:rsidRPr="00C05417">
        <w:rPr>
          <w:sz w:val="20"/>
          <w:szCs w:val="20"/>
        </w:rPr>
        <w:t>Metaversos</w:t>
      </w:r>
      <w:proofErr w:type="spellEnd"/>
      <w:r w:rsidRPr="00C05417">
        <w:rPr>
          <w:sz w:val="20"/>
          <w:szCs w:val="20"/>
        </w:rPr>
        <w:t xml:space="preserve"> y Protección de Datos”: </w:t>
      </w:r>
      <w:r w:rsidRPr="00C05417">
        <w:rPr>
          <w:i/>
          <w:sz w:val="20"/>
          <w:szCs w:val="20"/>
        </w:rPr>
        <w:t>La Ley privacidad</w:t>
      </w:r>
      <w:r w:rsidRPr="00C05417">
        <w:rPr>
          <w:sz w:val="20"/>
          <w:szCs w:val="20"/>
        </w:rPr>
        <w:t xml:space="preserve">, Nº. 11, 2022. </w:t>
      </w:r>
    </w:p>
    <w:p w14:paraId="79631CF7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0B3D3583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sz w:val="20"/>
          <w:szCs w:val="20"/>
        </w:rPr>
        <w:t xml:space="preserve">REINHART SCHULLER, Robert. “Comentario a la nueva STS (367/2022 de 4 de mayo) en materia de créditos </w:t>
      </w:r>
      <w:proofErr w:type="spellStart"/>
      <w:r w:rsidRPr="00C05417">
        <w:rPr>
          <w:sz w:val="20"/>
          <w:szCs w:val="20"/>
        </w:rPr>
        <w:t>revolving</w:t>
      </w:r>
      <w:proofErr w:type="spellEnd"/>
      <w:r w:rsidRPr="00C05417">
        <w:rPr>
          <w:sz w:val="20"/>
          <w:szCs w:val="20"/>
        </w:rPr>
        <w:t xml:space="preserve"> ¿Ha habido cambio de doctrina?”: </w:t>
      </w:r>
      <w:r w:rsidRPr="00C05417">
        <w:rPr>
          <w:i/>
          <w:sz w:val="20"/>
          <w:szCs w:val="20"/>
        </w:rPr>
        <w:t>Revista CESCO de Derecho de Consumo</w:t>
      </w:r>
      <w:r w:rsidRPr="00C05417">
        <w:rPr>
          <w:sz w:val="20"/>
          <w:szCs w:val="20"/>
        </w:rPr>
        <w:t xml:space="preserve">, nº 42 (abril-junio) 2022, págs. 182-195. </w:t>
      </w:r>
    </w:p>
    <w:p w14:paraId="6A5B2930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463A9910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Rodríguez de Almeida</w:t>
      </w:r>
      <w:r w:rsidRPr="00C05417">
        <w:rPr>
          <w:sz w:val="20"/>
          <w:szCs w:val="20"/>
        </w:rPr>
        <w:t xml:space="preserve">, Mª </w:t>
      </w:r>
      <w:proofErr w:type="spellStart"/>
      <w:r w:rsidRPr="00C05417">
        <w:rPr>
          <w:sz w:val="20"/>
          <w:szCs w:val="20"/>
        </w:rPr>
        <w:t>Goñi</w:t>
      </w:r>
      <w:proofErr w:type="spellEnd"/>
      <w:r w:rsidRPr="00C05417">
        <w:rPr>
          <w:sz w:val="20"/>
          <w:szCs w:val="20"/>
        </w:rPr>
        <w:t xml:space="preserve">. “Sistema registral y </w:t>
      </w:r>
      <w:proofErr w:type="spellStart"/>
      <w:r w:rsidRPr="00C05417">
        <w:rPr>
          <w:sz w:val="20"/>
          <w:szCs w:val="20"/>
        </w:rPr>
        <w:t>blockchain</w:t>
      </w:r>
      <w:proofErr w:type="spellEnd"/>
      <w:r w:rsidRPr="00C05417">
        <w:rPr>
          <w:sz w:val="20"/>
          <w:szCs w:val="20"/>
        </w:rPr>
        <w:t xml:space="preserve">”: </w:t>
      </w:r>
      <w:r w:rsidRPr="00C05417">
        <w:rPr>
          <w:i/>
          <w:sz w:val="20"/>
          <w:szCs w:val="20"/>
        </w:rPr>
        <w:t>Revista Crítica de Derecho Inmobiliario</w:t>
      </w:r>
      <w:r w:rsidRPr="00C05417">
        <w:rPr>
          <w:sz w:val="20"/>
          <w:szCs w:val="20"/>
        </w:rPr>
        <w:t xml:space="preserve">, Año nº 98, Nº 790, 2022, págs. 1154-1165. </w:t>
      </w:r>
    </w:p>
    <w:p w14:paraId="46480136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510ED6AD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Sánchez Aristi</w:t>
      </w:r>
      <w:r w:rsidRPr="00C05417">
        <w:rPr>
          <w:sz w:val="20"/>
          <w:szCs w:val="20"/>
        </w:rPr>
        <w:t xml:space="preserve">, Rafael; </w:t>
      </w:r>
      <w:r w:rsidRPr="00C05417">
        <w:rPr>
          <w:caps/>
          <w:sz w:val="20"/>
          <w:szCs w:val="20"/>
        </w:rPr>
        <w:t>Oyarzabal Oyonarte</w:t>
      </w:r>
      <w:r w:rsidRPr="00C05417">
        <w:rPr>
          <w:sz w:val="20"/>
          <w:szCs w:val="20"/>
        </w:rPr>
        <w:t xml:space="preserve">, Nora. “Decadencia y caída del Texto Refundido de la Ley de Propiedad Intelectual: la transposición de la Directiva 2019/790 sobre derechos de autor en el mercado único digital por el Real Decreto-ley 24/2021, de 2 de noviembre”: </w:t>
      </w:r>
      <w:r w:rsidRPr="00C05417">
        <w:rPr>
          <w:i/>
          <w:sz w:val="20"/>
          <w:szCs w:val="20"/>
        </w:rPr>
        <w:t>Pe. i.: Revista de propiedad intelectual</w:t>
      </w:r>
      <w:r w:rsidRPr="00C05417">
        <w:rPr>
          <w:sz w:val="20"/>
          <w:szCs w:val="20"/>
        </w:rPr>
        <w:t xml:space="preserve">, ISSN 1576-3366, Nº 69, 2021, págs. 13-188. </w:t>
      </w:r>
    </w:p>
    <w:p w14:paraId="5363483C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414E78D9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Sánchez García</w:t>
      </w:r>
      <w:r w:rsidRPr="00C05417">
        <w:rPr>
          <w:sz w:val="20"/>
          <w:szCs w:val="20"/>
        </w:rPr>
        <w:t xml:space="preserve">, Jesús Mª. “La Sala 1ª del TS dicta la sentencia de 4 de mayo de 2022, precisando su doctrina jurisprudencial y zanja lo que debe considerarse por interés notablemente superior al normal del dinero en un crédito </w:t>
      </w:r>
      <w:proofErr w:type="spellStart"/>
      <w:r w:rsidRPr="00C05417">
        <w:rPr>
          <w:sz w:val="20"/>
          <w:szCs w:val="20"/>
        </w:rPr>
        <w:t>revolving</w:t>
      </w:r>
      <w:proofErr w:type="spellEnd"/>
      <w:r w:rsidRPr="00C05417">
        <w:rPr>
          <w:sz w:val="20"/>
          <w:szCs w:val="20"/>
        </w:rPr>
        <w:t xml:space="preserve">”: </w:t>
      </w:r>
      <w:r w:rsidRPr="00C05417">
        <w:rPr>
          <w:i/>
          <w:sz w:val="20"/>
          <w:szCs w:val="20"/>
        </w:rPr>
        <w:t xml:space="preserve">Revista de Derecho </w:t>
      </w:r>
      <w:proofErr w:type="spellStart"/>
      <w:r w:rsidRPr="00C05417">
        <w:rPr>
          <w:i/>
          <w:sz w:val="20"/>
          <w:szCs w:val="20"/>
        </w:rPr>
        <w:t>vLex</w:t>
      </w:r>
      <w:proofErr w:type="spellEnd"/>
      <w:r w:rsidRPr="00C05417">
        <w:rPr>
          <w:i/>
          <w:sz w:val="20"/>
          <w:szCs w:val="20"/>
        </w:rPr>
        <w:t xml:space="preserve">, </w:t>
      </w:r>
      <w:r w:rsidRPr="00C05417">
        <w:rPr>
          <w:sz w:val="20"/>
          <w:szCs w:val="20"/>
        </w:rPr>
        <w:t xml:space="preserve">Núm. 216, Mayo 2022. </w:t>
      </w:r>
    </w:p>
    <w:p w14:paraId="22D71AE9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7A7EFA0A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Sanchez</w:t>
      </w:r>
      <w:r w:rsidRPr="00C05417">
        <w:rPr>
          <w:sz w:val="20"/>
          <w:szCs w:val="20"/>
        </w:rPr>
        <w:t xml:space="preserve">, Jesús Mª; </w:t>
      </w:r>
      <w:r w:rsidRPr="00C05417">
        <w:rPr>
          <w:caps/>
          <w:sz w:val="20"/>
          <w:szCs w:val="20"/>
        </w:rPr>
        <w:t>Vallejo</w:t>
      </w:r>
      <w:r w:rsidRPr="00C05417">
        <w:rPr>
          <w:sz w:val="20"/>
          <w:szCs w:val="20"/>
        </w:rPr>
        <w:t xml:space="preserve">, Cristina. “¿Las sentencias números 42, 43 y 44 de 27 de enero de 2022 de la Sala 1ª del TS han fijado definitivamente doctrina vinculante sobre el IRPH?”: </w:t>
      </w:r>
      <w:r w:rsidRPr="00C05417">
        <w:rPr>
          <w:i/>
          <w:sz w:val="20"/>
          <w:szCs w:val="20"/>
        </w:rPr>
        <w:t>Revista Jurídica sobre Consumidores y Usuarios</w:t>
      </w:r>
      <w:r w:rsidRPr="00C05417">
        <w:rPr>
          <w:sz w:val="20"/>
          <w:szCs w:val="20"/>
        </w:rPr>
        <w:t xml:space="preserve">, Núm. 11, págs. 78-89. </w:t>
      </w:r>
    </w:p>
    <w:p w14:paraId="313032D0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744B5055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sz w:val="20"/>
          <w:szCs w:val="20"/>
        </w:rPr>
        <w:t xml:space="preserve">SANCHO BERGUA, José; NIETO SÁNCHEZ, Javier. “El tamaño de la letra. Cuando no se sabe cuánto miden 2.5 milímetros”: </w:t>
      </w:r>
      <w:r w:rsidRPr="00C05417">
        <w:rPr>
          <w:i/>
          <w:sz w:val="20"/>
          <w:szCs w:val="20"/>
        </w:rPr>
        <w:t>Revista CESCO de Derecho de Consumo</w:t>
      </w:r>
      <w:r w:rsidRPr="00C05417">
        <w:rPr>
          <w:sz w:val="20"/>
          <w:szCs w:val="20"/>
        </w:rPr>
        <w:t xml:space="preserve">, nº 42 (abril-junio) 2022, págs. 1-18. </w:t>
      </w:r>
    </w:p>
    <w:p w14:paraId="211A2B0F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0855D314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Santos Morón</w:t>
      </w:r>
      <w:r w:rsidRPr="00C05417">
        <w:rPr>
          <w:sz w:val="20"/>
          <w:szCs w:val="20"/>
        </w:rPr>
        <w:t xml:space="preserve">, María José. “Los contornos del Derecho al olvido en España. La aplicación por los tribunales españoles de la jurisprudencia europea”: </w:t>
      </w:r>
      <w:r w:rsidRPr="00C05417">
        <w:rPr>
          <w:i/>
          <w:sz w:val="20"/>
          <w:szCs w:val="20"/>
        </w:rPr>
        <w:t>Revista de Derecho Civil</w:t>
      </w:r>
      <w:r w:rsidRPr="00C05417">
        <w:rPr>
          <w:sz w:val="20"/>
          <w:szCs w:val="20"/>
        </w:rPr>
        <w:t xml:space="preserve">, Vol. 9, Nº. 2 (abril-junio), 2022, págs. 71-112. </w:t>
      </w:r>
    </w:p>
    <w:p w14:paraId="03F29B98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5F8F6607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lastRenderedPageBreak/>
        <w:t>Serrano Blanco</w:t>
      </w:r>
      <w:r w:rsidRPr="00C05417">
        <w:rPr>
          <w:sz w:val="20"/>
          <w:szCs w:val="20"/>
        </w:rPr>
        <w:t xml:space="preserve">, Iñigo. “La imprescriptibilidad de las acciones basadas en Usura”: </w:t>
      </w:r>
      <w:r w:rsidRPr="00C05417">
        <w:rPr>
          <w:i/>
          <w:sz w:val="20"/>
          <w:szCs w:val="20"/>
        </w:rPr>
        <w:t>Diario La Ley</w:t>
      </w:r>
      <w:r w:rsidRPr="00C05417">
        <w:rPr>
          <w:sz w:val="20"/>
          <w:szCs w:val="20"/>
        </w:rPr>
        <w:t>, Nº 10040, 2022.</w:t>
      </w:r>
    </w:p>
    <w:p w14:paraId="0D47D217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1B4A0A7D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Tapia Hermida</w:t>
      </w:r>
      <w:r w:rsidRPr="00C05417">
        <w:rPr>
          <w:sz w:val="20"/>
          <w:szCs w:val="20"/>
        </w:rPr>
        <w:t>, Alberto Javier. “</w:t>
      </w:r>
      <w:proofErr w:type="spellStart"/>
      <w:r w:rsidRPr="00C05417">
        <w:rPr>
          <w:sz w:val="20"/>
          <w:szCs w:val="20"/>
        </w:rPr>
        <w:t>Bitcoin</w:t>
      </w:r>
      <w:proofErr w:type="spellEnd"/>
      <w:r w:rsidRPr="00C05417">
        <w:rPr>
          <w:sz w:val="20"/>
          <w:szCs w:val="20"/>
        </w:rPr>
        <w:t xml:space="preserve">: su regulación como moneda de curso legal en el Salvador. Una primicia mundial”: </w:t>
      </w:r>
      <w:r w:rsidRPr="00C05417">
        <w:rPr>
          <w:i/>
          <w:sz w:val="20"/>
          <w:szCs w:val="20"/>
        </w:rPr>
        <w:t>Revista de derecho bancario y bursátil</w:t>
      </w:r>
      <w:r w:rsidRPr="00C05417">
        <w:rPr>
          <w:sz w:val="20"/>
          <w:szCs w:val="20"/>
        </w:rPr>
        <w:t xml:space="preserve">, Año nº 40, Nº 164, 2021, págs. 387-398. </w:t>
      </w:r>
    </w:p>
    <w:p w14:paraId="175374DB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02811F20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Tapia Hermida</w:t>
      </w:r>
      <w:r w:rsidRPr="00C05417">
        <w:rPr>
          <w:sz w:val="20"/>
          <w:szCs w:val="20"/>
        </w:rPr>
        <w:t xml:space="preserve">, Alberto Javier. “Las costas por honorarios de abogado en los litigios sobre cláusulas abusivas: Sentencia de la Sala Cuarta del TSJUE de 7 de abril de 2022”: </w:t>
      </w:r>
      <w:r w:rsidRPr="00C05417">
        <w:rPr>
          <w:i/>
          <w:sz w:val="20"/>
          <w:szCs w:val="20"/>
        </w:rPr>
        <w:t>Diario La Ley</w:t>
      </w:r>
      <w:r w:rsidRPr="00C05417">
        <w:rPr>
          <w:sz w:val="20"/>
          <w:szCs w:val="20"/>
        </w:rPr>
        <w:t xml:space="preserve">, Nº 10050, 2022. </w:t>
      </w:r>
    </w:p>
    <w:p w14:paraId="77B6A762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2E93CD91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Tapia Hermida</w:t>
      </w:r>
      <w:r w:rsidRPr="00C05417">
        <w:rPr>
          <w:sz w:val="20"/>
          <w:szCs w:val="20"/>
        </w:rPr>
        <w:t xml:space="preserve">, Alberto Javier. “Las costas por honorarios de abogado en los litigios sobre cláusulas abusivas: Sentencia de la sala Cuarta del TSJUE de 7 de abril de 2022”: </w:t>
      </w:r>
      <w:r w:rsidRPr="00C05417">
        <w:rPr>
          <w:i/>
          <w:sz w:val="20"/>
          <w:szCs w:val="20"/>
        </w:rPr>
        <w:t>Diario La Ley</w:t>
      </w:r>
      <w:r w:rsidRPr="00C05417">
        <w:rPr>
          <w:sz w:val="20"/>
          <w:szCs w:val="20"/>
        </w:rPr>
        <w:t xml:space="preserve">, ISSN 1989-6913, Nº 10053, 2022. </w:t>
      </w:r>
    </w:p>
    <w:p w14:paraId="354052CA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7741FD54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Thomàs Puig</w:t>
      </w:r>
      <w:r w:rsidRPr="00C05417">
        <w:rPr>
          <w:sz w:val="20"/>
          <w:szCs w:val="20"/>
        </w:rPr>
        <w:t xml:space="preserve">, Petra M. “Fianzas y avales públicos en el concurso del deudor garantizado”: </w:t>
      </w:r>
      <w:r w:rsidRPr="00C05417">
        <w:rPr>
          <w:i/>
          <w:sz w:val="20"/>
          <w:szCs w:val="20"/>
        </w:rPr>
        <w:t>La Ley mercantil</w:t>
      </w:r>
      <w:r w:rsidRPr="00C05417">
        <w:rPr>
          <w:sz w:val="20"/>
          <w:szCs w:val="20"/>
        </w:rPr>
        <w:t xml:space="preserve">, Nº. 90 (abril), 2022. </w:t>
      </w:r>
    </w:p>
    <w:p w14:paraId="7FB4D058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39A08590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Tuero González</w:t>
      </w:r>
      <w:r w:rsidRPr="00C05417">
        <w:rPr>
          <w:sz w:val="20"/>
          <w:szCs w:val="20"/>
        </w:rPr>
        <w:t xml:space="preserve">, Alejandro. “La intervención del Ministerio Fiscal en la impugnación de cláusulas bancarias”: </w:t>
      </w:r>
      <w:r w:rsidRPr="00C05417">
        <w:rPr>
          <w:i/>
          <w:sz w:val="20"/>
          <w:szCs w:val="20"/>
        </w:rPr>
        <w:t>Revista Jurídica sobre Consumidores y Usuarios</w:t>
      </w:r>
      <w:r w:rsidRPr="00C05417">
        <w:rPr>
          <w:sz w:val="20"/>
          <w:szCs w:val="20"/>
        </w:rPr>
        <w:t xml:space="preserve">, Núm. 11, págs. 90-104. </w:t>
      </w:r>
    </w:p>
    <w:p w14:paraId="56A9AC50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5E30BD80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Viedma Ansa</w:t>
      </w:r>
      <w:r w:rsidRPr="00C05417">
        <w:rPr>
          <w:sz w:val="20"/>
          <w:szCs w:val="20"/>
        </w:rPr>
        <w:t xml:space="preserve">, Marta. “La liberación del deudor en la cesión de créditos. El régimen navarro de la cesión de créditos tras su reforma por la Ley Foral 21\2019”: </w:t>
      </w:r>
      <w:r w:rsidRPr="00C05417">
        <w:rPr>
          <w:i/>
          <w:sz w:val="20"/>
          <w:szCs w:val="20"/>
        </w:rPr>
        <w:t>Revista de Derecho Civil</w:t>
      </w:r>
      <w:r w:rsidRPr="00C05417">
        <w:rPr>
          <w:sz w:val="20"/>
          <w:szCs w:val="20"/>
        </w:rPr>
        <w:t xml:space="preserve">, Vol. 9, Nº. 1, 2022, págs. 133-182. </w:t>
      </w:r>
    </w:p>
    <w:p w14:paraId="46446C14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0EE2CFB0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Vilasau Solana</w:t>
      </w:r>
      <w:r w:rsidRPr="00C05417">
        <w:rPr>
          <w:sz w:val="20"/>
          <w:szCs w:val="20"/>
        </w:rPr>
        <w:t xml:space="preserve">, </w:t>
      </w:r>
      <w:proofErr w:type="spellStart"/>
      <w:r w:rsidRPr="00C05417">
        <w:rPr>
          <w:sz w:val="20"/>
          <w:szCs w:val="20"/>
        </w:rPr>
        <w:t>Mònica</w:t>
      </w:r>
      <w:proofErr w:type="spellEnd"/>
      <w:r w:rsidRPr="00C05417">
        <w:rPr>
          <w:sz w:val="20"/>
          <w:szCs w:val="20"/>
        </w:rPr>
        <w:t xml:space="preserve">. “¿Los datos personales como contraprestación? La puerta abierta por la Directiva 2019/770 relativa a los contratos de suministro de contenidos y servicios digitales”: </w:t>
      </w:r>
      <w:r w:rsidRPr="00C05417">
        <w:rPr>
          <w:i/>
          <w:sz w:val="20"/>
          <w:szCs w:val="20"/>
        </w:rPr>
        <w:t>La Ley privacidad</w:t>
      </w:r>
      <w:r w:rsidRPr="00C05417">
        <w:rPr>
          <w:sz w:val="20"/>
          <w:szCs w:val="20"/>
        </w:rPr>
        <w:t xml:space="preserve">, Nº. 11, 2022. </w:t>
      </w:r>
    </w:p>
    <w:p w14:paraId="49F30E23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2E4653E7" w14:textId="77777777" w:rsid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Yuste de Ayala</w:t>
      </w:r>
      <w:r w:rsidRPr="00C05417">
        <w:rPr>
          <w:sz w:val="20"/>
          <w:szCs w:val="20"/>
        </w:rPr>
        <w:t xml:space="preserve">, Guillermo. “El régimen jurídico de la publicidad de los </w:t>
      </w:r>
      <w:proofErr w:type="spellStart"/>
      <w:r w:rsidRPr="00C05417">
        <w:rPr>
          <w:sz w:val="20"/>
          <w:szCs w:val="20"/>
        </w:rPr>
        <w:t>criptoactivos</w:t>
      </w:r>
      <w:proofErr w:type="spellEnd"/>
      <w:r w:rsidRPr="00C05417">
        <w:rPr>
          <w:sz w:val="20"/>
          <w:szCs w:val="20"/>
        </w:rPr>
        <w:t xml:space="preserve">”: </w:t>
      </w:r>
      <w:r w:rsidRPr="00C05417">
        <w:rPr>
          <w:i/>
          <w:sz w:val="20"/>
          <w:szCs w:val="20"/>
        </w:rPr>
        <w:t>Actualidad jurídica Aranzadi</w:t>
      </w:r>
      <w:r w:rsidRPr="00C05417">
        <w:rPr>
          <w:sz w:val="20"/>
          <w:szCs w:val="20"/>
        </w:rPr>
        <w:t xml:space="preserve">, Nº 983, 2022. </w:t>
      </w:r>
    </w:p>
    <w:p w14:paraId="0C722A83" w14:textId="77777777" w:rsidR="00C05417" w:rsidRPr="00C05417" w:rsidRDefault="00C05417" w:rsidP="00C05417">
      <w:pPr>
        <w:pStyle w:val="Prrafodelista"/>
        <w:ind w:left="360"/>
        <w:jc w:val="both"/>
        <w:rPr>
          <w:sz w:val="20"/>
          <w:szCs w:val="20"/>
        </w:rPr>
      </w:pPr>
    </w:p>
    <w:p w14:paraId="47897B1E" w14:textId="7D1C18F7" w:rsidR="00C05417" w:rsidRPr="00C05417" w:rsidRDefault="00C05417" w:rsidP="00C05417">
      <w:pPr>
        <w:pStyle w:val="Prrafodelista"/>
        <w:numPr>
          <w:ilvl w:val="0"/>
          <w:numId w:val="8"/>
        </w:numPr>
        <w:jc w:val="both"/>
        <w:rPr>
          <w:sz w:val="20"/>
          <w:szCs w:val="20"/>
        </w:rPr>
      </w:pPr>
      <w:r w:rsidRPr="00C05417">
        <w:rPr>
          <w:caps/>
          <w:sz w:val="20"/>
          <w:szCs w:val="20"/>
        </w:rPr>
        <w:t>Zubiri de Salinas</w:t>
      </w:r>
      <w:r w:rsidRPr="00C05417">
        <w:rPr>
          <w:sz w:val="20"/>
          <w:szCs w:val="20"/>
        </w:rPr>
        <w:t xml:space="preserve">, Mercedes. “De nuevo a vueltas acerca de la responsabilidad de organizador y minorista en los viajes combinados”: </w:t>
      </w:r>
      <w:r w:rsidRPr="00C05417">
        <w:rPr>
          <w:i/>
          <w:sz w:val="20"/>
          <w:szCs w:val="20"/>
        </w:rPr>
        <w:t>Diario La Ley</w:t>
      </w:r>
      <w:r w:rsidRPr="00C05417">
        <w:rPr>
          <w:sz w:val="20"/>
          <w:szCs w:val="20"/>
        </w:rPr>
        <w:t xml:space="preserve">, Nº 10051, 2022. </w:t>
      </w:r>
    </w:p>
    <w:p w14:paraId="2A79D788" w14:textId="77777777" w:rsidR="00567AAA" w:rsidRPr="00567AAA" w:rsidRDefault="00567AAA" w:rsidP="00567AAA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781716A" w14:textId="77777777" w:rsidR="00B44604" w:rsidRPr="00567AAA" w:rsidRDefault="00B44604" w:rsidP="00CE63DC">
      <w:pPr>
        <w:rPr>
          <w:rFonts w:cstheme="minorHAnsi"/>
          <w:sz w:val="20"/>
          <w:szCs w:val="20"/>
        </w:rPr>
      </w:pPr>
    </w:p>
    <w:p w14:paraId="3BE8FA80" w14:textId="77777777" w:rsidR="00CE63DC" w:rsidRDefault="00CE63DC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0E267EFC" w14:textId="77777777" w:rsidR="00567AAA" w:rsidRDefault="00567AAA" w:rsidP="009C07E8">
      <w:pPr>
        <w:spacing w:beforeLines="100" w:before="240" w:afterLines="100" w:after="240"/>
        <w:rPr>
          <w:sz w:val="16"/>
          <w:szCs w:val="16"/>
        </w:rPr>
      </w:pPr>
    </w:p>
    <w:p w14:paraId="26F19A46" w14:textId="77777777" w:rsidR="00C05417" w:rsidRDefault="00C05417" w:rsidP="009C07E8">
      <w:pPr>
        <w:spacing w:beforeLines="100" w:before="240" w:afterLines="100" w:after="240"/>
        <w:rPr>
          <w:sz w:val="16"/>
          <w:szCs w:val="16"/>
        </w:rPr>
      </w:pPr>
      <w:bookmarkStart w:id="0" w:name="_GoBack"/>
      <w:bookmarkEnd w:id="0"/>
    </w:p>
    <w:p w14:paraId="5B3BB757" w14:textId="77777777" w:rsidR="009C07E8" w:rsidRDefault="009C07E8" w:rsidP="009C07E8">
      <w:pPr>
        <w:spacing w:beforeLines="100" w:before="240" w:afterLines="100" w:after="240"/>
        <w:rPr>
          <w:sz w:val="16"/>
          <w:szCs w:val="16"/>
        </w:rPr>
      </w:pPr>
    </w:p>
    <w:p w14:paraId="75E2506D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06345F5C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6774DC87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73DED83D" w14:textId="77777777" w:rsidR="003F49BB" w:rsidRPr="003F49BB" w:rsidRDefault="003F49BB" w:rsidP="003F49BB">
      <w:pPr>
        <w:spacing w:beforeLines="100" w:before="240" w:afterLines="100" w:after="240"/>
        <w:jc w:val="center"/>
        <w:rPr>
          <w:sz w:val="16"/>
          <w:szCs w:val="16"/>
        </w:rPr>
      </w:pPr>
      <w:r w:rsidRPr="003F49BB">
        <w:rPr>
          <w:sz w:val="16"/>
          <w:szCs w:val="16"/>
        </w:rPr>
        <w:t>Si algún autor, profesional o investigador conoce la publicación de algún trabajo sobre Derecho y consumo, puede facilitarnos la referencia para publicarlo dentro del presente in</w:t>
      </w:r>
      <w:r>
        <w:rPr>
          <w:sz w:val="16"/>
          <w:szCs w:val="16"/>
        </w:rPr>
        <w:t xml:space="preserve">forme, </w:t>
      </w:r>
      <w:r w:rsidRPr="003F49BB">
        <w:rPr>
          <w:sz w:val="16"/>
          <w:szCs w:val="16"/>
        </w:rPr>
        <w:t>en el periodo correspondiente.</w:t>
      </w:r>
    </w:p>
    <w:sectPr w:rsidR="003F49BB" w:rsidRPr="003F49BB" w:rsidSect="000562B1">
      <w:footerReference w:type="default" r:id="rId11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F139A" w14:textId="77777777" w:rsidR="005C56E6" w:rsidRDefault="005C56E6" w:rsidP="000562B1">
      <w:pPr>
        <w:spacing w:after="0" w:line="240" w:lineRule="auto"/>
      </w:pPr>
      <w:r>
        <w:separator/>
      </w:r>
    </w:p>
  </w:endnote>
  <w:endnote w:type="continuationSeparator" w:id="0">
    <w:p w14:paraId="38E24CCE" w14:textId="77777777" w:rsidR="005C56E6" w:rsidRDefault="005C56E6" w:rsidP="0005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363187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63290595" w14:textId="77777777" w:rsidR="00827C04" w:rsidRPr="000562B1" w:rsidRDefault="00827C04">
        <w:pPr>
          <w:pStyle w:val="Piedepgina"/>
          <w:jc w:val="right"/>
          <w:rPr>
            <w:rFonts w:cstheme="minorHAnsi"/>
          </w:rPr>
        </w:pPr>
        <w:r w:rsidRPr="000562B1">
          <w:rPr>
            <w:rFonts w:cstheme="minorHAnsi"/>
          </w:rPr>
          <w:fldChar w:fldCharType="begin"/>
        </w:r>
        <w:r w:rsidRPr="000562B1">
          <w:rPr>
            <w:rFonts w:cstheme="minorHAnsi"/>
          </w:rPr>
          <w:instrText>PAGE   \* MERGEFORMAT</w:instrText>
        </w:r>
        <w:r w:rsidRPr="000562B1">
          <w:rPr>
            <w:rFonts w:cstheme="minorHAnsi"/>
          </w:rPr>
          <w:fldChar w:fldCharType="separate"/>
        </w:r>
        <w:r w:rsidR="00C05417">
          <w:rPr>
            <w:rFonts w:cstheme="minorHAnsi"/>
            <w:noProof/>
          </w:rPr>
          <w:t>5</w:t>
        </w:r>
        <w:r w:rsidRPr="000562B1">
          <w:rPr>
            <w:rFonts w:cstheme="minorHAnsi"/>
          </w:rPr>
          <w:fldChar w:fldCharType="end"/>
        </w:r>
      </w:p>
    </w:sdtContent>
  </w:sdt>
  <w:p w14:paraId="37C823B9" w14:textId="77777777" w:rsidR="00827C04" w:rsidRDefault="00827C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C03E58" w14:textId="77777777" w:rsidR="005C56E6" w:rsidRDefault="005C56E6" w:rsidP="000562B1">
      <w:pPr>
        <w:spacing w:after="0" w:line="240" w:lineRule="auto"/>
      </w:pPr>
      <w:r>
        <w:separator/>
      </w:r>
    </w:p>
  </w:footnote>
  <w:footnote w:type="continuationSeparator" w:id="0">
    <w:p w14:paraId="7E8690BD" w14:textId="77777777" w:rsidR="005C56E6" w:rsidRDefault="005C56E6" w:rsidP="00056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5AE"/>
    <w:multiLevelType w:val="hybridMultilevel"/>
    <w:tmpl w:val="F6222D9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B0E10"/>
    <w:multiLevelType w:val="hybridMultilevel"/>
    <w:tmpl w:val="4638664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397483"/>
    <w:multiLevelType w:val="hybridMultilevel"/>
    <w:tmpl w:val="2014F25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75E7F"/>
    <w:multiLevelType w:val="hybridMultilevel"/>
    <w:tmpl w:val="08249B3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54DE8"/>
    <w:multiLevelType w:val="hybridMultilevel"/>
    <w:tmpl w:val="1266592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4075B9"/>
    <w:multiLevelType w:val="hybridMultilevel"/>
    <w:tmpl w:val="55201CA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995F83"/>
    <w:multiLevelType w:val="hybridMultilevel"/>
    <w:tmpl w:val="CB32DB9E"/>
    <w:lvl w:ilvl="0" w:tplc="1D1411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A1A64"/>
    <w:multiLevelType w:val="hybridMultilevel"/>
    <w:tmpl w:val="370E71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CB4682"/>
    <w:multiLevelType w:val="hybridMultilevel"/>
    <w:tmpl w:val="F922407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D6"/>
    <w:rsid w:val="00020F4E"/>
    <w:rsid w:val="000562B1"/>
    <w:rsid w:val="0012310A"/>
    <w:rsid w:val="001342BF"/>
    <w:rsid w:val="0017035A"/>
    <w:rsid w:val="00181687"/>
    <w:rsid w:val="001A3DC8"/>
    <w:rsid w:val="001B39D6"/>
    <w:rsid w:val="001E467C"/>
    <w:rsid w:val="00226C2F"/>
    <w:rsid w:val="002321F9"/>
    <w:rsid w:val="0024425F"/>
    <w:rsid w:val="002920B4"/>
    <w:rsid w:val="002C3D5D"/>
    <w:rsid w:val="00326C94"/>
    <w:rsid w:val="003662F8"/>
    <w:rsid w:val="003A1A16"/>
    <w:rsid w:val="003C79EE"/>
    <w:rsid w:val="003C7E66"/>
    <w:rsid w:val="003E66AA"/>
    <w:rsid w:val="003F49BB"/>
    <w:rsid w:val="003F4BCA"/>
    <w:rsid w:val="00410FE1"/>
    <w:rsid w:val="004158D3"/>
    <w:rsid w:val="00467E42"/>
    <w:rsid w:val="00474518"/>
    <w:rsid w:val="004C5AA1"/>
    <w:rsid w:val="004D794A"/>
    <w:rsid w:val="0051297C"/>
    <w:rsid w:val="005524C4"/>
    <w:rsid w:val="005527B0"/>
    <w:rsid w:val="00567AAA"/>
    <w:rsid w:val="005B7019"/>
    <w:rsid w:val="005C56E6"/>
    <w:rsid w:val="005E340F"/>
    <w:rsid w:val="005F0DEC"/>
    <w:rsid w:val="005F1DFB"/>
    <w:rsid w:val="005F3752"/>
    <w:rsid w:val="00633110"/>
    <w:rsid w:val="00656A1A"/>
    <w:rsid w:val="00673A7C"/>
    <w:rsid w:val="006B172C"/>
    <w:rsid w:val="007834BC"/>
    <w:rsid w:val="007C2FE3"/>
    <w:rsid w:val="00816AAB"/>
    <w:rsid w:val="008251E3"/>
    <w:rsid w:val="00827C04"/>
    <w:rsid w:val="00846866"/>
    <w:rsid w:val="008D2AC3"/>
    <w:rsid w:val="008D6849"/>
    <w:rsid w:val="00916F83"/>
    <w:rsid w:val="00923CBC"/>
    <w:rsid w:val="0093649B"/>
    <w:rsid w:val="009432D4"/>
    <w:rsid w:val="00952BF5"/>
    <w:rsid w:val="009C07E8"/>
    <w:rsid w:val="009E7932"/>
    <w:rsid w:val="00A00862"/>
    <w:rsid w:val="00A178D6"/>
    <w:rsid w:val="00A21DDE"/>
    <w:rsid w:val="00A4262A"/>
    <w:rsid w:val="00A535EC"/>
    <w:rsid w:val="00A95CE0"/>
    <w:rsid w:val="00B00158"/>
    <w:rsid w:val="00B03532"/>
    <w:rsid w:val="00B065EF"/>
    <w:rsid w:val="00B40032"/>
    <w:rsid w:val="00B42623"/>
    <w:rsid w:val="00B44604"/>
    <w:rsid w:val="00B55B74"/>
    <w:rsid w:val="00B917BF"/>
    <w:rsid w:val="00BE3615"/>
    <w:rsid w:val="00C05417"/>
    <w:rsid w:val="00C41A52"/>
    <w:rsid w:val="00C45C39"/>
    <w:rsid w:val="00C660D0"/>
    <w:rsid w:val="00C67BF4"/>
    <w:rsid w:val="00C67C8B"/>
    <w:rsid w:val="00C73ED8"/>
    <w:rsid w:val="00C943B2"/>
    <w:rsid w:val="00C97832"/>
    <w:rsid w:val="00CB0586"/>
    <w:rsid w:val="00CE63DC"/>
    <w:rsid w:val="00D364FB"/>
    <w:rsid w:val="00D37249"/>
    <w:rsid w:val="00D827B7"/>
    <w:rsid w:val="00DA30E6"/>
    <w:rsid w:val="00DC326F"/>
    <w:rsid w:val="00E37172"/>
    <w:rsid w:val="00E53C19"/>
    <w:rsid w:val="00E618E3"/>
    <w:rsid w:val="00E7533D"/>
    <w:rsid w:val="00E843AB"/>
    <w:rsid w:val="00E86324"/>
    <w:rsid w:val="00EE05FD"/>
    <w:rsid w:val="00FA6DED"/>
    <w:rsid w:val="00FD741E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F9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EBAF6-53F9-4DE7-B812-9834F8D87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1996</Words>
  <Characters>10982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BASTANTE GONZALEZ</dc:creator>
  <cp:lastModifiedBy>JESUS BASTANTE GONZALEZ</cp:lastModifiedBy>
  <cp:revision>2</cp:revision>
  <cp:lastPrinted>2022-04-06T09:16:00Z</cp:lastPrinted>
  <dcterms:created xsi:type="dcterms:W3CDTF">2022-07-15T11:18:00Z</dcterms:created>
  <dcterms:modified xsi:type="dcterms:W3CDTF">2022-07-15T11:18:00Z</dcterms:modified>
</cp:coreProperties>
</file>