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09F0C43D">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860" cy="10708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2997C5E5" w:rsidR="00D37249" w:rsidRDefault="000E1594"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7F0903D5">
                <wp:simplePos x="0" y="0"/>
                <wp:positionH relativeFrom="column">
                  <wp:posOffset>-697865</wp:posOffset>
                </wp:positionH>
                <wp:positionV relativeFrom="paragraph">
                  <wp:posOffset>432958</wp:posOffset>
                </wp:positionV>
                <wp:extent cx="6236970" cy="5117465"/>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6236970" cy="511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0ED6F592" w:rsidR="00101C22" w:rsidRPr="0085768E" w:rsidRDefault="009226D2">
                            <w:pPr>
                              <w:rPr>
                                <w:b/>
                                <w:color w:val="FFFFFF" w:themeColor="background1"/>
                                <w:sz w:val="36"/>
                                <w:szCs w:val="36"/>
                              </w:rPr>
                            </w:pPr>
                            <w:r>
                              <w:rPr>
                                <w:b/>
                                <w:color w:val="FFFFFF" w:themeColor="background1"/>
                                <w:sz w:val="36"/>
                                <w:szCs w:val="36"/>
                              </w:rPr>
                              <w:t>Julio a septiembre</w:t>
                            </w:r>
                            <w:r w:rsidR="007831A3">
                              <w:rPr>
                                <w:b/>
                                <w:color w:val="FFFFFF" w:themeColor="background1"/>
                                <w:sz w:val="36"/>
                                <w:szCs w:val="36"/>
                              </w:rPr>
                              <w:t xml:space="preserve"> de 2022</w:t>
                            </w:r>
                          </w:p>
                          <w:p w14:paraId="2EB7BD8F" w14:textId="77777777" w:rsidR="00101C22" w:rsidRPr="0085768E" w:rsidRDefault="00101C22">
                            <w:pPr>
                              <w:rPr>
                                <w:b/>
                                <w:color w:val="FFFFFF" w:themeColor="background1"/>
                                <w:sz w:val="36"/>
                                <w:szCs w:val="36"/>
                              </w:rPr>
                            </w:pPr>
                          </w:p>
                          <w:p w14:paraId="59EFE686" w14:textId="528E2DC0"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944EC3">
                              <w:rPr>
                                <w:b/>
                                <w:color w:val="FFFFFF" w:themeColor="background1"/>
                                <w:sz w:val="72"/>
                                <w:szCs w:val="72"/>
                              </w:rPr>
                              <w:t>.</w:t>
                            </w:r>
                            <w:r>
                              <w:rPr>
                                <w:b/>
                                <w:color w:val="FFFFFF" w:themeColor="background1"/>
                                <w:sz w:val="72"/>
                                <w:szCs w:val="72"/>
                              </w:rPr>
                              <w:t xml:space="preserve">º </w:t>
                            </w:r>
                            <w:r w:rsidR="002B2E72">
                              <w:rPr>
                                <w:b/>
                                <w:color w:val="FFFFFF" w:themeColor="background1"/>
                                <w:sz w:val="72"/>
                                <w:szCs w:val="72"/>
                              </w:rPr>
                              <w:t>7</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37BA1259" w14:textId="785EBEF7" w:rsidR="00101C22" w:rsidRDefault="00101C22" w:rsidP="005F1DFB">
                            <w:pPr>
                              <w:rPr>
                                <w:b/>
                              </w:rPr>
                            </w:pPr>
                          </w:p>
                          <w:p w14:paraId="65D0F361" w14:textId="77777777" w:rsidR="00101C22" w:rsidRPr="0085768E"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45479B29" w:rsidR="00101C22" w:rsidRPr="0085768E" w:rsidRDefault="00101C22" w:rsidP="005F1DFB">
                            <w:pPr>
                              <w:rPr>
                                <w:sz w:val="20"/>
                                <w:szCs w:val="20"/>
                              </w:rPr>
                            </w:pPr>
                            <w:r w:rsidRPr="0085768E">
                              <w:rPr>
                                <w:sz w:val="20"/>
                                <w:szCs w:val="20"/>
                              </w:rPr>
                              <w:t>Prof</w:t>
                            </w:r>
                            <w:r>
                              <w:rPr>
                                <w:sz w:val="20"/>
                                <w:szCs w:val="20"/>
                              </w:rPr>
                              <w:t>.ª</w:t>
                            </w:r>
                            <w:r w:rsidRPr="0085768E">
                              <w:rPr>
                                <w:sz w:val="20"/>
                                <w:szCs w:val="20"/>
                              </w:rPr>
                              <w:t xml:space="preserve"> Ayudante Doctor</w:t>
                            </w:r>
                            <w:r>
                              <w:rPr>
                                <w:sz w:val="20"/>
                                <w:szCs w:val="20"/>
                              </w:rPr>
                              <w:t>a</w:t>
                            </w:r>
                            <w:r w:rsidR="005B57B6">
                              <w:rPr>
                                <w:sz w:val="20"/>
                                <w:szCs w:val="20"/>
                              </w:rPr>
                              <w:t xml:space="preserve"> (Contratada Doctora </w:t>
                            </w:r>
                            <w:proofErr w:type="spellStart"/>
                            <w:r w:rsidR="005B57B6">
                              <w:rPr>
                                <w:sz w:val="20"/>
                                <w:szCs w:val="20"/>
                              </w:rPr>
                              <w:t>acred</w:t>
                            </w:r>
                            <w:proofErr w:type="spellEnd"/>
                            <w:r w:rsidR="005B57B6">
                              <w:rPr>
                                <w:sz w:val="20"/>
                                <w:szCs w:val="20"/>
                              </w:rPr>
                              <w:t>.)</w:t>
                            </w:r>
                            <w:r>
                              <w:rPr>
                                <w:sz w:val="20"/>
                                <w:szCs w:val="20"/>
                              </w:rPr>
                              <w:t xml:space="preserve"> </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D715D" id="_x0000_t202" coordsize="21600,21600" o:spt="202" path="m,l,21600r21600,l21600,xe">
                <v:stroke joinstyle="miter"/>
                <v:path gradientshapeok="t" o:connecttype="rect"/>
              </v:shapetype>
              <v:shape id="4 Cuadro de texto" o:spid="_x0000_s1026" type="#_x0000_t202" style="position:absolute;left:0;text-align:left;margin-left:-54.95pt;margin-top:34.1pt;width:491.1pt;height:40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" filled="f" stroked="f" strokeweight=".5pt">
                <v:textbox>
                  <w:txbxContent>
                    <w:p w14:paraId="4D436CF4" w14:textId="0ED6F592" w:rsidR="00101C22" w:rsidRPr="0085768E" w:rsidRDefault="009226D2">
                      <w:pPr>
                        <w:rPr>
                          <w:b/>
                          <w:color w:val="FFFFFF" w:themeColor="background1"/>
                          <w:sz w:val="36"/>
                          <w:szCs w:val="36"/>
                        </w:rPr>
                      </w:pPr>
                      <w:r>
                        <w:rPr>
                          <w:b/>
                          <w:color w:val="FFFFFF" w:themeColor="background1"/>
                          <w:sz w:val="36"/>
                          <w:szCs w:val="36"/>
                        </w:rPr>
                        <w:t>Julio a septiembre</w:t>
                      </w:r>
                      <w:r w:rsidR="007831A3">
                        <w:rPr>
                          <w:b/>
                          <w:color w:val="FFFFFF" w:themeColor="background1"/>
                          <w:sz w:val="36"/>
                          <w:szCs w:val="36"/>
                        </w:rPr>
                        <w:t xml:space="preserve"> de 2022</w:t>
                      </w:r>
                    </w:p>
                    <w:p w14:paraId="2EB7BD8F" w14:textId="77777777" w:rsidR="00101C22" w:rsidRPr="0085768E" w:rsidRDefault="00101C22">
                      <w:pPr>
                        <w:rPr>
                          <w:b/>
                          <w:color w:val="FFFFFF" w:themeColor="background1"/>
                          <w:sz w:val="36"/>
                          <w:szCs w:val="36"/>
                        </w:rPr>
                      </w:pPr>
                    </w:p>
                    <w:p w14:paraId="59EFE686" w14:textId="528E2DC0"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944EC3">
                        <w:rPr>
                          <w:b/>
                          <w:color w:val="FFFFFF" w:themeColor="background1"/>
                          <w:sz w:val="72"/>
                          <w:szCs w:val="72"/>
                        </w:rPr>
                        <w:t>.</w:t>
                      </w:r>
                      <w:r>
                        <w:rPr>
                          <w:b/>
                          <w:color w:val="FFFFFF" w:themeColor="background1"/>
                          <w:sz w:val="72"/>
                          <w:szCs w:val="72"/>
                        </w:rPr>
                        <w:t xml:space="preserve">º </w:t>
                      </w:r>
                      <w:r w:rsidR="002B2E72">
                        <w:rPr>
                          <w:b/>
                          <w:color w:val="FFFFFF" w:themeColor="background1"/>
                          <w:sz w:val="72"/>
                          <w:szCs w:val="72"/>
                        </w:rPr>
                        <w:t>7</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37BA1259" w14:textId="785EBEF7" w:rsidR="00101C22" w:rsidRDefault="00101C22" w:rsidP="005F1DFB">
                      <w:pPr>
                        <w:rPr>
                          <w:b/>
                        </w:rPr>
                      </w:pPr>
                    </w:p>
                    <w:p w14:paraId="65D0F361" w14:textId="77777777" w:rsidR="00101C22" w:rsidRPr="0085768E"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45479B29" w:rsidR="00101C22" w:rsidRPr="0085768E" w:rsidRDefault="00101C22" w:rsidP="005F1DFB">
                      <w:pPr>
                        <w:rPr>
                          <w:sz w:val="20"/>
                          <w:szCs w:val="20"/>
                        </w:rPr>
                      </w:pPr>
                      <w:r w:rsidRPr="0085768E">
                        <w:rPr>
                          <w:sz w:val="20"/>
                          <w:szCs w:val="20"/>
                        </w:rPr>
                        <w:t>Prof</w:t>
                      </w:r>
                      <w:r>
                        <w:rPr>
                          <w:sz w:val="20"/>
                          <w:szCs w:val="20"/>
                        </w:rPr>
                        <w:t>.ª</w:t>
                      </w:r>
                      <w:r w:rsidRPr="0085768E">
                        <w:rPr>
                          <w:sz w:val="20"/>
                          <w:szCs w:val="20"/>
                        </w:rPr>
                        <w:t xml:space="preserve"> Ayudante Doctor</w:t>
                      </w:r>
                      <w:r>
                        <w:rPr>
                          <w:sz w:val="20"/>
                          <w:szCs w:val="20"/>
                        </w:rPr>
                        <w:t>a</w:t>
                      </w:r>
                      <w:r w:rsidR="005B57B6">
                        <w:rPr>
                          <w:sz w:val="20"/>
                          <w:szCs w:val="20"/>
                        </w:rPr>
                        <w:t xml:space="preserve"> (Contratada Doctora </w:t>
                      </w:r>
                      <w:proofErr w:type="spellStart"/>
                      <w:r w:rsidR="005B57B6">
                        <w:rPr>
                          <w:sz w:val="20"/>
                          <w:szCs w:val="20"/>
                        </w:rPr>
                        <w:t>acred</w:t>
                      </w:r>
                      <w:proofErr w:type="spellEnd"/>
                      <w:r w:rsidR="005B57B6">
                        <w:rPr>
                          <w:sz w:val="20"/>
                          <w:szCs w:val="20"/>
                        </w:rPr>
                        <w:t>.)</w:t>
                      </w:r>
                      <w:r>
                        <w:rPr>
                          <w:sz w:val="20"/>
                          <w:szCs w:val="20"/>
                        </w:rPr>
                        <w:t xml:space="preserve"> </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v:textbox>
              </v:shape>
            </w:pict>
          </mc:Fallback>
        </mc:AlternateContent>
      </w:r>
    </w:p>
    <w:p w14:paraId="31E2C271" w14:textId="30D2FF45" w:rsidR="00D37249" w:rsidRDefault="00D37249" w:rsidP="00656A1A">
      <w:pPr>
        <w:spacing w:beforeLines="100" w:before="240" w:afterLines="100" w:after="240"/>
        <w:jc w:val="center"/>
        <w:rPr>
          <w:noProof/>
          <w:lang w:eastAsia="es-ES"/>
        </w:rPr>
      </w:pP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101C22" w:rsidRPr="005F0DEC" w:rsidRDefault="00101C22">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4A92"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" filled="f" stroked="f" strokeweight=".5pt">
                <v:textbox>
                  <w:txbxContent>
                    <w:p w14:paraId="320130AB" w14:textId="77777777" w:rsidR="00101C22" w:rsidRPr="005F0DEC" w:rsidRDefault="00101C22">
                      <w:pPr>
                        <w:rPr>
                          <w:rFonts w:ascii="Monotype Corsiva" w:hAnsi="Monotype Corsiva"/>
                          <w:b/>
                          <w:color w:val="FFFFFF" w:themeColor="background1"/>
                          <w:sz w:val="72"/>
                          <w:szCs w:val="72"/>
                        </w:rPr>
                      </w:pPr>
                      <w:r w:rsidRPr="005F0DEC">
                        <w:rPr>
                          <w:rFonts w:ascii="Monotype Corsiva" w:hAnsi="Monotype Corsiva"/>
                          <w:b/>
                          <w:color w:val="FFFFFF" w:themeColor="background1"/>
                          <w:sz w:val="72"/>
                          <w:szCs w:val="72"/>
                        </w:rPr>
                        <w:t>NyR</w:t>
                      </w:r>
                    </w:p>
                  </w:txbxContent>
                </v:textbox>
              </v:shape>
            </w:pict>
          </mc:Fallback>
        </mc:AlternateContent>
      </w:r>
    </w:p>
    <w:p w14:paraId="58C683B8" w14:textId="77777777" w:rsidR="00226C2F" w:rsidRDefault="00226C2F" w:rsidP="00226C2F">
      <w:pPr>
        <w:jc w:val="center"/>
        <w:rPr>
          <w:rFonts w:cstheme="minorHAnsi"/>
          <w:b/>
          <w:color w:val="FFFFFF" w:themeColor="background1"/>
          <w:sz w:val="32"/>
          <w:szCs w:val="32"/>
        </w:rPr>
      </w:pPr>
    </w:p>
    <w:p w14:paraId="3B0F142E" w14:textId="77777777" w:rsidR="00653C35" w:rsidRDefault="00653C35" w:rsidP="00226C2F">
      <w:pPr>
        <w:jc w:val="center"/>
        <w:rPr>
          <w:b/>
          <w:color w:val="000000" w:themeColor="text1"/>
          <w:sz w:val="28"/>
          <w:szCs w:val="28"/>
        </w:rPr>
      </w:pPr>
    </w:p>
    <w:p w14:paraId="30F08C11" w14:textId="77777777" w:rsidR="00440EC2" w:rsidRDefault="00440EC2" w:rsidP="00226C2F">
      <w:pPr>
        <w:jc w:val="center"/>
        <w:rPr>
          <w:b/>
          <w:color w:val="000000" w:themeColor="text1"/>
          <w:sz w:val="28"/>
          <w:szCs w:val="28"/>
        </w:rPr>
      </w:pPr>
    </w:p>
    <w:p w14:paraId="52B812AB" w14:textId="795E47AC" w:rsidR="00226C2F" w:rsidRPr="008A254E" w:rsidRDefault="008A254E" w:rsidP="00226C2F">
      <w:pPr>
        <w:jc w:val="center"/>
        <w:rPr>
          <w:b/>
          <w:color w:val="000000" w:themeColor="text1"/>
          <w:sz w:val="28"/>
          <w:szCs w:val="28"/>
        </w:rPr>
      </w:pPr>
      <w:r w:rsidRPr="008A254E">
        <w:rPr>
          <w:b/>
          <w:color w:val="000000" w:themeColor="text1"/>
          <w:sz w:val="28"/>
          <w:szCs w:val="28"/>
        </w:rPr>
        <w:t>JURISPRUDENCIA (Selección)</w:t>
      </w:r>
    </w:p>
    <w:p w14:paraId="411ED0DB" w14:textId="563F3DB8" w:rsidR="008A254E" w:rsidRDefault="008A254E" w:rsidP="00226C2F">
      <w:pPr>
        <w:jc w:val="center"/>
        <w:rPr>
          <w:b/>
          <w:color w:val="000000" w:themeColor="text1"/>
        </w:rPr>
      </w:pPr>
    </w:p>
    <w:p w14:paraId="532FA5B7" w14:textId="0A7A061D" w:rsidR="008A254E" w:rsidRDefault="00931802" w:rsidP="00226C2F">
      <w:pPr>
        <w:jc w:val="center"/>
        <w:rPr>
          <w:b/>
          <w:color w:val="000000" w:themeColor="text1"/>
        </w:rPr>
      </w:pPr>
      <w:r>
        <w:rPr>
          <w:noProof/>
        </w:rPr>
        <w:pict w14:anchorId="1BFBE2BA">
          <v:rect id="_x0000_i1030" alt="" style="width:425.2pt;height:.05pt;mso-width-percent:0;mso-height-percent:0;mso-width-percent:0;mso-height-percent:0" o:hralign="center" o:hrstd="t" o:hr="t" fillcolor="#a0a0a0" stroked="f"/>
        </w:pict>
      </w:r>
    </w:p>
    <w:p w14:paraId="0F20CAE2" w14:textId="7813EB68" w:rsidR="008A254E" w:rsidRDefault="008A254E" w:rsidP="00226C2F">
      <w:pPr>
        <w:jc w:val="center"/>
        <w:rPr>
          <w:b/>
          <w:color w:val="000000" w:themeColor="text1"/>
        </w:rPr>
      </w:pPr>
    </w:p>
    <w:p w14:paraId="31F4DA43" w14:textId="77777777" w:rsidR="00440EC2" w:rsidRDefault="00440EC2" w:rsidP="002B1E17">
      <w:pPr>
        <w:spacing w:after="120"/>
        <w:jc w:val="center"/>
        <w:rPr>
          <w:b/>
          <w:bCs/>
        </w:rPr>
      </w:pPr>
    </w:p>
    <w:p w14:paraId="4EEF1885" w14:textId="196614D5" w:rsidR="002B1E17" w:rsidRPr="00440EC2" w:rsidRDefault="002B1E17" w:rsidP="002B1E17">
      <w:pPr>
        <w:spacing w:after="120"/>
        <w:jc w:val="center"/>
        <w:rPr>
          <w:b/>
          <w:bCs/>
          <w:sz w:val="28"/>
          <w:szCs w:val="28"/>
        </w:rPr>
      </w:pPr>
      <w:r w:rsidRPr="00440EC2">
        <w:rPr>
          <w:b/>
          <w:bCs/>
          <w:sz w:val="28"/>
          <w:szCs w:val="28"/>
        </w:rPr>
        <w:t>TJUE</w:t>
      </w:r>
    </w:p>
    <w:p w14:paraId="7C39F6B5" w14:textId="77777777" w:rsidR="00440EC2" w:rsidRPr="002B1E17" w:rsidRDefault="00440EC2" w:rsidP="002B1E17">
      <w:pPr>
        <w:spacing w:after="120"/>
        <w:jc w:val="center"/>
        <w:rPr>
          <w:b/>
          <w:bCs/>
        </w:rPr>
      </w:pPr>
    </w:p>
    <w:p w14:paraId="6DF6200F" w14:textId="160DBF27" w:rsidR="002B1E17" w:rsidRDefault="002B1E17" w:rsidP="002B1E17">
      <w:pPr>
        <w:spacing w:after="240"/>
        <w:jc w:val="both"/>
        <w:rPr>
          <w:b/>
          <w:bCs/>
        </w:rPr>
      </w:pPr>
      <w:r w:rsidRPr="002B1E17">
        <w:rPr>
          <w:b/>
          <w:bCs/>
        </w:rPr>
        <w:t>Sentencias</w:t>
      </w:r>
    </w:p>
    <w:p w14:paraId="286B0B45" w14:textId="20839D74" w:rsidR="00425F18" w:rsidRDefault="00000000" w:rsidP="002B1E17">
      <w:pPr>
        <w:spacing w:after="240"/>
        <w:jc w:val="both"/>
      </w:pPr>
      <w:hyperlink r:id="rId9" w:anchor="ctx1" w:history="1">
        <w:r w:rsidR="00425F18" w:rsidRPr="00425F18">
          <w:rPr>
            <w:rStyle w:val="Hipervnculo"/>
          </w:rPr>
          <w:t>Sentencia del Tribunal de Justicia (Sala Octava), de 7 de julio de 2022 (asunto C-308/21, SATA International – Azores Airlines SA)</w:t>
        </w:r>
      </w:hyperlink>
      <w:r w:rsidR="00425F18">
        <w:t xml:space="preserve">. </w:t>
      </w:r>
      <w:r w:rsidR="00425F18" w:rsidRPr="00425F18">
        <w:t>«Procedimiento prejudicial — Transporte aéreo — Reglamento (CE) n.º 261/2004 — Compensación y asistencia a los pasajeros — Cancelación o gran retraso de los vuelos — Artículo 5, apartado 3 — Exención de la obligación de compensación — Circunstancias extraordinarias — Fallo generalizado en el sistema de suministro de combustible a los aviones en un aeropuerto»</w:t>
      </w:r>
      <w:r w:rsidR="00425F18">
        <w:t xml:space="preserve">. </w:t>
      </w:r>
    </w:p>
    <w:p w14:paraId="62D7A808" w14:textId="62D1F671" w:rsidR="00F53917" w:rsidRDefault="00000000" w:rsidP="002B1E17">
      <w:pPr>
        <w:spacing w:after="240"/>
        <w:jc w:val="both"/>
      </w:pPr>
      <w:hyperlink r:id="rId10" w:anchor="ctx1" w:history="1">
        <w:r w:rsidR="00F53917" w:rsidRPr="00F53917">
          <w:rPr>
            <w:rStyle w:val="Hipervnculo"/>
          </w:rPr>
          <w:t>Sentencia del Tribunal de Justicia (Gran Sala), de 14 de julio de 2022 (asunto C-145/20, Porsche Inter Auto y Volkswagen)</w:t>
        </w:r>
      </w:hyperlink>
      <w:r w:rsidR="00F53917">
        <w:t xml:space="preserve">. </w:t>
      </w:r>
      <w:r w:rsidR="00F53917" w:rsidRPr="00F53917">
        <w:t>«Procedimiento prejudicial — Aproximación de las legislaciones — Reglamento (CE) n.º 715/2007 — Homologación de tipo de los vehículos de motor — Artículo 5, apartado 2 — Dispositivo de desactivación — Vehículos de motor — Motor diésel — Sistema de control de las emisiones — Software integrado en la unidad de control del motor — Válvula de recirculación de gases de escape (válvula EGR) — Reducción de las emisiones de óxidos de nitrógeno (</w:t>
      </w:r>
      <w:proofErr w:type="spellStart"/>
      <w:r w:rsidR="00F53917" w:rsidRPr="00F53917">
        <w:t>NOx</w:t>
      </w:r>
      <w:proofErr w:type="spellEnd"/>
      <w:r w:rsidR="00F53917" w:rsidRPr="00F53917">
        <w:t>) limitada por una “ventana de temperaturas” — Prohibición de uso de dispositivos de desactivación que reduzcan la eficacia de los sistemas de control de las emisiones — Artículo 5, apartado 2, letra a) — Excepción a dicha prohibición — Protección de los consumidores — Directiva 1999/44/CE — Venta y garantías de los bienes de consumo — Artículo 2, apartado 2, letra d) — Concepto de “bienes que presentan la calidad y las prestaciones habituales de un bien del mismo tipo que el consumidor puede fundadamente esperar, habida cuenta de la naturaleza del bien” — Vehículo que ha recibido la homologación de tipo CE — Artículo 3, apartado 6 — Concepto de “falta de conformidad de escasa importancia”»</w:t>
      </w:r>
      <w:r w:rsidR="00F53917">
        <w:t xml:space="preserve">. </w:t>
      </w:r>
    </w:p>
    <w:p w14:paraId="05169D67" w14:textId="4CE5031B" w:rsidR="00F53917" w:rsidRPr="00425F18" w:rsidRDefault="00000000" w:rsidP="002B1E17">
      <w:pPr>
        <w:spacing w:after="240"/>
        <w:jc w:val="both"/>
      </w:pPr>
      <w:hyperlink r:id="rId11" w:anchor="ctx1" w:history="1">
        <w:r w:rsidR="00F53917" w:rsidRPr="00F53917">
          <w:rPr>
            <w:rStyle w:val="Hipervnculo"/>
          </w:rPr>
          <w:t>Sentencia del Tribunal de Justicia (Sala Novena), de 8 de septiembre de 2022 (asuntos acumulados C-80/21 a C-82/21, D.B.P. y otros)</w:t>
        </w:r>
      </w:hyperlink>
      <w:r w:rsidR="00F53917">
        <w:t xml:space="preserve">. </w:t>
      </w:r>
      <w:r w:rsidR="00F53917" w:rsidRPr="00F53917">
        <w:t>«Procedimiento prejudicial — Directiva 93/13/CEE — Cláusulas abusivas en los contratos celebrados con consumidores — Artículos 6, apartado 1, y 7, apartado 1 — Contratos de crédito hipotecario — Efectos de la declaración del carácter abusivo de una cláusula — Prescripción — Principio de efectividad»</w:t>
      </w:r>
      <w:r w:rsidR="00F53917">
        <w:t xml:space="preserve">. </w:t>
      </w:r>
    </w:p>
    <w:p w14:paraId="1F66C44F" w14:textId="18EE8E5F" w:rsidR="00425F18" w:rsidRDefault="00000000" w:rsidP="00425F18">
      <w:pPr>
        <w:jc w:val="both"/>
        <w:rPr>
          <w:rFonts w:eastAsiaTheme="minorHAnsi"/>
          <w:bCs/>
          <w:lang w:eastAsia="en-US"/>
        </w:rPr>
      </w:pPr>
      <w:hyperlink r:id="rId12" w:anchor="ctx1" w:history="1">
        <w:r w:rsidR="00425F18" w:rsidRPr="00425F18">
          <w:rPr>
            <w:rStyle w:val="Hipervnculo"/>
            <w:rFonts w:eastAsiaTheme="minorHAnsi"/>
            <w:bCs/>
            <w:lang w:eastAsia="en-US"/>
          </w:rPr>
          <w:t>Sentencia del Tribunal de Justicia (Sala Novena), de 22 de septiembre de 2022 (asunto C-335/21, Vicente)</w:t>
        </w:r>
      </w:hyperlink>
      <w:r w:rsidR="00425F18">
        <w:rPr>
          <w:rFonts w:eastAsiaTheme="minorHAnsi"/>
          <w:bCs/>
          <w:lang w:eastAsia="en-US"/>
        </w:rPr>
        <w:t xml:space="preserve">. </w:t>
      </w:r>
      <w:r w:rsidR="00425F18" w:rsidRPr="00425F18">
        <w:rPr>
          <w:rFonts w:eastAsiaTheme="minorHAnsi"/>
          <w:bCs/>
          <w:lang w:eastAsia="en-US"/>
        </w:rPr>
        <w:t xml:space="preserve">«Procedimiento prejudicial — Cláusulas abusivas en los contratos celebrados con consumidores — Directiva 93/13/CEE — Prácticas comerciales desleales con los consumidores — Principio de efectividad — Artículo 47 de la Carta de los Derechos Fundamentales de la Unión Europea — Procedimiento sumario de pago de honorarios de abogado — Carácter eventualmente abusivo de cláusulas incluidas en una </w:t>
      </w:r>
      <w:proofErr w:type="spellStart"/>
      <w:r w:rsidR="00425F18" w:rsidRPr="00425F18">
        <w:rPr>
          <w:rFonts w:eastAsiaTheme="minorHAnsi"/>
          <w:bCs/>
          <w:lang w:eastAsia="en-US"/>
        </w:rPr>
        <w:t>preminuta</w:t>
      </w:r>
      <w:proofErr w:type="spellEnd"/>
      <w:r w:rsidR="00425F18" w:rsidRPr="00425F18">
        <w:rPr>
          <w:rFonts w:eastAsiaTheme="minorHAnsi"/>
          <w:bCs/>
          <w:lang w:eastAsia="en-US"/>
        </w:rPr>
        <w:t xml:space="preserve"> de honorarios — Normativa nacional que no contempla la posibilidad de un control por el juez — Artículo 4, apartado 2 — Alcance de la excepción — Directiva 2005/29/CE — Artículo 7 — Práctica comercial engañosa — Contrato celebrado entre </w:t>
      </w:r>
      <w:r w:rsidR="00425F18" w:rsidRPr="00425F18">
        <w:rPr>
          <w:rFonts w:eastAsiaTheme="minorHAnsi"/>
          <w:bCs/>
          <w:lang w:eastAsia="en-US"/>
        </w:rPr>
        <w:lastRenderedPageBreak/>
        <w:t>un abogado y su cliente que prohíbe a este desistir del procedimiento sin conocimiento o contra el consejo de aquel y que estipula una penalidad económica para el caso de incumplimiento de esta prohibición»</w:t>
      </w:r>
      <w:r w:rsidR="00425F18">
        <w:rPr>
          <w:rFonts w:eastAsiaTheme="minorHAnsi"/>
          <w:bCs/>
          <w:lang w:eastAsia="en-US"/>
        </w:rPr>
        <w:t xml:space="preserve">. </w:t>
      </w:r>
    </w:p>
    <w:p w14:paraId="12D88E62" w14:textId="18DAFE1A" w:rsidR="00425F18" w:rsidRDefault="00425F18" w:rsidP="00425F18">
      <w:pPr>
        <w:jc w:val="both"/>
        <w:rPr>
          <w:rFonts w:eastAsiaTheme="minorHAnsi"/>
          <w:bCs/>
          <w:lang w:eastAsia="en-US"/>
        </w:rPr>
      </w:pPr>
    </w:p>
    <w:p w14:paraId="2452DD46" w14:textId="08B4F7B5" w:rsidR="00425F18" w:rsidRDefault="00000000" w:rsidP="00425F18">
      <w:pPr>
        <w:jc w:val="both"/>
        <w:rPr>
          <w:rFonts w:eastAsiaTheme="minorHAnsi"/>
          <w:bCs/>
          <w:lang w:eastAsia="en-US"/>
        </w:rPr>
      </w:pPr>
      <w:hyperlink r:id="rId13" w:anchor="ctx1" w:history="1">
        <w:r w:rsidR="00425F18" w:rsidRPr="00F53917">
          <w:rPr>
            <w:rStyle w:val="Hipervnculo"/>
            <w:rFonts w:eastAsiaTheme="minorHAnsi"/>
            <w:bCs/>
            <w:lang w:eastAsia="en-US"/>
          </w:rPr>
          <w:t>Sentencia del Tribunal de Justicia (Sala Novena), de 22 de septiembre de 2022 (asunto C-215/21, Servicios Prescriptor y Medios de Pagos)</w:t>
        </w:r>
      </w:hyperlink>
      <w:r w:rsidR="00425F18">
        <w:rPr>
          <w:rFonts w:eastAsiaTheme="minorHAnsi"/>
          <w:bCs/>
          <w:lang w:eastAsia="en-US"/>
        </w:rPr>
        <w:t xml:space="preserve">. </w:t>
      </w:r>
      <w:r w:rsidR="00425F18" w:rsidRPr="00425F18">
        <w:rPr>
          <w:rFonts w:eastAsiaTheme="minorHAnsi"/>
          <w:bCs/>
          <w:lang w:eastAsia="en-US"/>
        </w:rPr>
        <w:t>«Procedimiento prejudicial — Cláusulas abusivas en los contratos celebrados con consumidores — Contrato de crédito revolvente — Carácter abusivo de la cláusula relativa al tipo de interés remuneratorio — Demanda presentada por un consumidor al objeto de que se declare la nulidad de ese contrato — Satisfacción extraprocesal de las pretensiones de ese consumidor — Costas procesales devengadas con las que dicho consumidor debe cargar — Principio de efectividad — Normativa nacional que puede disuadir al referido consumidor de ejercer los derechos que la Directiva 93/13/CEE le otorga»</w:t>
      </w:r>
      <w:r w:rsidR="00425F18">
        <w:rPr>
          <w:rFonts w:eastAsiaTheme="minorHAnsi"/>
          <w:bCs/>
          <w:lang w:eastAsia="en-US"/>
        </w:rPr>
        <w:t xml:space="preserve">. </w:t>
      </w:r>
    </w:p>
    <w:p w14:paraId="218F8684" w14:textId="1A282C6E" w:rsidR="00F53917" w:rsidRDefault="00F53917" w:rsidP="00425F18">
      <w:pPr>
        <w:jc w:val="both"/>
        <w:rPr>
          <w:rFonts w:eastAsiaTheme="minorHAnsi"/>
          <w:bCs/>
          <w:lang w:eastAsia="en-US"/>
        </w:rPr>
      </w:pPr>
    </w:p>
    <w:p w14:paraId="123D2D76" w14:textId="5BAC9E21" w:rsidR="00F53917" w:rsidRDefault="00000000" w:rsidP="00425F18">
      <w:pPr>
        <w:jc w:val="both"/>
        <w:rPr>
          <w:rFonts w:eastAsiaTheme="minorHAnsi"/>
          <w:bCs/>
          <w:lang w:eastAsia="en-US"/>
        </w:rPr>
      </w:pPr>
      <w:hyperlink r:id="rId14" w:anchor="ctx1" w:history="1">
        <w:r w:rsidR="00F53917" w:rsidRPr="00F53917">
          <w:rPr>
            <w:rStyle w:val="Hipervnculo"/>
            <w:rFonts w:eastAsiaTheme="minorHAnsi"/>
            <w:bCs/>
            <w:lang w:eastAsia="en-US"/>
          </w:rPr>
          <w:t xml:space="preserve">Sentencia del Tribunal de Justicia (Sala Primera), de 29 de septiembre de 2022 (asunto C-633/20, TC Medical Air </w:t>
        </w:r>
        <w:proofErr w:type="spellStart"/>
        <w:r w:rsidR="00F53917" w:rsidRPr="00F53917">
          <w:rPr>
            <w:rStyle w:val="Hipervnculo"/>
            <w:rFonts w:eastAsiaTheme="minorHAnsi"/>
            <w:bCs/>
            <w:lang w:eastAsia="en-US"/>
          </w:rPr>
          <w:t>Ambulance</w:t>
        </w:r>
        <w:proofErr w:type="spellEnd"/>
        <w:r w:rsidR="00F53917" w:rsidRPr="00F53917">
          <w:rPr>
            <w:rStyle w:val="Hipervnculo"/>
            <w:rFonts w:eastAsiaTheme="minorHAnsi"/>
            <w:bCs/>
            <w:lang w:eastAsia="en-US"/>
          </w:rPr>
          <w:t xml:space="preserve"> Agency </w:t>
        </w:r>
        <w:proofErr w:type="spellStart"/>
        <w:r w:rsidR="00F53917" w:rsidRPr="00F53917">
          <w:rPr>
            <w:rStyle w:val="Hipervnculo"/>
            <w:rFonts w:eastAsiaTheme="minorHAnsi"/>
            <w:bCs/>
            <w:lang w:eastAsia="en-US"/>
          </w:rPr>
          <w:t>GmbH</w:t>
        </w:r>
        <w:proofErr w:type="spellEnd"/>
        <w:r w:rsidR="00F53917" w:rsidRPr="00F53917">
          <w:rPr>
            <w:rStyle w:val="Hipervnculo"/>
            <w:rFonts w:eastAsiaTheme="minorHAnsi"/>
            <w:bCs/>
            <w:lang w:eastAsia="en-US"/>
          </w:rPr>
          <w:t>)</w:t>
        </w:r>
      </w:hyperlink>
      <w:r w:rsidR="00F53917">
        <w:rPr>
          <w:rFonts w:eastAsiaTheme="minorHAnsi"/>
          <w:bCs/>
          <w:lang w:eastAsia="en-US"/>
        </w:rPr>
        <w:t xml:space="preserve">. </w:t>
      </w:r>
      <w:r w:rsidR="00F53917" w:rsidRPr="00F53917">
        <w:rPr>
          <w:rFonts w:eastAsiaTheme="minorHAnsi"/>
          <w:bCs/>
          <w:lang w:eastAsia="en-US"/>
        </w:rPr>
        <w:t>«Procedimiento prejudicial — Libertad de establecimiento y libre prestación de servicios — Mercado único de seguros — Directiva 2002/92/CE — Concepto de “mediación de seguros” — Actividad de “mediación de seguros” — Directiva (UE) 2016/97 — Actividad de “distribución de seguros” — Ámbito de aplicación de dichas Directivas — Adhesión a un seguro de grupo — Cesión de los derechos derivados del contrato de seguro — Prestaciones aseguradas en caso de enfermedad o accidente en el extranjero — Remuneración abonada por el adherente como contrapartida de la cobertura del seguro adquirida — Protección de los consumidores — Igualdad de trato entre los intermediarios de seguros»</w:t>
      </w:r>
      <w:r w:rsidR="00F53917">
        <w:rPr>
          <w:rFonts w:eastAsiaTheme="minorHAnsi"/>
          <w:bCs/>
          <w:lang w:eastAsia="en-US"/>
        </w:rPr>
        <w:t xml:space="preserve">. </w:t>
      </w:r>
    </w:p>
    <w:p w14:paraId="083B344E" w14:textId="62523F6B" w:rsidR="00F53917" w:rsidRDefault="00F53917" w:rsidP="00425F18">
      <w:pPr>
        <w:jc w:val="both"/>
        <w:rPr>
          <w:rFonts w:eastAsiaTheme="minorHAnsi"/>
          <w:bCs/>
          <w:lang w:eastAsia="en-US"/>
        </w:rPr>
      </w:pPr>
    </w:p>
    <w:p w14:paraId="0857D6B9" w14:textId="51FE36A8" w:rsidR="00F53917" w:rsidRDefault="00000000" w:rsidP="00425F18">
      <w:pPr>
        <w:jc w:val="both"/>
        <w:rPr>
          <w:rFonts w:eastAsiaTheme="minorHAnsi"/>
          <w:bCs/>
          <w:lang w:eastAsia="en-US"/>
        </w:rPr>
      </w:pPr>
      <w:hyperlink r:id="rId15" w:anchor="ctx1" w:history="1">
        <w:r w:rsidR="00F53917" w:rsidRPr="00F53917">
          <w:rPr>
            <w:rStyle w:val="Hipervnculo"/>
            <w:rFonts w:eastAsiaTheme="minorHAnsi"/>
            <w:bCs/>
            <w:lang w:eastAsia="en-US"/>
          </w:rPr>
          <w:t xml:space="preserve">Sentencia del Tribunal de Justicia (Sala Tercera), de 29 de septiembre de 2022 (asunto C-597/20, </w:t>
        </w:r>
        <w:proofErr w:type="spellStart"/>
        <w:r w:rsidR="00F53917" w:rsidRPr="00F53917">
          <w:rPr>
            <w:rStyle w:val="Hipervnculo"/>
            <w:rFonts w:eastAsiaTheme="minorHAnsi"/>
            <w:bCs/>
            <w:lang w:eastAsia="en-US"/>
          </w:rPr>
          <w:t>Polskie</w:t>
        </w:r>
        <w:proofErr w:type="spellEnd"/>
        <w:r w:rsidR="00F53917" w:rsidRPr="00F53917">
          <w:rPr>
            <w:rStyle w:val="Hipervnculo"/>
            <w:rFonts w:eastAsiaTheme="minorHAnsi"/>
            <w:bCs/>
            <w:lang w:eastAsia="en-US"/>
          </w:rPr>
          <w:t xml:space="preserve"> </w:t>
        </w:r>
        <w:proofErr w:type="spellStart"/>
        <w:r w:rsidR="00F53917" w:rsidRPr="00F53917">
          <w:rPr>
            <w:rStyle w:val="Hipervnculo"/>
            <w:rFonts w:eastAsiaTheme="minorHAnsi"/>
            <w:bCs/>
            <w:lang w:eastAsia="en-US"/>
          </w:rPr>
          <w:t>Linie</w:t>
        </w:r>
        <w:proofErr w:type="spellEnd"/>
        <w:r w:rsidR="00F53917" w:rsidRPr="00F53917">
          <w:rPr>
            <w:rStyle w:val="Hipervnculo"/>
            <w:rFonts w:eastAsiaTheme="minorHAnsi"/>
            <w:bCs/>
            <w:lang w:eastAsia="en-US"/>
          </w:rPr>
          <w:t xml:space="preserve"> </w:t>
        </w:r>
        <w:proofErr w:type="spellStart"/>
        <w:r w:rsidR="00F53917" w:rsidRPr="00F53917">
          <w:rPr>
            <w:rStyle w:val="Hipervnculo"/>
            <w:rFonts w:eastAsiaTheme="minorHAnsi"/>
            <w:bCs/>
            <w:lang w:eastAsia="en-US"/>
          </w:rPr>
          <w:t>Lotnicze</w:t>
        </w:r>
        <w:proofErr w:type="spellEnd"/>
        <w:r w:rsidR="00F53917" w:rsidRPr="00F53917">
          <w:rPr>
            <w:rStyle w:val="Hipervnculo"/>
            <w:rFonts w:eastAsiaTheme="minorHAnsi"/>
            <w:bCs/>
            <w:lang w:eastAsia="en-US"/>
          </w:rPr>
          <w:t>)</w:t>
        </w:r>
      </w:hyperlink>
      <w:r w:rsidR="00F53917">
        <w:rPr>
          <w:rFonts w:eastAsiaTheme="minorHAnsi"/>
          <w:bCs/>
          <w:lang w:eastAsia="en-US"/>
        </w:rPr>
        <w:t xml:space="preserve">. </w:t>
      </w:r>
      <w:r w:rsidR="00F53917" w:rsidRPr="00F53917">
        <w:rPr>
          <w:rFonts w:eastAsiaTheme="minorHAnsi"/>
          <w:bCs/>
          <w:lang w:eastAsia="en-US"/>
        </w:rPr>
        <w:t>«Procedimiento prejudicial — Transportes aéreos — Reglamento (CE) n.º 261/2004 — Artículo 16 — Compensación y asistencia a los pasajeros — Función del organismo nacional responsable del cumplimiento de dicho Reglamento — Normativa nacional por la que se confiere a ese organismo la facultad de ordenar a una compañía aérea que pague la compensación debida a un pasajero — Carta de los Derechos Fundamentales de la Unión Europea — Artículo 47 — Derecho a la tutela judicial»</w:t>
      </w:r>
      <w:r w:rsidR="00F53917">
        <w:rPr>
          <w:rFonts w:eastAsiaTheme="minorHAnsi"/>
          <w:bCs/>
          <w:lang w:eastAsia="en-US"/>
        </w:rPr>
        <w:t xml:space="preserve">. </w:t>
      </w:r>
    </w:p>
    <w:p w14:paraId="4EF9DC9F" w14:textId="6291AB82" w:rsidR="00425F18" w:rsidRDefault="00425F18" w:rsidP="00425F18">
      <w:pPr>
        <w:jc w:val="both"/>
        <w:rPr>
          <w:rFonts w:eastAsiaTheme="minorHAnsi"/>
          <w:bCs/>
          <w:lang w:eastAsia="en-US"/>
        </w:rPr>
      </w:pPr>
    </w:p>
    <w:p w14:paraId="096D7BB6" w14:textId="1326CCDE" w:rsidR="00425F18" w:rsidRPr="00425F18" w:rsidRDefault="00425F18" w:rsidP="00425F18">
      <w:pPr>
        <w:jc w:val="both"/>
        <w:rPr>
          <w:rFonts w:eastAsiaTheme="minorHAnsi"/>
          <w:b/>
          <w:lang w:eastAsia="en-US"/>
        </w:rPr>
      </w:pPr>
      <w:r w:rsidRPr="00425F18">
        <w:rPr>
          <w:rFonts w:eastAsiaTheme="minorHAnsi"/>
          <w:b/>
          <w:lang w:eastAsia="en-US"/>
        </w:rPr>
        <w:t>Auto</w:t>
      </w:r>
      <w:r w:rsidR="00944EC3">
        <w:rPr>
          <w:rFonts w:eastAsiaTheme="minorHAnsi"/>
          <w:b/>
          <w:lang w:eastAsia="en-US"/>
        </w:rPr>
        <w:t>s</w:t>
      </w:r>
    </w:p>
    <w:p w14:paraId="5F42C582" w14:textId="1F9FEEE9" w:rsidR="00425F18" w:rsidRDefault="00425F18" w:rsidP="00425F18">
      <w:pPr>
        <w:jc w:val="both"/>
        <w:rPr>
          <w:rFonts w:eastAsiaTheme="minorHAnsi"/>
          <w:bCs/>
          <w:lang w:eastAsia="en-US"/>
        </w:rPr>
      </w:pPr>
    </w:p>
    <w:p w14:paraId="559D1C96" w14:textId="798C5D91" w:rsidR="00425F18" w:rsidRPr="00425F18" w:rsidRDefault="00000000" w:rsidP="00425F18">
      <w:pPr>
        <w:jc w:val="both"/>
        <w:rPr>
          <w:rFonts w:eastAsiaTheme="minorHAnsi"/>
          <w:bCs/>
          <w:lang w:eastAsia="en-US"/>
        </w:rPr>
      </w:pPr>
      <w:hyperlink r:id="rId16" w:anchor="ctx1" w:history="1">
        <w:r w:rsidR="00425F18" w:rsidRPr="00425F18">
          <w:rPr>
            <w:rStyle w:val="Hipervnculo"/>
            <w:rFonts w:eastAsiaTheme="minorHAnsi"/>
            <w:bCs/>
            <w:lang w:eastAsia="en-US"/>
          </w:rPr>
          <w:t>Auto del Tribunal de Justicia (Sala Octava), de 27 de septiembre de 2022 (asunto C-307/21, Ryanair DAC)</w:t>
        </w:r>
      </w:hyperlink>
      <w:r w:rsidR="00425F18">
        <w:rPr>
          <w:rFonts w:eastAsiaTheme="minorHAnsi"/>
          <w:bCs/>
          <w:lang w:eastAsia="en-US"/>
        </w:rPr>
        <w:t xml:space="preserve">. </w:t>
      </w:r>
      <w:r w:rsidR="00425F18" w:rsidRPr="00425F18">
        <w:rPr>
          <w:rFonts w:eastAsiaTheme="minorHAnsi"/>
          <w:bCs/>
          <w:lang w:eastAsia="en-US"/>
        </w:rPr>
        <w:t>«Procedimiento prejudicial — Artículo 99 del Reglamento de Procedimiento del Tribunal de Justicia — Transportes aéreos — Reglamento (CE) n.º 261/2004 — Normas comunes sobre compensación y asistencia a los pasajeros aéreos en caso de cancelación o gran retraso de los vuelos — Artículo 5, apartado 1, letra c) — Derecho a compensación en caso de cancelación de un vuelo — Contrato de transporte celebrado a través de una agencia de viajes operativa en Internet — Información de la cancelación del vuelo a través de una dirección electrónica generada de forma automática por la agencia de viajes — Falta de información efectiva al pasajero»</w:t>
      </w:r>
      <w:r w:rsidR="00425F18">
        <w:rPr>
          <w:rFonts w:eastAsiaTheme="minorHAnsi"/>
          <w:bCs/>
          <w:lang w:eastAsia="en-US"/>
        </w:rPr>
        <w:t>.</w:t>
      </w:r>
    </w:p>
    <w:p w14:paraId="0B91F249" w14:textId="4485C512" w:rsidR="00401E34" w:rsidRPr="00D36C84" w:rsidRDefault="00401E34" w:rsidP="009059BB">
      <w:pPr>
        <w:spacing w:after="240"/>
        <w:jc w:val="both"/>
        <w:rPr>
          <w:rFonts w:eastAsiaTheme="minorHAnsi"/>
          <w:bCs/>
          <w:lang w:eastAsia="en-US"/>
        </w:rPr>
      </w:pPr>
    </w:p>
    <w:p w14:paraId="2F486A1A" w14:textId="255652A8" w:rsidR="002B1E17" w:rsidRPr="002B1E17" w:rsidRDefault="00931802" w:rsidP="002B1E17">
      <w:pPr>
        <w:spacing w:after="240"/>
        <w:jc w:val="center"/>
        <w:rPr>
          <w:b/>
          <w:bCs/>
        </w:rPr>
      </w:pPr>
      <w:r>
        <w:rPr>
          <w:noProof/>
        </w:rPr>
        <w:pict w14:anchorId="3069CA00">
          <v:rect id="_x0000_i1029" alt="" style="width:425.2pt;height:.05pt;mso-width-percent:0;mso-height-percent:0;mso-width-percent:0;mso-height-percent:0" o:hralign="center" o:hrstd="t" o:hr="t" fillcolor="#a0a0a0" stroked="f"/>
        </w:pict>
      </w:r>
    </w:p>
    <w:p w14:paraId="128DA054" w14:textId="0A3A49E8" w:rsidR="00C47765" w:rsidRDefault="00C47765" w:rsidP="000D2B7E">
      <w:pPr>
        <w:spacing w:after="240"/>
        <w:rPr>
          <w:b/>
          <w:bCs/>
        </w:rPr>
      </w:pPr>
    </w:p>
    <w:p w14:paraId="101F0A4F" w14:textId="2860ADCD" w:rsidR="00B670BA" w:rsidRPr="002E4D27" w:rsidRDefault="00B670BA" w:rsidP="002B1E17">
      <w:pPr>
        <w:spacing w:after="240"/>
        <w:jc w:val="center"/>
        <w:rPr>
          <w:b/>
          <w:bCs/>
          <w:sz w:val="28"/>
          <w:szCs w:val="28"/>
        </w:rPr>
      </w:pPr>
      <w:r w:rsidRPr="00944EC3">
        <w:rPr>
          <w:b/>
          <w:bCs/>
          <w:sz w:val="28"/>
          <w:szCs w:val="28"/>
        </w:rPr>
        <w:lastRenderedPageBreak/>
        <w:t>TRIBUNAL CONSTITUCIONAL</w:t>
      </w:r>
    </w:p>
    <w:p w14:paraId="1FF85B6E" w14:textId="7C742E77" w:rsidR="00B670BA" w:rsidRDefault="00B670BA" w:rsidP="00B670BA">
      <w:pPr>
        <w:spacing w:after="240"/>
        <w:jc w:val="both"/>
        <w:rPr>
          <w:b/>
          <w:bCs/>
        </w:rPr>
      </w:pPr>
      <w:r w:rsidRPr="00D835ED">
        <w:rPr>
          <w:b/>
          <w:bCs/>
        </w:rPr>
        <w:t>Sentencias</w:t>
      </w:r>
    </w:p>
    <w:p w14:paraId="178571FD" w14:textId="4B212CB9" w:rsidR="007250AF" w:rsidRPr="00D835ED" w:rsidRDefault="00000000" w:rsidP="000E1594">
      <w:pPr>
        <w:spacing w:after="240"/>
        <w:jc w:val="both"/>
      </w:pPr>
      <w:hyperlink r:id="rId17" w:history="1">
        <w:r w:rsidR="00944EC3" w:rsidRPr="00944EC3">
          <w:rPr>
            <w:rStyle w:val="Hipervnculo"/>
          </w:rPr>
          <w:t>Pleno. Sentencia 105/2022, de 13 de septiembre de 2022</w:t>
        </w:r>
      </w:hyperlink>
      <w:r w:rsidR="00944EC3">
        <w:t xml:space="preserve">. “Recurso de amparo 229-2021, promovido </w:t>
      </w:r>
      <w:r w:rsidR="00944EC3" w:rsidRPr="00944EC3">
        <w:t>por don M.J.L., respecto de las resoluciones dictadas por las salas de lo contencioso-administrativo del Tribunal Supremo y de la Audiencia Nacional que estimaron la impugnación de la resolución de la directora de la Agencia Española de Protección de Datos por la que se instaba a Google, Inc., para que adoptara las medidas necesarias a fin de que el nombre del solicitante no se asociara en los resultados de su motor de búsqueda a una dirección de página de internet</w:t>
      </w:r>
      <w:r w:rsidR="00944EC3">
        <w:t xml:space="preserve">”. </w:t>
      </w:r>
    </w:p>
    <w:p w14:paraId="237386E8" w14:textId="1A7D90F3" w:rsidR="00B670BA" w:rsidRDefault="00931802" w:rsidP="002B1E17">
      <w:pPr>
        <w:spacing w:after="240"/>
        <w:jc w:val="center"/>
        <w:rPr>
          <w:b/>
          <w:bCs/>
          <w:sz w:val="28"/>
          <w:szCs w:val="28"/>
          <w:highlight w:val="yellow"/>
        </w:rPr>
      </w:pPr>
      <w:r>
        <w:rPr>
          <w:noProof/>
        </w:rPr>
        <w:pict w14:anchorId="4828CAC6">
          <v:rect id="_x0000_i1028" alt="" style="width:425.2pt;height:.05pt;mso-width-percent:0;mso-height-percent:0;mso-width-percent:0;mso-height-percent:0" o:hralign="center" o:hrstd="t" o:hr="t" fillcolor="#a0a0a0" stroked="f"/>
        </w:pict>
      </w:r>
    </w:p>
    <w:p w14:paraId="219D2AAD" w14:textId="4BC1925C" w:rsidR="00B670BA" w:rsidRDefault="00B670BA" w:rsidP="002B1E17">
      <w:pPr>
        <w:spacing w:after="240"/>
        <w:jc w:val="center"/>
        <w:rPr>
          <w:b/>
          <w:bCs/>
          <w:sz w:val="28"/>
          <w:szCs w:val="28"/>
          <w:highlight w:val="yellow"/>
        </w:rPr>
      </w:pPr>
    </w:p>
    <w:p w14:paraId="6CD7E1B6" w14:textId="220B2BD4" w:rsidR="002B1E17" w:rsidRPr="00440EC2" w:rsidRDefault="002B1E17" w:rsidP="002B1E17">
      <w:pPr>
        <w:spacing w:after="240"/>
        <w:jc w:val="center"/>
        <w:rPr>
          <w:b/>
          <w:bCs/>
          <w:sz w:val="28"/>
          <w:szCs w:val="28"/>
        </w:rPr>
      </w:pPr>
      <w:r w:rsidRPr="00D22E2A">
        <w:rPr>
          <w:b/>
          <w:bCs/>
          <w:sz w:val="28"/>
          <w:szCs w:val="28"/>
        </w:rPr>
        <w:t>TRIBUNAL SUPREMO</w:t>
      </w:r>
      <w:r w:rsidR="00C47765" w:rsidRPr="00D22E2A">
        <w:rPr>
          <w:b/>
          <w:bCs/>
          <w:sz w:val="28"/>
          <w:szCs w:val="28"/>
        </w:rPr>
        <w:t xml:space="preserve"> (CENDOJ – Selección)</w:t>
      </w:r>
    </w:p>
    <w:p w14:paraId="20C1650F" w14:textId="6B911769" w:rsidR="00C87AA6" w:rsidRPr="00102EA3" w:rsidRDefault="00C87AA6" w:rsidP="008D4ACD">
      <w:pPr>
        <w:spacing w:after="240"/>
        <w:jc w:val="both"/>
        <w:rPr>
          <w:b/>
          <w:bCs/>
          <w:sz w:val="13"/>
          <w:szCs w:val="13"/>
        </w:rPr>
      </w:pPr>
    </w:p>
    <w:p w14:paraId="3D06F382" w14:textId="0FC46122" w:rsidR="004165FA" w:rsidRDefault="001E50D5" w:rsidP="00D637F0">
      <w:pPr>
        <w:spacing w:after="240"/>
        <w:jc w:val="both"/>
        <w:rPr>
          <w:b/>
          <w:bCs/>
        </w:rPr>
      </w:pPr>
      <w:r>
        <w:rPr>
          <w:b/>
          <w:bCs/>
        </w:rPr>
        <w:t>Condiciones generales de la contratación</w:t>
      </w:r>
      <w:r w:rsidR="00CD66C6">
        <w:rPr>
          <w:b/>
          <w:bCs/>
        </w:rPr>
        <w:t xml:space="preserve">. </w:t>
      </w:r>
      <w:r w:rsidR="004165FA">
        <w:rPr>
          <w:b/>
          <w:bCs/>
        </w:rPr>
        <w:t xml:space="preserve">Contratos con profesionales </w:t>
      </w:r>
    </w:p>
    <w:p w14:paraId="7BCF0527" w14:textId="32A029B5" w:rsidR="004165FA" w:rsidRPr="004165FA" w:rsidRDefault="00000000" w:rsidP="00D637F0">
      <w:pPr>
        <w:spacing w:after="240"/>
        <w:jc w:val="both"/>
      </w:pPr>
      <w:hyperlink r:id="rId18" w:history="1">
        <w:r w:rsidR="004165FA" w:rsidRPr="004165FA">
          <w:rPr>
            <w:rStyle w:val="Hipervnculo"/>
          </w:rPr>
          <w:t>STS, Sala Primera, 559/2022, de 11 de julio de 2022</w:t>
        </w:r>
      </w:hyperlink>
      <w:r w:rsidR="004165FA">
        <w:t>. “</w:t>
      </w:r>
      <w:r w:rsidR="004165FA" w:rsidRPr="004165FA">
        <w:t>Préstamo hipotecario con cláusula suelo/techo en contratos con profesionales. Superación del control de incorporación</w:t>
      </w:r>
      <w:r w:rsidR="004165FA">
        <w:t xml:space="preserve">”. </w:t>
      </w:r>
    </w:p>
    <w:p w14:paraId="135DFC64" w14:textId="456CD168" w:rsidR="004165FA" w:rsidRPr="004165FA" w:rsidRDefault="00000000" w:rsidP="00D637F0">
      <w:pPr>
        <w:spacing w:after="240"/>
        <w:jc w:val="both"/>
      </w:pPr>
      <w:hyperlink r:id="rId19" w:history="1">
        <w:r w:rsidR="004165FA" w:rsidRPr="00CD66C6">
          <w:rPr>
            <w:rStyle w:val="Hipervnculo"/>
          </w:rPr>
          <w:t>STS, Sala Primera, 589/2022, de 27 de julio de 2022</w:t>
        </w:r>
      </w:hyperlink>
      <w:r w:rsidR="004165FA">
        <w:t>. “</w:t>
      </w:r>
      <w:r w:rsidR="004165FA" w:rsidRPr="00CD66C6">
        <w:t xml:space="preserve">Préstamo hipotecario. Cláusulas abusivas. Principios de justicia rogada, congruencia y </w:t>
      </w:r>
      <w:proofErr w:type="spellStart"/>
      <w:r w:rsidR="004165FA" w:rsidRPr="00CD66C6">
        <w:t>iura</w:t>
      </w:r>
      <w:proofErr w:type="spellEnd"/>
      <w:r w:rsidR="004165FA" w:rsidRPr="00CD66C6">
        <w:t xml:space="preserve"> </w:t>
      </w:r>
      <w:proofErr w:type="spellStart"/>
      <w:r w:rsidR="004165FA" w:rsidRPr="00CD66C6">
        <w:t>novit</w:t>
      </w:r>
      <w:proofErr w:type="spellEnd"/>
      <w:r w:rsidR="004165FA" w:rsidRPr="00CD66C6">
        <w:t xml:space="preserve"> curia. Carga de la prueba. Ámbito de cognición plena del recurso de apelación. Transacción. Condición de no consumidor: no cabe el control de transparencia</w:t>
      </w:r>
      <w:r w:rsidR="004165FA">
        <w:t xml:space="preserve">”. </w:t>
      </w:r>
    </w:p>
    <w:p w14:paraId="09FB3988" w14:textId="4CA04F17" w:rsidR="0055152E" w:rsidRDefault="00CD66C6" w:rsidP="00D637F0">
      <w:pPr>
        <w:spacing w:after="240"/>
        <w:jc w:val="both"/>
        <w:rPr>
          <w:b/>
          <w:bCs/>
        </w:rPr>
      </w:pPr>
      <w:r>
        <w:rPr>
          <w:b/>
          <w:bCs/>
        </w:rPr>
        <w:t xml:space="preserve">Cláusulas abusivas </w:t>
      </w:r>
    </w:p>
    <w:p w14:paraId="1FA3E8CC" w14:textId="0EDEF991" w:rsidR="00D637F0" w:rsidRDefault="00D637F0" w:rsidP="00D637F0">
      <w:pPr>
        <w:pStyle w:val="Prrafodelista"/>
        <w:numPr>
          <w:ilvl w:val="0"/>
          <w:numId w:val="16"/>
        </w:numPr>
        <w:spacing w:after="240"/>
        <w:jc w:val="both"/>
        <w:rPr>
          <w:rFonts w:ascii="Times New Roman" w:hAnsi="Times New Roman" w:cs="Times New Roman"/>
          <w:b/>
          <w:bCs/>
          <w:sz w:val="24"/>
          <w:szCs w:val="24"/>
        </w:rPr>
      </w:pPr>
      <w:r w:rsidRPr="00D637F0">
        <w:rPr>
          <w:rFonts w:ascii="Times New Roman" w:hAnsi="Times New Roman" w:cs="Times New Roman"/>
          <w:b/>
          <w:bCs/>
          <w:sz w:val="24"/>
          <w:szCs w:val="24"/>
        </w:rPr>
        <w:t>Cláusula suelo</w:t>
      </w:r>
      <w:r w:rsidR="00CD66C6">
        <w:rPr>
          <w:rFonts w:ascii="Times New Roman" w:hAnsi="Times New Roman" w:cs="Times New Roman"/>
          <w:b/>
          <w:bCs/>
          <w:sz w:val="24"/>
          <w:szCs w:val="24"/>
        </w:rPr>
        <w:t xml:space="preserve">, control de incorporación y </w:t>
      </w:r>
      <w:r w:rsidR="008613A0">
        <w:rPr>
          <w:rFonts w:ascii="Times New Roman" w:hAnsi="Times New Roman" w:cs="Times New Roman"/>
          <w:b/>
          <w:bCs/>
          <w:sz w:val="24"/>
          <w:szCs w:val="24"/>
        </w:rPr>
        <w:t xml:space="preserve">de </w:t>
      </w:r>
      <w:r w:rsidR="00450241">
        <w:rPr>
          <w:rFonts w:ascii="Times New Roman" w:hAnsi="Times New Roman" w:cs="Times New Roman"/>
          <w:b/>
          <w:bCs/>
          <w:sz w:val="24"/>
          <w:szCs w:val="24"/>
        </w:rPr>
        <w:t>transparencia</w:t>
      </w:r>
    </w:p>
    <w:p w14:paraId="1B18DECF" w14:textId="7EA73677" w:rsidR="00B71B6E" w:rsidRPr="00B71B6E" w:rsidRDefault="00000000" w:rsidP="00B71B6E">
      <w:pPr>
        <w:spacing w:after="240"/>
        <w:jc w:val="both"/>
      </w:pPr>
      <w:hyperlink r:id="rId20" w:history="1">
        <w:r w:rsidR="00B71B6E" w:rsidRPr="00B71B6E">
          <w:rPr>
            <w:rStyle w:val="Hipervnculo"/>
          </w:rPr>
          <w:t>STS, Sala Primera, 517/2022, de 1 de julio de 2022</w:t>
        </w:r>
      </w:hyperlink>
      <w:r w:rsidR="00B71B6E">
        <w:t>. “</w:t>
      </w:r>
      <w:r w:rsidR="00B71B6E" w:rsidRPr="00B71B6E">
        <w:t xml:space="preserve">Cláusula suelo. Subrogación en el préstamo al promotor. Obligación del predisponente de </w:t>
      </w:r>
      <w:r w:rsidR="005E3F4E" w:rsidRPr="00B71B6E">
        <w:t>suministrar</w:t>
      </w:r>
      <w:r w:rsidR="00B71B6E" w:rsidRPr="00B71B6E">
        <w:t xml:space="preserve"> información sobre el alcance de la cláusula suelo. La actividad lucrativa no es necesariamente un criterio de exclusión de la condición de consumidor</w:t>
      </w:r>
      <w:r w:rsidR="00B71B6E">
        <w:t xml:space="preserve">”. </w:t>
      </w:r>
    </w:p>
    <w:p w14:paraId="3F85F811" w14:textId="209A9B74" w:rsidR="00CD66C6" w:rsidRDefault="00000000" w:rsidP="00CD66C6">
      <w:pPr>
        <w:spacing w:after="240"/>
        <w:jc w:val="both"/>
      </w:pPr>
      <w:hyperlink r:id="rId21" w:history="1">
        <w:r w:rsidR="00CD66C6" w:rsidRPr="00CD66C6">
          <w:rPr>
            <w:rStyle w:val="Hipervnculo"/>
          </w:rPr>
          <w:t>STS, Sala Primera, 580/2022, de 26 de julio de 2022</w:t>
        </w:r>
      </w:hyperlink>
      <w:r w:rsidR="00CD66C6">
        <w:t>. “</w:t>
      </w:r>
      <w:r w:rsidR="00CD66C6" w:rsidRPr="00CD66C6">
        <w:t>Cláusula suelo. Control de transparencia en la subrogación por el consumidor en el préstamo hipotecario concedido al promotor. Reiteración de la jurisprudencia de la sala</w:t>
      </w:r>
      <w:r w:rsidR="00CD66C6">
        <w:t xml:space="preserve">”. </w:t>
      </w:r>
    </w:p>
    <w:p w14:paraId="664A69DC" w14:textId="76E7AB26" w:rsidR="00CD66C6" w:rsidRPr="00CD66C6" w:rsidRDefault="00000000" w:rsidP="00CD66C6">
      <w:pPr>
        <w:spacing w:after="240"/>
        <w:jc w:val="both"/>
      </w:pPr>
      <w:hyperlink r:id="rId22" w:history="1">
        <w:r w:rsidR="00CD66C6" w:rsidRPr="00CD66C6">
          <w:rPr>
            <w:rStyle w:val="Hipervnculo"/>
          </w:rPr>
          <w:t>STS, Sala Primera, 581/2022, de 26 de julio de 2022</w:t>
        </w:r>
      </w:hyperlink>
      <w:r w:rsidR="00CD66C6">
        <w:t>. “</w:t>
      </w:r>
      <w:r w:rsidR="00CD66C6" w:rsidRPr="00CD66C6">
        <w:t>Condiciones generales de la contratación. Nulidad de cláusulas abusivas: cláusula suelo. Jurisprudencia sobre el control de incorporación y de transparencia</w:t>
      </w:r>
      <w:r w:rsidR="00CD66C6">
        <w:t xml:space="preserve">”. </w:t>
      </w:r>
    </w:p>
    <w:p w14:paraId="445AA0F9" w14:textId="6131C516" w:rsidR="00610E3B" w:rsidRPr="00610E3B" w:rsidRDefault="00000000" w:rsidP="00610E3B">
      <w:pPr>
        <w:spacing w:after="240"/>
        <w:jc w:val="both"/>
      </w:pPr>
      <w:hyperlink r:id="rId23" w:history="1">
        <w:r w:rsidR="00610E3B" w:rsidRPr="00610E3B">
          <w:rPr>
            <w:rStyle w:val="Hipervnculo"/>
          </w:rPr>
          <w:t>STS, Sala Primera, 615/2022, de 20 de septiembre de 2022</w:t>
        </w:r>
      </w:hyperlink>
      <w:r w:rsidR="00610E3B">
        <w:t>. “</w:t>
      </w:r>
      <w:r w:rsidR="00610E3B" w:rsidRPr="00610E3B">
        <w:t>Cláusula suelo. Control de transparencia. Información precontractual. Entrega de la ficha FIPER</w:t>
      </w:r>
      <w:r w:rsidR="00610E3B">
        <w:t xml:space="preserve">”. </w:t>
      </w:r>
    </w:p>
    <w:p w14:paraId="3178F2F4" w14:textId="7AA2B6B0" w:rsidR="001661B9" w:rsidRPr="00610E3B" w:rsidRDefault="00000000" w:rsidP="00610E3B">
      <w:pPr>
        <w:spacing w:after="240"/>
        <w:jc w:val="both"/>
      </w:pPr>
      <w:hyperlink r:id="rId24" w:history="1">
        <w:r w:rsidR="00610E3B" w:rsidRPr="00610E3B">
          <w:rPr>
            <w:rStyle w:val="Hipervnculo"/>
          </w:rPr>
          <w:t>STS, Sala Primera, 626/2022, de 26 de septiembre de 2022</w:t>
        </w:r>
      </w:hyperlink>
      <w:r w:rsidR="00610E3B">
        <w:t>. “</w:t>
      </w:r>
      <w:r w:rsidR="00610E3B" w:rsidRPr="00610E3B">
        <w:t xml:space="preserve">Condiciones generales de contratación. </w:t>
      </w:r>
      <w:r w:rsidR="00610E3B">
        <w:t>C</w:t>
      </w:r>
      <w:r w:rsidR="00610E3B" w:rsidRPr="00610E3B">
        <w:t xml:space="preserve">láusula suelo. </w:t>
      </w:r>
      <w:r w:rsidR="00610E3B">
        <w:t>C</w:t>
      </w:r>
      <w:r w:rsidR="00610E3B" w:rsidRPr="00610E3B">
        <w:t xml:space="preserve">ontratación con consumidores. </w:t>
      </w:r>
      <w:r w:rsidR="00610E3B">
        <w:t>C</w:t>
      </w:r>
      <w:r w:rsidR="00610E3B" w:rsidRPr="00610E3B">
        <w:t xml:space="preserve">ontrol de transparencia. </w:t>
      </w:r>
      <w:r w:rsidR="00610E3B">
        <w:t>V</w:t>
      </w:r>
      <w:r w:rsidR="00610E3B" w:rsidRPr="00610E3B">
        <w:t>alor de la intervención notarial</w:t>
      </w:r>
      <w:r w:rsidR="00610E3B">
        <w:t xml:space="preserve">”. </w:t>
      </w:r>
    </w:p>
    <w:p w14:paraId="43CF3ECD" w14:textId="7DAE3668" w:rsidR="00D637F0" w:rsidRDefault="00D637F0" w:rsidP="00D637F0">
      <w:pPr>
        <w:pStyle w:val="Prrafodelista"/>
        <w:numPr>
          <w:ilvl w:val="0"/>
          <w:numId w:val="16"/>
        </w:numPr>
        <w:spacing w:after="240"/>
        <w:jc w:val="both"/>
        <w:rPr>
          <w:rFonts w:ascii="Times New Roman" w:hAnsi="Times New Roman" w:cs="Times New Roman"/>
          <w:b/>
          <w:bCs/>
          <w:sz w:val="24"/>
          <w:szCs w:val="24"/>
        </w:rPr>
      </w:pPr>
      <w:r>
        <w:rPr>
          <w:rFonts w:ascii="Times New Roman" w:hAnsi="Times New Roman" w:cs="Times New Roman"/>
          <w:b/>
          <w:bCs/>
          <w:sz w:val="24"/>
          <w:szCs w:val="24"/>
        </w:rPr>
        <w:t>Cláusula suelo</w:t>
      </w:r>
      <w:r w:rsidR="00726A56">
        <w:rPr>
          <w:rFonts w:ascii="Times New Roman" w:hAnsi="Times New Roman" w:cs="Times New Roman"/>
          <w:b/>
          <w:bCs/>
          <w:sz w:val="24"/>
          <w:szCs w:val="24"/>
        </w:rPr>
        <w:t>, novación y renuncia de acciones</w:t>
      </w:r>
    </w:p>
    <w:p w14:paraId="1F6A327D" w14:textId="37E24264" w:rsidR="007F1BA6" w:rsidRPr="007F1BA6" w:rsidRDefault="00000000" w:rsidP="007F1BA6">
      <w:pPr>
        <w:spacing w:after="240"/>
        <w:jc w:val="both"/>
      </w:pPr>
      <w:hyperlink r:id="rId25" w:history="1">
        <w:r w:rsidR="007F1BA6" w:rsidRPr="007F1BA6">
          <w:rPr>
            <w:rStyle w:val="Hipervnculo"/>
          </w:rPr>
          <w:t>STS, Sala Primera, 519/2022, de 4 de julio de 2022</w:t>
        </w:r>
      </w:hyperlink>
      <w:r w:rsidR="007F1BA6">
        <w:t>. “</w:t>
      </w:r>
      <w:r w:rsidR="007F1BA6" w:rsidRPr="007F1BA6">
        <w:t>Cláusula suelo. Acuerdo posterior que modifica a la baja la cláusula e incluye una renuncia de acciones genérica. Validez del acuerdo novatorio porque supera el control de transparencia. Nulidad de la cláusula de renuncia de acciones. Costas</w:t>
      </w:r>
      <w:r w:rsidR="007F1BA6">
        <w:t xml:space="preserve">”. </w:t>
      </w:r>
    </w:p>
    <w:p w14:paraId="7D7103C4" w14:textId="205951F9" w:rsidR="00621A2B" w:rsidRPr="00621A2B" w:rsidRDefault="00000000" w:rsidP="00621A2B">
      <w:pPr>
        <w:spacing w:after="240"/>
        <w:jc w:val="both"/>
      </w:pPr>
      <w:hyperlink r:id="rId26" w:history="1">
        <w:r w:rsidR="00621A2B" w:rsidRPr="00621A2B">
          <w:rPr>
            <w:rStyle w:val="Hipervnculo"/>
          </w:rPr>
          <w:t>STS, Sala Primera, 541/2022, de 6 de julio de 2022</w:t>
        </w:r>
      </w:hyperlink>
      <w:r w:rsidR="00621A2B">
        <w:t>. “</w:t>
      </w:r>
      <w:r w:rsidR="00621A2B" w:rsidRPr="00621A2B">
        <w:t>Cláusula suelo. Acuerdo posterior que modifica a la baja la cláusula e incluye una renuncia de acciones genérica. Validez del acuerdo novatorio porque supera el control de transparencia. Nulidad de la cláusula de renuncia de acciones. Costas</w:t>
      </w:r>
      <w:r w:rsidR="00621A2B">
        <w:t xml:space="preserve">”. </w:t>
      </w:r>
    </w:p>
    <w:p w14:paraId="5DBA13F6" w14:textId="43517074" w:rsidR="00621A2B" w:rsidRPr="00621A2B" w:rsidRDefault="00000000" w:rsidP="00621A2B">
      <w:pPr>
        <w:spacing w:after="240"/>
        <w:jc w:val="both"/>
      </w:pPr>
      <w:hyperlink r:id="rId27" w:history="1">
        <w:r w:rsidR="00621A2B" w:rsidRPr="00621A2B">
          <w:rPr>
            <w:rStyle w:val="Hipervnculo"/>
          </w:rPr>
          <w:t>STS, Sala Primera, 546/2022, de 7 de julio de 2022</w:t>
        </w:r>
      </w:hyperlink>
      <w:r w:rsidR="00621A2B">
        <w:t>. “</w:t>
      </w:r>
      <w:r w:rsidR="00621A2B" w:rsidRPr="00621A2B">
        <w:t>Cláusula suelo. Acuerdo posterior que modifica a la baja la cláusula e incluye una renuncia de acciones genérica. Validez del acuerdo novatorio porque supera el control de transparencia. Nulidad de la cláusula de renuncia de acciones. Costas</w:t>
      </w:r>
      <w:r w:rsidR="00621A2B">
        <w:t xml:space="preserve">”. </w:t>
      </w:r>
    </w:p>
    <w:p w14:paraId="02CE2F81" w14:textId="01414A76" w:rsidR="004165FA" w:rsidRPr="004165FA" w:rsidRDefault="00000000" w:rsidP="004165FA">
      <w:pPr>
        <w:spacing w:after="240"/>
        <w:jc w:val="both"/>
      </w:pPr>
      <w:hyperlink r:id="rId28" w:history="1">
        <w:r w:rsidR="004165FA" w:rsidRPr="00621A2B">
          <w:rPr>
            <w:rStyle w:val="Hipervnculo"/>
          </w:rPr>
          <w:t>STS, Sala Primera, 547/2022, de 7 de julio de 2022</w:t>
        </w:r>
      </w:hyperlink>
      <w:r w:rsidR="004165FA">
        <w:t>. “</w:t>
      </w:r>
      <w:r w:rsidR="004165FA" w:rsidRPr="004165FA">
        <w:t>Cláusula suelo. Acuerdo posterior que modifica a la baja la cláusula e incluye una renuncia de acciones genérica. Validez del acuerdo novatorio porque supera el control de transparencia</w:t>
      </w:r>
      <w:r w:rsidR="004165FA">
        <w:t xml:space="preserve">”. </w:t>
      </w:r>
    </w:p>
    <w:p w14:paraId="54F23ABB" w14:textId="31FF4B89" w:rsidR="004165FA" w:rsidRDefault="00000000" w:rsidP="004165FA">
      <w:pPr>
        <w:spacing w:after="240"/>
        <w:jc w:val="both"/>
      </w:pPr>
      <w:hyperlink r:id="rId29" w:history="1">
        <w:r w:rsidR="004165FA" w:rsidRPr="004165FA">
          <w:rPr>
            <w:rStyle w:val="Hipervnculo"/>
          </w:rPr>
          <w:t>STS, Sala Primera, 552/2022, de 8 de julio de 2022</w:t>
        </w:r>
      </w:hyperlink>
      <w:r w:rsidR="004165FA">
        <w:t>. “</w:t>
      </w:r>
      <w:r w:rsidR="004165FA" w:rsidRPr="004165FA">
        <w:t>Cláusula suelo. Acuerdo posterior que elimina la cláusula suelo sin cláusula de renuncia de acciones. Validez del acuerdo novatorio porque supera el control de transparencia</w:t>
      </w:r>
      <w:r w:rsidR="004165FA">
        <w:t xml:space="preserve">”. </w:t>
      </w:r>
    </w:p>
    <w:p w14:paraId="2A018B55" w14:textId="05378CA2" w:rsidR="004165FA" w:rsidRPr="004165FA" w:rsidRDefault="00000000" w:rsidP="004165FA">
      <w:pPr>
        <w:spacing w:after="240"/>
        <w:jc w:val="both"/>
      </w:pPr>
      <w:hyperlink r:id="rId30" w:history="1">
        <w:r w:rsidR="004165FA" w:rsidRPr="004165FA">
          <w:rPr>
            <w:rStyle w:val="Hipervnculo"/>
          </w:rPr>
          <w:t>STS, Sala Primera, 553/2022, de 8 de julio de 2022</w:t>
        </w:r>
      </w:hyperlink>
      <w:r w:rsidR="004165FA">
        <w:t>. “</w:t>
      </w:r>
      <w:r w:rsidR="004165FA" w:rsidRPr="004165FA">
        <w:t>Novación modificativa de préstamo hipotecario. Acuerdo posterior que sustituye el interés variable con cláusula suelo por fijo sin suelo. No contiene cláusula de renuncia de acciones. Control de transparencia</w:t>
      </w:r>
      <w:r w:rsidR="004165FA">
        <w:t xml:space="preserve">”. </w:t>
      </w:r>
    </w:p>
    <w:p w14:paraId="73A4BD75" w14:textId="66EEFCFA" w:rsidR="004165FA" w:rsidRDefault="00000000" w:rsidP="004165FA">
      <w:pPr>
        <w:spacing w:after="240"/>
        <w:jc w:val="both"/>
      </w:pPr>
      <w:hyperlink r:id="rId31" w:history="1">
        <w:r w:rsidR="004165FA" w:rsidRPr="004165FA">
          <w:rPr>
            <w:rStyle w:val="Hipervnculo"/>
          </w:rPr>
          <w:t>STS, Sala Primera, 554/2022, de 8 de julio de 2022</w:t>
        </w:r>
      </w:hyperlink>
      <w:r w:rsidR="004165FA">
        <w:t>. “</w:t>
      </w:r>
      <w:r w:rsidR="004165FA" w:rsidRPr="004165FA">
        <w:t>Préstamo hipotecario con consumidores. Cláusula suelo. Acuerdo posterior que elimina la cláusula suelo con renuncia de acciones. Inexistencia de renuncia de acciones. Validez del acuerdo novatorio del interés. Control de transparencia. Costas procesales</w:t>
      </w:r>
      <w:r w:rsidR="004165FA">
        <w:t xml:space="preserve">”. </w:t>
      </w:r>
    </w:p>
    <w:p w14:paraId="796BF622" w14:textId="5BF3C5FC" w:rsidR="004165FA" w:rsidRPr="004165FA" w:rsidRDefault="00000000" w:rsidP="004165FA">
      <w:pPr>
        <w:spacing w:after="240"/>
        <w:jc w:val="both"/>
      </w:pPr>
      <w:hyperlink r:id="rId32" w:history="1">
        <w:r w:rsidR="004165FA" w:rsidRPr="004165FA">
          <w:rPr>
            <w:rStyle w:val="Hipervnculo"/>
          </w:rPr>
          <w:t>STS, Sala Primera, 555/2022, de 8 de julio de 2022</w:t>
        </w:r>
      </w:hyperlink>
      <w:r w:rsidR="004165FA">
        <w:t>. “</w:t>
      </w:r>
      <w:r w:rsidR="004165FA" w:rsidRPr="004165FA">
        <w:t>Cláusula suelo en préstamo hipotecario con consumidores. Transacción en la que se elimina el límite mínimo de variabilidad del tipo de interés ordinario, se reduce el diferencial y se incluye una cláusula de renuncia de acciones. Reiteración de doctrina</w:t>
      </w:r>
      <w:r w:rsidR="004165FA">
        <w:t>”</w:t>
      </w:r>
    </w:p>
    <w:p w14:paraId="3123F5FC" w14:textId="6FE17CA5" w:rsidR="004165FA" w:rsidRPr="004165FA" w:rsidRDefault="00000000" w:rsidP="004165FA">
      <w:pPr>
        <w:spacing w:after="240"/>
        <w:jc w:val="both"/>
      </w:pPr>
      <w:hyperlink r:id="rId33" w:history="1">
        <w:r w:rsidR="004165FA" w:rsidRPr="004165FA">
          <w:rPr>
            <w:rStyle w:val="Hipervnculo"/>
          </w:rPr>
          <w:t>STS, Sala Primera, 575/2022, de 19 de julio de 2022</w:t>
        </w:r>
      </w:hyperlink>
      <w:r w:rsidR="004165FA">
        <w:t>. “</w:t>
      </w:r>
      <w:r w:rsidR="004165FA" w:rsidRPr="004165FA">
        <w:t xml:space="preserve">Cláusula suelo. Documento firmado por </w:t>
      </w:r>
      <w:proofErr w:type="spellStart"/>
      <w:r w:rsidR="004165FA" w:rsidRPr="004165FA">
        <w:t>Cajasur</w:t>
      </w:r>
      <w:proofErr w:type="spellEnd"/>
      <w:r w:rsidR="004165FA" w:rsidRPr="004165FA">
        <w:t xml:space="preserve"> y los consumidores</w:t>
      </w:r>
      <w:r w:rsidR="005E3F4E">
        <w:t xml:space="preserve"> </w:t>
      </w:r>
      <w:r w:rsidR="004165FA" w:rsidRPr="004165FA">
        <w:t xml:space="preserve">prestatarios, tras la STS que estimó la acción colectiva de cesación de la cláusula suelo de </w:t>
      </w:r>
      <w:proofErr w:type="spellStart"/>
      <w:r w:rsidR="004165FA" w:rsidRPr="004165FA">
        <w:t>Cajasur</w:t>
      </w:r>
      <w:proofErr w:type="spellEnd"/>
      <w:r w:rsidR="004165FA" w:rsidRPr="004165FA">
        <w:t>, en el que los consumidores renuncian a reclamar lo pagado por las cláusulas suelo</w:t>
      </w:r>
      <w:r w:rsidR="004165FA">
        <w:t xml:space="preserve">”. </w:t>
      </w:r>
    </w:p>
    <w:p w14:paraId="1D15F93E" w14:textId="041C35A8" w:rsidR="004165FA" w:rsidRPr="004165FA" w:rsidRDefault="00000000" w:rsidP="004165FA">
      <w:pPr>
        <w:spacing w:after="240"/>
        <w:jc w:val="both"/>
      </w:pPr>
      <w:hyperlink r:id="rId34" w:history="1">
        <w:r w:rsidR="004165FA" w:rsidRPr="004165FA">
          <w:rPr>
            <w:rStyle w:val="Hipervnculo"/>
          </w:rPr>
          <w:t>STS, Sala Primera, 576/2022, de 19 de julio de 2022</w:t>
        </w:r>
      </w:hyperlink>
      <w:r w:rsidR="004165FA">
        <w:t>. “</w:t>
      </w:r>
      <w:r w:rsidR="004165FA" w:rsidRPr="004165FA">
        <w:t xml:space="preserve">Cláusula suelo. Documento privado firmado por </w:t>
      </w:r>
      <w:proofErr w:type="spellStart"/>
      <w:r w:rsidR="004165FA" w:rsidRPr="004165FA">
        <w:t>Cajasur</w:t>
      </w:r>
      <w:proofErr w:type="spellEnd"/>
      <w:r w:rsidR="004165FA" w:rsidRPr="004165FA">
        <w:t xml:space="preserve"> y los consumidores prestatarios tras la STS 138/2015, de 24 de marzo, que estimó la acción colectiva de cesación de cláusula suelo de </w:t>
      </w:r>
      <w:proofErr w:type="spellStart"/>
      <w:r w:rsidR="004165FA" w:rsidRPr="004165FA">
        <w:t>Cajasur</w:t>
      </w:r>
      <w:proofErr w:type="spellEnd"/>
      <w:r w:rsidR="004165FA" w:rsidRPr="004165FA">
        <w:t>, en el que se renunciaba al ejercicio de acciones</w:t>
      </w:r>
      <w:r w:rsidR="004165FA">
        <w:t xml:space="preserve">”. </w:t>
      </w:r>
    </w:p>
    <w:p w14:paraId="30CFB267" w14:textId="4FE2EC46" w:rsidR="00CD66C6" w:rsidRPr="00CD66C6" w:rsidRDefault="00000000" w:rsidP="00CD66C6">
      <w:pPr>
        <w:spacing w:after="240"/>
        <w:jc w:val="both"/>
      </w:pPr>
      <w:hyperlink r:id="rId35" w:history="1">
        <w:r w:rsidR="00CD66C6" w:rsidRPr="00CD66C6">
          <w:rPr>
            <w:rStyle w:val="Hipervnculo"/>
          </w:rPr>
          <w:t>STS, Sala Primera, 586/2022, de 26 de julio de 2022</w:t>
        </w:r>
      </w:hyperlink>
      <w:r w:rsidR="00CD66C6">
        <w:t>. “</w:t>
      </w:r>
      <w:r w:rsidR="00CD66C6" w:rsidRPr="00CD66C6">
        <w:t>Cláusula suelo. Acuerdo posterior que elimina la cláusula suelo, con cláusula de renuncia de acciones. Nulidad de la renuncia por su carácter genérico. Reiteración de jurisprudencia</w:t>
      </w:r>
      <w:r w:rsidR="00CD66C6">
        <w:t xml:space="preserve">”. </w:t>
      </w:r>
    </w:p>
    <w:p w14:paraId="27604ADE" w14:textId="55C23DCF" w:rsidR="00CD66C6" w:rsidRPr="00CD66C6" w:rsidRDefault="00000000" w:rsidP="00CD66C6">
      <w:pPr>
        <w:spacing w:after="240"/>
        <w:jc w:val="both"/>
      </w:pPr>
      <w:hyperlink r:id="rId36" w:history="1">
        <w:r w:rsidR="00CD66C6" w:rsidRPr="00CD66C6">
          <w:rPr>
            <w:rStyle w:val="Hipervnculo"/>
          </w:rPr>
          <w:t>STS, Sala Primera, 587/2022, de 26 de julio de 2022</w:t>
        </w:r>
      </w:hyperlink>
      <w:r w:rsidR="00CD66C6">
        <w:t>. “</w:t>
      </w:r>
      <w:r w:rsidR="00CD66C6" w:rsidRPr="00CD66C6">
        <w:t>Cláusula suelo. Acuerdo posterior que modifica a la baja la cláusula e incluye una renuncia de acciones genérica. Validez del acuerdo novatorio porque supera el control de transparencia. Nulidad de la cláusula de renuncia de acciones. Costas</w:t>
      </w:r>
      <w:r w:rsidR="00CD66C6">
        <w:t xml:space="preserve">”. </w:t>
      </w:r>
    </w:p>
    <w:p w14:paraId="45059477" w14:textId="2D8B3421" w:rsidR="00CD66C6" w:rsidRDefault="00CD66C6" w:rsidP="00D637F0">
      <w:pPr>
        <w:pStyle w:val="Prrafodelista"/>
        <w:numPr>
          <w:ilvl w:val="0"/>
          <w:numId w:val="16"/>
        </w:numPr>
        <w:spacing w:after="240"/>
        <w:jc w:val="both"/>
        <w:rPr>
          <w:rFonts w:ascii="Times New Roman" w:hAnsi="Times New Roman" w:cs="Times New Roman"/>
          <w:b/>
          <w:bCs/>
          <w:sz w:val="24"/>
          <w:szCs w:val="24"/>
        </w:rPr>
      </w:pPr>
      <w:r>
        <w:rPr>
          <w:rFonts w:ascii="Times New Roman" w:hAnsi="Times New Roman" w:cs="Times New Roman"/>
          <w:b/>
          <w:bCs/>
          <w:sz w:val="24"/>
          <w:szCs w:val="24"/>
        </w:rPr>
        <w:t>Cláusula suelo y restitución patrimonial</w:t>
      </w:r>
    </w:p>
    <w:p w14:paraId="0D125704" w14:textId="41D3D17D" w:rsidR="00CD66C6" w:rsidRPr="00CD66C6" w:rsidRDefault="00000000" w:rsidP="00CD66C6">
      <w:pPr>
        <w:spacing w:after="240"/>
        <w:jc w:val="both"/>
      </w:pPr>
      <w:hyperlink r:id="rId37" w:history="1">
        <w:r w:rsidR="00CD66C6" w:rsidRPr="00CD66C6">
          <w:rPr>
            <w:rStyle w:val="Hipervnculo"/>
          </w:rPr>
          <w:t>STS, Sala Primera, 579/2022, de 26 de julio de 2022</w:t>
        </w:r>
      </w:hyperlink>
      <w:r w:rsidR="00CD66C6">
        <w:t>. “</w:t>
      </w:r>
      <w:r w:rsidR="00CD66C6" w:rsidRPr="00CD66C6">
        <w:t xml:space="preserve">Cláusula suelo. Aplicación de la jurisprudencia del TJUE sobre no limitación de los efectos restitutorios, sin que los principios de justicia rogada, congruencia y prohibición de la </w:t>
      </w:r>
      <w:proofErr w:type="spellStart"/>
      <w:r w:rsidR="00CD66C6" w:rsidRPr="00CD66C6">
        <w:t>reformatio</w:t>
      </w:r>
      <w:proofErr w:type="spellEnd"/>
      <w:r w:rsidR="00CD66C6" w:rsidRPr="00CD66C6">
        <w:t xml:space="preserve"> in </w:t>
      </w:r>
      <w:proofErr w:type="spellStart"/>
      <w:r w:rsidR="00CD66C6" w:rsidRPr="00CD66C6">
        <w:t>peius</w:t>
      </w:r>
      <w:proofErr w:type="spellEnd"/>
      <w:r w:rsidR="00CD66C6" w:rsidRPr="00CD66C6">
        <w:t xml:space="preserve"> sean óbice para ello</w:t>
      </w:r>
      <w:r w:rsidR="00CD66C6">
        <w:t xml:space="preserve">”. </w:t>
      </w:r>
    </w:p>
    <w:p w14:paraId="5F80980F" w14:textId="3F103461" w:rsidR="007B0C81" w:rsidRDefault="007B0C81" w:rsidP="00D637F0">
      <w:pPr>
        <w:pStyle w:val="Prrafodelista"/>
        <w:numPr>
          <w:ilvl w:val="0"/>
          <w:numId w:val="16"/>
        </w:numPr>
        <w:spacing w:after="240"/>
        <w:jc w:val="both"/>
        <w:rPr>
          <w:rFonts w:ascii="Times New Roman" w:hAnsi="Times New Roman" w:cs="Times New Roman"/>
          <w:b/>
          <w:bCs/>
          <w:sz w:val="24"/>
          <w:szCs w:val="24"/>
        </w:rPr>
      </w:pPr>
      <w:r>
        <w:rPr>
          <w:rFonts w:ascii="Times New Roman" w:hAnsi="Times New Roman" w:cs="Times New Roman"/>
          <w:b/>
          <w:bCs/>
          <w:sz w:val="24"/>
          <w:szCs w:val="24"/>
        </w:rPr>
        <w:t>Cláusula de renuncia de acciones</w:t>
      </w:r>
    </w:p>
    <w:p w14:paraId="6BB64E6B" w14:textId="72EEA063" w:rsidR="007B0C81" w:rsidRPr="007B0C81" w:rsidRDefault="00000000" w:rsidP="007B0C81">
      <w:pPr>
        <w:spacing w:after="240"/>
        <w:jc w:val="both"/>
      </w:pPr>
      <w:hyperlink r:id="rId38" w:history="1">
        <w:r w:rsidR="007B0C81" w:rsidRPr="007B0C81">
          <w:rPr>
            <w:rStyle w:val="Hipervnculo"/>
          </w:rPr>
          <w:t>STS, Sala Primera, 616/2022, de 20 de septiembre de 2022</w:t>
        </w:r>
      </w:hyperlink>
      <w:r w:rsidR="007B0C81">
        <w:t>. “</w:t>
      </w:r>
      <w:r w:rsidR="007B0C81" w:rsidRPr="007B0C81">
        <w:t xml:space="preserve">Obligaciones subordinadas de la antigua Caja Duero canjeadas por el FROB por bonos contingente y necesariamente convertibles en acciones de Banco </w:t>
      </w:r>
      <w:proofErr w:type="spellStart"/>
      <w:r w:rsidR="007B0C81" w:rsidRPr="007B0C81">
        <w:t>Ceiss</w:t>
      </w:r>
      <w:proofErr w:type="spellEnd"/>
      <w:r w:rsidR="007B0C81" w:rsidRPr="007B0C81">
        <w:t>, con posterior oferta de canje por bonos de Unicaja que incluía una cláusula de renuncia en documento notarial. Se trata de una renuncia a las acciones ya nacidas, no de una renuncia previa de derechos o acciones prohibida por la ley, pero ello no impide el control de abusividad. Al no tratarse de una condición general referida a la definición del objeto principal del contrato ni a la adecuación entre precio y retribución y servicios proporcionados como contrapartida, de las previstas en el art. 4.2 de la Directiva 93/13, en la interpretación estricta que ha hecho el TJUE, puede realizarse ese control de abusividad. La cláusula de renuncia de acciones es abusiva porque, habida cuenta las circunstancias concurrentes, provoca un desequilibrio importante en los derechos y obligaciones de las partes, en contra de las exigencias de la buena</w:t>
      </w:r>
      <w:r w:rsidR="007B0C81">
        <w:t xml:space="preserve">”. </w:t>
      </w:r>
    </w:p>
    <w:p w14:paraId="6C6A4EBC" w14:textId="5E03AB1E" w:rsidR="007C6552" w:rsidRDefault="007C6552" w:rsidP="006B6B86">
      <w:pPr>
        <w:spacing w:after="240"/>
        <w:jc w:val="both"/>
        <w:rPr>
          <w:b/>
          <w:bCs/>
        </w:rPr>
      </w:pPr>
      <w:r w:rsidRPr="006B6B86">
        <w:rPr>
          <w:b/>
          <w:bCs/>
        </w:rPr>
        <w:t>Cláusulas abusivas y costas procesales</w:t>
      </w:r>
    </w:p>
    <w:p w14:paraId="4DC88034" w14:textId="1D3E64D0" w:rsidR="007F1BA6" w:rsidRPr="007F1BA6" w:rsidRDefault="00000000" w:rsidP="006B6B86">
      <w:pPr>
        <w:spacing w:after="240"/>
        <w:jc w:val="both"/>
      </w:pPr>
      <w:hyperlink r:id="rId39" w:history="1">
        <w:r w:rsidR="007F1BA6" w:rsidRPr="007F1BA6">
          <w:rPr>
            <w:rStyle w:val="Hipervnculo"/>
          </w:rPr>
          <w:t>STS, Sala Primera, 531/2022, de 5 de julio de 2022</w:t>
        </w:r>
      </w:hyperlink>
      <w:r w:rsidR="007F1BA6">
        <w:t>. “</w:t>
      </w:r>
      <w:r w:rsidR="007F1BA6" w:rsidRPr="007F1BA6">
        <w:t>Demanda de nulidad de cláusula suelo tras reclamación extrajudicial. El Real Decreto-Ley 1/2017, de 20 de enero, no permite imponer las costas al consumidor si se estima la demanda</w:t>
      </w:r>
      <w:r w:rsidR="007F1BA6">
        <w:t xml:space="preserve">”. </w:t>
      </w:r>
    </w:p>
    <w:p w14:paraId="11098959" w14:textId="5E681ED2" w:rsidR="004165FA" w:rsidRPr="004165FA" w:rsidRDefault="00000000" w:rsidP="006B6B86">
      <w:pPr>
        <w:spacing w:after="240"/>
        <w:jc w:val="both"/>
      </w:pPr>
      <w:hyperlink r:id="rId40" w:history="1">
        <w:r w:rsidR="004165FA" w:rsidRPr="004165FA">
          <w:rPr>
            <w:rStyle w:val="Hipervnculo"/>
          </w:rPr>
          <w:t>STS, Sala Primera, 562/2022, de 12 de julio de 2022</w:t>
        </w:r>
      </w:hyperlink>
      <w:r w:rsidR="004165FA">
        <w:t>. “</w:t>
      </w:r>
      <w:r w:rsidR="004165FA" w:rsidRPr="004165FA">
        <w:t>Improcedente condena en costas del banco demandado en procedimiento de nulidad de cláusula suelo por falta de transparencia. Inexistencia de mala fe. RDL 1/2017</w:t>
      </w:r>
      <w:r w:rsidR="004165FA">
        <w:t xml:space="preserve">”. </w:t>
      </w:r>
    </w:p>
    <w:p w14:paraId="5FEE362F" w14:textId="478BDAF8" w:rsidR="001A65B0" w:rsidRDefault="001A65B0" w:rsidP="002B1E17">
      <w:pPr>
        <w:spacing w:after="240"/>
        <w:jc w:val="both"/>
        <w:rPr>
          <w:b/>
          <w:bCs/>
        </w:rPr>
      </w:pPr>
      <w:r>
        <w:rPr>
          <w:b/>
          <w:bCs/>
        </w:rPr>
        <w:t xml:space="preserve">Préstamos con garantía hipotecaria. </w:t>
      </w:r>
      <w:proofErr w:type="spellStart"/>
      <w:r>
        <w:rPr>
          <w:b/>
          <w:bCs/>
        </w:rPr>
        <w:t>Multidivisas</w:t>
      </w:r>
      <w:proofErr w:type="spellEnd"/>
    </w:p>
    <w:p w14:paraId="5B5C303D" w14:textId="1A603208" w:rsidR="007B0C81" w:rsidRDefault="00000000" w:rsidP="002B1E17">
      <w:pPr>
        <w:spacing w:after="240"/>
        <w:jc w:val="both"/>
      </w:pPr>
      <w:hyperlink r:id="rId41" w:history="1">
        <w:r w:rsidR="007B0C81" w:rsidRPr="007B0C81">
          <w:rPr>
            <w:rStyle w:val="Hipervnculo"/>
          </w:rPr>
          <w:t>STS, Sala Primera, 613/2022, de 20 de septiembre de 2022</w:t>
        </w:r>
      </w:hyperlink>
      <w:r w:rsidR="007B0C81">
        <w:t>. “</w:t>
      </w:r>
      <w:r w:rsidR="007B0C81" w:rsidRPr="007B0C81">
        <w:t xml:space="preserve">Préstamo </w:t>
      </w:r>
      <w:proofErr w:type="spellStart"/>
      <w:r w:rsidR="007B0C81" w:rsidRPr="007B0C81">
        <w:t>multidivisa</w:t>
      </w:r>
      <w:proofErr w:type="spellEnd"/>
      <w:r w:rsidR="007B0C81" w:rsidRPr="007B0C81">
        <w:t xml:space="preserve">. Control de transparencia del clausulado </w:t>
      </w:r>
      <w:proofErr w:type="spellStart"/>
      <w:r w:rsidR="007B0C81" w:rsidRPr="007B0C81">
        <w:t>multidivisa</w:t>
      </w:r>
      <w:proofErr w:type="spellEnd"/>
      <w:r w:rsidR="007B0C81" w:rsidRPr="007B0C81">
        <w:t>. Valoración de la información suministrada al prestatario. Reiteración de la jurisprudencia</w:t>
      </w:r>
      <w:r w:rsidR="007B0C81">
        <w:t xml:space="preserve">”. </w:t>
      </w:r>
    </w:p>
    <w:p w14:paraId="776C2848" w14:textId="700DDF19" w:rsidR="007B0C81" w:rsidRPr="007B0C81" w:rsidRDefault="00000000" w:rsidP="002B1E17">
      <w:pPr>
        <w:spacing w:after="240"/>
        <w:jc w:val="both"/>
      </w:pPr>
      <w:hyperlink r:id="rId42" w:history="1">
        <w:r w:rsidR="007B0C81" w:rsidRPr="007B0C81">
          <w:rPr>
            <w:rStyle w:val="Hipervnculo"/>
          </w:rPr>
          <w:t>STS, Sala Primera, 614/2022, de 20 de septiembre de 2022</w:t>
        </w:r>
      </w:hyperlink>
      <w:r w:rsidR="007B0C81">
        <w:t>. “</w:t>
      </w:r>
      <w:r w:rsidR="007B0C81" w:rsidRPr="007B0C81">
        <w:t xml:space="preserve">Préstamo hipotecario </w:t>
      </w:r>
      <w:proofErr w:type="spellStart"/>
      <w:r w:rsidR="007B0C81" w:rsidRPr="007B0C81">
        <w:t>multidivisa</w:t>
      </w:r>
      <w:proofErr w:type="spellEnd"/>
      <w:r w:rsidR="007B0C81" w:rsidRPr="007B0C81">
        <w:t xml:space="preserve"> con consumidores. Requisitos de transparencia. Reiteración de la jurisprudencia de la sala</w:t>
      </w:r>
      <w:r w:rsidR="007B0C81">
        <w:t xml:space="preserve">”. </w:t>
      </w:r>
    </w:p>
    <w:p w14:paraId="4DB29A1A" w14:textId="29B68E2B" w:rsidR="00610E3B" w:rsidRPr="00610E3B" w:rsidRDefault="00000000" w:rsidP="002B1E17">
      <w:pPr>
        <w:spacing w:after="240"/>
        <w:jc w:val="both"/>
      </w:pPr>
      <w:hyperlink r:id="rId43" w:history="1">
        <w:r w:rsidR="00610E3B" w:rsidRPr="00610E3B">
          <w:rPr>
            <w:rStyle w:val="Hipervnculo"/>
          </w:rPr>
          <w:t>STS, Sala Primera, 619/2022, de 21 de septiembre de 2022</w:t>
        </w:r>
      </w:hyperlink>
      <w:r w:rsidR="00610E3B">
        <w:t>. “</w:t>
      </w:r>
      <w:r w:rsidR="00610E3B" w:rsidRPr="00610E3B">
        <w:t xml:space="preserve">Préstamo hipotecario </w:t>
      </w:r>
      <w:proofErr w:type="spellStart"/>
      <w:r w:rsidR="00610E3B" w:rsidRPr="00610E3B">
        <w:t>multidivisa</w:t>
      </w:r>
      <w:proofErr w:type="spellEnd"/>
      <w:r w:rsidR="00610E3B" w:rsidRPr="00610E3B">
        <w:t xml:space="preserve"> con consumidores. Nulidad de las cláusulas relativas a las divisas. Control de abusividad. Información precontractual necesaria para la superación del control de transparencia. Reiteración de doctrina</w:t>
      </w:r>
      <w:r w:rsidR="00610E3B">
        <w:t xml:space="preserve">”. </w:t>
      </w:r>
    </w:p>
    <w:p w14:paraId="552F2B86" w14:textId="368BB605" w:rsidR="00610E3B" w:rsidRPr="00610E3B" w:rsidRDefault="00000000" w:rsidP="002B1E17">
      <w:pPr>
        <w:spacing w:after="240"/>
        <w:jc w:val="both"/>
      </w:pPr>
      <w:hyperlink r:id="rId44" w:history="1">
        <w:r w:rsidR="00610E3B" w:rsidRPr="00610E3B">
          <w:rPr>
            <w:rStyle w:val="Hipervnculo"/>
          </w:rPr>
          <w:t>STS, Sala Primera, 627/2022, de 27 de septiembre de 2022</w:t>
        </w:r>
      </w:hyperlink>
      <w:r w:rsidR="00610E3B">
        <w:t>. “</w:t>
      </w:r>
      <w:r w:rsidR="00610E3B" w:rsidRPr="00610E3B">
        <w:t xml:space="preserve">Préstamo hipotecario </w:t>
      </w:r>
      <w:proofErr w:type="spellStart"/>
      <w:r w:rsidR="00610E3B" w:rsidRPr="00610E3B">
        <w:t>multidivisa</w:t>
      </w:r>
      <w:proofErr w:type="spellEnd"/>
      <w:r w:rsidR="00610E3B" w:rsidRPr="00610E3B">
        <w:t xml:space="preserve"> con consumidores. Nulidad de las cláusulas relativas a las divisas. Control de abusividad por falta de transparencia, por déficit de información precontractual. Reiteración de doctrina</w:t>
      </w:r>
      <w:r w:rsidR="00610E3B">
        <w:t xml:space="preserve">”. </w:t>
      </w:r>
    </w:p>
    <w:p w14:paraId="2485AEC4" w14:textId="20E507D7" w:rsidR="00C755BB" w:rsidRDefault="00C755BB" w:rsidP="002B1E17">
      <w:pPr>
        <w:spacing w:after="240"/>
        <w:jc w:val="both"/>
        <w:rPr>
          <w:b/>
          <w:bCs/>
        </w:rPr>
      </w:pPr>
      <w:r>
        <w:rPr>
          <w:b/>
          <w:bCs/>
        </w:rPr>
        <w:t>Contratos de crédito al consumo</w:t>
      </w:r>
    </w:p>
    <w:p w14:paraId="0D6A7529" w14:textId="72BB3EA8" w:rsidR="00C755BB" w:rsidRDefault="00000000" w:rsidP="002B1E17">
      <w:pPr>
        <w:spacing w:after="240"/>
        <w:jc w:val="both"/>
      </w:pPr>
      <w:hyperlink r:id="rId45" w:history="1">
        <w:r w:rsidR="00C755BB" w:rsidRPr="0055152E">
          <w:rPr>
            <w:rStyle w:val="Hipervnculo"/>
          </w:rPr>
          <w:t xml:space="preserve">STS, Sala Primera, </w:t>
        </w:r>
        <w:r w:rsidR="0055152E" w:rsidRPr="0055152E">
          <w:rPr>
            <w:rStyle w:val="Hipervnculo"/>
          </w:rPr>
          <w:t>596/2022, de 12 de septiembre de 2022</w:t>
        </w:r>
      </w:hyperlink>
      <w:r w:rsidR="0055152E">
        <w:t>. “</w:t>
      </w:r>
      <w:r w:rsidR="0055152E" w:rsidRPr="0055152E">
        <w:t>Acuerdo previo concertado en exclusiva entre entidades financieras y el proveedor de bienes y servicios. Ley 7/1995, de Crédito al Consumo. Propagación de los efectos de la ineficacia de los contratos de consumo a los contratos de crédito vinculados</w:t>
      </w:r>
      <w:r w:rsidR="0055152E">
        <w:t xml:space="preserve">”. </w:t>
      </w:r>
    </w:p>
    <w:p w14:paraId="145FA599" w14:textId="09CACA47" w:rsidR="0055152E" w:rsidRPr="00C755BB" w:rsidRDefault="00000000" w:rsidP="002B1E17">
      <w:pPr>
        <w:spacing w:after="240"/>
        <w:jc w:val="both"/>
      </w:pPr>
      <w:hyperlink r:id="rId46" w:history="1">
        <w:r w:rsidR="0055152E" w:rsidRPr="0055152E">
          <w:rPr>
            <w:rStyle w:val="Hipervnculo"/>
          </w:rPr>
          <w:t>STS, Sala Primera, 599/2022, de 12 de septiembre de 2022</w:t>
        </w:r>
      </w:hyperlink>
      <w:r w:rsidR="0055152E">
        <w:t>. “</w:t>
      </w:r>
      <w:r w:rsidR="0055152E" w:rsidRPr="0055152E">
        <w:t>Ley 57/1968. Apartamento turístico en construcción, destinado como el conjunto en el que se integraba a una finalidad y explotación hotelera, no residencial. Inaplicabilidad de la Ley 57/1968. Complejo Hacienda Casares</w:t>
      </w:r>
      <w:r w:rsidR="0055152E">
        <w:t xml:space="preserve">”. </w:t>
      </w:r>
    </w:p>
    <w:p w14:paraId="3B79FF30" w14:textId="0B6BF357" w:rsidR="006C3083" w:rsidRDefault="006C3083" w:rsidP="002B1E17">
      <w:pPr>
        <w:spacing w:after="240"/>
        <w:jc w:val="both"/>
        <w:rPr>
          <w:b/>
          <w:bCs/>
        </w:rPr>
      </w:pPr>
      <w:r>
        <w:rPr>
          <w:b/>
          <w:bCs/>
        </w:rPr>
        <w:t>Compraventa de vivienda</w:t>
      </w:r>
      <w:r w:rsidR="00927005">
        <w:rPr>
          <w:b/>
          <w:bCs/>
        </w:rPr>
        <w:t xml:space="preserve">. </w:t>
      </w:r>
      <w:r w:rsidR="0055152E">
        <w:rPr>
          <w:b/>
          <w:bCs/>
        </w:rPr>
        <w:t>Devolución de anticipos</w:t>
      </w:r>
    </w:p>
    <w:p w14:paraId="47631A69" w14:textId="228C12D5" w:rsidR="0055152E" w:rsidRPr="0055152E" w:rsidRDefault="00000000" w:rsidP="002B1E17">
      <w:pPr>
        <w:spacing w:after="240"/>
        <w:jc w:val="both"/>
      </w:pPr>
      <w:hyperlink r:id="rId47" w:history="1">
        <w:r w:rsidR="0055152E" w:rsidRPr="0055152E">
          <w:rPr>
            <w:rStyle w:val="Hipervnculo"/>
          </w:rPr>
          <w:t>STS, Sala Primera, 597/2022, de 12 de septiembre de 2022</w:t>
        </w:r>
      </w:hyperlink>
      <w:r w:rsidR="0055152E">
        <w:t>. “</w:t>
      </w:r>
      <w:r w:rsidR="0055152E" w:rsidRPr="0055152E">
        <w:t>Ley 57/1968. Reclamación al banco avalista de parte de las cantidades anticipadas que exceden del límite cuantitativo del aval individual, tras ejecutar este. Inoponibilidad del límite del aval. Renuncia a su cobro. Devengo de intereses por congruencia</w:t>
      </w:r>
      <w:r w:rsidR="0055152E">
        <w:t xml:space="preserve">”. </w:t>
      </w:r>
    </w:p>
    <w:p w14:paraId="26D20FAC" w14:textId="5B734E28" w:rsidR="00FF006E" w:rsidRDefault="00FF006E" w:rsidP="002B1E17">
      <w:pPr>
        <w:spacing w:after="240"/>
        <w:jc w:val="both"/>
        <w:rPr>
          <w:b/>
          <w:bCs/>
        </w:rPr>
      </w:pPr>
      <w:r>
        <w:rPr>
          <w:b/>
          <w:bCs/>
        </w:rPr>
        <w:t>Cuestiones de competencia</w:t>
      </w:r>
    </w:p>
    <w:p w14:paraId="718A35A3" w14:textId="436ACF5F" w:rsidR="004165FA" w:rsidRDefault="00000000" w:rsidP="002B1E17">
      <w:pPr>
        <w:spacing w:after="240"/>
        <w:jc w:val="both"/>
      </w:pPr>
      <w:hyperlink r:id="rId48" w:history="1">
        <w:r w:rsidR="004165FA" w:rsidRPr="004165FA">
          <w:rPr>
            <w:rStyle w:val="Hipervnculo"/>
          </w:rPr>
          <w:t>ATS, Sala Primera, de 12 de julio de 2022. Núm. de Recurso: 39/2022</w:t>
        </w:r>
      </w:hyperlink>
      <w:r w:rsidR="004165FA">
        <w:t>. “</w:t>
      </w:r>
      <w:r w:rsidR="004165FA" w:rsidRPr="004165FA">
        <w:t>Conflicto negativo de competencia territorial. Juicio ordinario en el que una asociación de consumidores ejercita una acción de nulidad de cláusulas abusivas en representación de sus asociados. Domicilio de la asociación demandante al momento de interponerse la demanda</w:t>
      </w:r>
      <w:r w:rsidR="004165FA">
        <w:t xml:space="preserve">”. </w:t>
      </w:r>
    </w:p>
    <w:p w14:paraId="73A255F0" w14:textId="16E43A61" w:rsidR="004165FA" w:rsidRDefault="00000000" w:rsidP="002B1E17">
      <w:pPr>
        <w:spacing w:after="240"/>
        <w:jc w:val="both"/>
      </w:pPr>
      <w:hyperlink r:id="rId49" w:history="1">
        <w:r w:rsidR="004165FA" w:rsidRPr="004165FA">
          <w:rPr>
            <w:rStyle w:val="Hipervnculo"/>
          </w:rPr>
          <w:t>ATS, Sala Primera, de 12 de julio de 2022. Núm. de Recurso: 168/2022</w:t>
        </w:r>
      </w:hyperlink>
      <w:r w:rsidR="004165FA">
        <w:t>. “</w:t>
      </w:r>
      <w:r w:rsidR="004165FA" w:rsidRPr="004165FA">
        <w:t>Conflicto negativo de competencia territorial. Juicio verbal de reclamación de cantidad. Fuero general de las personas jurídicas (artículo 51 de la LEC). Fuero electivo a elección del consumidor (artículo 52.3 de la LEC)</w:t>
      </w:r>
      <w:r w:rsidR="004165FA">
        <w:t xml:space="preserve">”. </w:t>
      </w:r>
    </w:p>
    <w:p w14:paraId="231FD40C" w14:textId="2FCC15BD" w:rsidR="004165FA" w:rsidRPr="004165FA" w:rsidRDefault="00000000" w:rsidP="002B1E17">
      <w:pPr>
        <w:spacing w:after="240"/>
        <w:jc w:val="both"/>
      </w:pPr>
      <w:hyperlink r:id="rId50" w:history="1">
        <w:r w:rsidR="004165FA" w:rsidRPr="004165FA">
          <w:rPr>
            <w:rStyle w:val="Hipervnculo"/>
          </w:rPr>
          <w:t>ATS, Sala Primera, de 12 de julio de 2022. Núm. de Recurso: 177/2022</w:t>
        </w:r>
      </w:hyperlink>
      <w:r w:rsidR="004165FA">
        <w:t>. “</w:t>
      </w:r>
      <w:r w:rsidR="004165FA" w:rsidRPr="004165FA">
        <w:t>Conflicto negativo de competencia territorial. Juicio verbal. Fuero del consumidor</w:t>
      </w:r>
      <w:r w:rsidR="004165FA">
        <w:t xml:space="preserve">”. </w:t>
      </w:r>
    </w:p>
    <w:p w14:paraId="4097C6E0" w14:textId="45FFAA99" w:rsidR="00610E3B" w:rsidRPr="00610E3B" w:rsidRDefault="00000000" w:rsidP="002B1E17">
      <w:pPr>
        <w:spacing w:after="240"/>
        <w:jc w:val="both"/>
      </w:pPr>
      <w:hyperlink r:id="rId51" w:history="1">
        <w:r w:rsidR="00610E3B" w:rsidRPr="00610E3B">
          <w:rPr>
            <w:rStyle w:val="Hipervnculo"/>
          </w:rPr>
          <w:t>ATS, Sala Primera, de 27 de septiembre de 2022. Núm. de Recurso: 221/2022</w:t>
        </w:r>
      </w:hyperlink>
      <w:r w:rsidR="00610E3B">
        <w:t>. “</w:t>
      </w:r>
      <w:r w:rsidR="00610E3B" w:rsidRPr="00610E3B">
        <w:t>Conflicto negativo de competencia territorial. Juicio verbal de reclamación de cantidad. Fuero general de las personas jurídicas (artículo 51 de la LEC). Fuero electivo a elección del consumidor (artículo 52.3 de la LEC)</w:t>
      </w:r>
      <w:r w:rsidR="00610E3B">
        <w:t xml:space="preserve">”. </w:t>
      </w:r>
    </w:p>
    <w:p w14:paraId="2751E408" w14:textId="00806DE4" w:rsidR="002B1E17" w:rsidRPr="002B1E17" w:rsidRDefault="00931802" w:rsidP="002B1E17">
      <w:pPr>
        <w:spacing w:after="240"/>
        <w:jc w:val="both"/>
      </w:pPr>
      <w:r>
        <w:rPr>
          <w:noProof/>
        </w:rPr>
        <w:pict w14:anchorId="2AE7808A">
          <v:rect id="_x0000_i1027" alt="" style="width:425.2pt;height:.05pt;mso-width-percent:0;mso-height-percent:0;mso-width-percent:0;mso-height-percent:0" o:hralign="center" o:hrstd="t" o:hr="t" fillcolor="#a0a0a0" stroked="f"/>
        </w:pict>
      </w:r>
    </w:p>
    <w:p w14:paraId="10CF42C4" w14:textId="77777777" w:rsidR="00D730B6" w:rsidRDefault="00D730B6" w:rsidP="00E017A7">
      <w:pPr>
        <w:jc w:val="center"/>
        <w:rPr>
          <w:b/>
          <w:color w:val="000000" w:themeColor="text1"/>
          <w:sz w:val="28"/>
          <w:szCs w:val="28"/>
        </w:rPr>
      </w:pPr>
    </w:p>
    <w:p w14:paraId="775E1158" w14:textId="77777777" w:rsidR="00CA73CC" w:rsidRDefault="00CA73CC" w:rsidP="00E017A7">
      <w:pPr>
        <w:jc w:val="center"/>
        <w:rPr>
          <w:b/>
          <w:color w:val="000000" w:themeColor="text1"/>
          <w:sz w:val="28"/>
          <w:szCs w:val="28"/>
        </w:rPr>
      </w:pPr>
    </w:p>
    <w:p w14:paraId="2F05AAD7" w14:textId="68047FE9" w:rsidR="00CA73CC" w:rsidRDefault="00CA73CC" w:rsidP="00E017A7">
      <w:pPr>
        <w:jc w:val="center"/>
        <w:rPr>
          <w:b/>
          <w:color w:val="000000" w:themeColor="text1"/>
          <w:sz w:val="28"/>
          <w:szCs w:val="28"/>
        </w:rPr>
      </w:pPr>
      <w:r>
        <w:rPr>
          <w:b/>
          <w:color w:val="000000" w:themeColor="text1"/>
          <w:sz w:val="28"/>
          <w:szCs w:val="28"/>
        </w:rPr>
        <w:t>AUDIENCIAS PROVINCIALES (CENDOJ – Selección)</w:t>
      </w:r>
    </w:p>
    <w:p w14:paraId="0FAC0861" w14:textId="55CA38F2" w:rsidR="00CA73CC" w:rsidRDefault="00CA73CC" w:rsidP="00E017A7">
      <w:pPr>
        <w:jc w:val="center"/>
        <w:rPr>
          <w:b/>
          <w:color w:val="000000" w:themeColor="text1"/>
          <w:sz w:val="28"/>
          <w:szCs w:val="28"/>
        </w:rPr>
      </w:pPr>
    </w:p>
    <w:p w14:paraId="49F76F3C" w14:textId="1E2F9EDD" w:rsidR="00CA73CC" w:rsidRDefault="00CA73CC" w:rsidP="00CA73CC">
      <w:pPr>
        <w:jc w:val="both"/>
        <w:rPr>
          <w:bCs/>
          <w:color w:val="000000" w:themeColor="text1"/>
        </w:rPr>
      </w:pPr>
    </w:p>
    <w:p w14:paraId="23EE54FC" w14:textId="34E326E0" w:rsidR="003E0E19" w:rsidRDefault="003E0E19" w:rsidP="00CA73CC">
      <w:pPr>
        <w:jc w:val="both"/>
        <w:rPr>
          <w:bCs/>
          <w:color w:val="000000" w:themeColor="text1"/>
        </w:rPr>
      </w:pPr>
      <w:hyperlink r:id="rId52" w:history="1">
        <w:r w:rsidRPr="003E0E19">
          <w:rPr>
            <w:rStyle w:val="Hipervnculo"/>
            <w:bCs/>
          </w:rPr>
          <w:t>SAP de Pontevedra (Secc. 1ª), 507/2022, de 6 de julio de 2022</w:t>
        </w:r>
      </w:hyperlink>
      <w:r>
        <w:rPr>
          <w:bCs/>
          <w:color w:val="000000" w:themeColor="text1"/>
        </w:rPr>
        <w:t xml:space="preserve">. “Condiciones generales de la contratación”. </w:t>
      </w:r>
    </w:p>
    <w:p w14:paraId="53CB9D56" w14:textId="77777777" w:rsidR="003E0E19" w:rsidRDefault="003E0E19" w:rsidP="00CA73CC">
      <w:pPr>
        <w:jc w:val="both"/>
        <w:rPr>
          <w:bCs/>
          <w:color w:val="000000" w:themeColor="text1"/>
        </w:rPr>
      </w:pPr>
    </w:p>
    <w:p w14:paraId="412081EC" w14:textId="3518CA43" w:rsidR="00CA73CC" w:rsidRDefault="003E0E19" w:rsidP="00CA73CC">
      <w:pPr>
        <w:jc w:val="both"/>
        <w:rPr>
          <w:bCs/>
          <w:color w:val="000000" w:themeColor="text1"/>
        </w:rPr>
      </w:pPr>
      <w:hyperlink r:id="rId53" w:history="1">
        <w:r w:rsidR="00CA73CC" w:rsidRPr="003E0E19">
          <w:rPr>
            <w:rStyle w:val="Hipervnculo"/>
            <w:bCs/>
          </w:rPr>
          <w:t>S</w:t>
        </w:r>
        <w:r w:rsidR="00CA73CC" w:rsidRPr="003E0E19">
          <w:rPr>
            <w:rStyle w:val="Hipervnculo"/>
            <w:bCs/>
          </w:rPr>
          <w:t>A</w:t>
        </w:r>
        <w:r w:rsidR="00CA73CC" w:rsidRPr="003E0E19">
          <w:rPr>
            <w:rStyle w:val="Hipervnculo"/>
            <w:bCs/>
          </w:rPr>
          <w:t xml:space="preserve">P de </w:t>
        </w:r>
        <w:r w:rsidRPr="003E0E19">
          <w:rPr>
            <w:rStyle w:val="Hipervnculo"/>
            <w:bCs/>
          </w:rPr>
          <w:t>Las Palmas (Secc. 4ª), 825/2022, de 7 de julio de 2022</w:t>
        </w:r>
      </w:hyperlink>
      <w:r w:rsidR="00CA73CC">
        <w:rPr>
          <w:bCs/>
          <w:color w:val="000000" w:themeColor="text1"/>
        </w:rPr>
        <w:t>. “</w:t>
      </w:r>
      <w:r>
        <w:rPr>
          <w:bCs/>
          <w:color w:val="000000" w:themeColor="text1"/>
        </w:rPr>
        <w:t xml:space="preserve">Multidivisa. Doble control de transparencia”. </w:t>
      </w:r>
    </w:p>
    <w:p w14:paraId="13144223" w14:textId="0B39EB5F" w:rsidR="005E3F4E" w:rsidRDefault="005E3F4E" w:rsidP="00CA73CC">
      <w:pPr>
        <w:jc w:val="both"/>
        <w:rPr>
          <w:bCs/>
          <w:color w:val="000000" w:themeColor="text1"/>
        </w:rPr>
      </w:pPr>
    </w:p>
    <w:p w14:paraId="480746E5" w14:textId="4467CED0" w:rsidR="005E3F4E" w:rsidRDefault="005E3F4E" w:rsidP="00CA73CC">
      <w:pPr>
        <w:jc w:val="both"/>
        <w:rPr>
          <w:bCs/>
          <w:color w:val="000000" w:themeColor="text1"/>
        </w:rPr>
      </w:pPr>
      <w:hyperlink r:id="rId54" w:history="1">
        <w:r w:rsidRPr="005E3F4E">
          <w:rPr>
            <w:rStyle w:val="Hipervnculo"/>
            <w:bCs/>
          </w:rPr>
          <w:t>SAP de Las Palmas (Secc. 4ª), 830/2022, de 8 de julio de 2022</w:t>
        </w:r>
      </w:hyperlink>
      <w:r>
        <w:rPr>
          <w:bCs/>
          <w:color w:val="000000" w:themeColor="text1"/>
        </w:rPr>
        <w:t xml:space="preserve">. “Gastos hipotecarios. Prescripción”. </w:t>
      </w:r>
    </w:p>
    <w:p w14:paraId="3914B277" w14:textId="6A0F56E5" w:rsidR="005E3F4E" w:rsidRDefault="005E3F4E" w:rsidP="00CA73CC">
      <w:pPr>
        <w:jc w:val="both"/>
        <w:rPr>
          <w:bCs/>
          <w:color w:val="000000" w:themeColor="text1"/>
        </w:rPr>
      </w:pPr>
    </w:p>
    <w:p w14:paraId="69857CF6" w14:textId="1CE916B4" w:rsidR="005E3F4E" w:rsidRDefault="005E3F4E" w:rsidP="00CA73CC">
      <w:pPr>
        <w:jc w:val="both"/>
        <w:rPr>
          <w:bCs/>
          <w:color w:val="000000" w:themeColor="text1"/>
        </w:rPr>
      </w:pPr>
      <w:hyperlink r:id="rId55" w:history="1">
        <w:r w:rsidRPr="005E3F4E">
          <w:rPr>
            <w:rStyle w:val="Hipervnculo"/>
            <w:bCs/>
          </w:rPr>
          <w:t>SAP de Toledo (Secc. 1ª), 870/2022, de 12 de julio de 2022</w:t>
        </w:r>
      </w:hyperlink>
      <w:r>
        <w:rPr>
          <w:bCs/>
          <w:color w:val="000000" w:themeColor="text1"/>
        </w:rPr>
        <w:t xml:space="preserve">. Contrato de préstamo hipotecario. </w:t>
      </w:r>
      <w:proofErr w:type="spellStart"/>
      <w:r>
        <w:rPr>
          <w:bCs/>
          <w:color w:val="000000" w:themeColor="text1"/>
        </w:rPr>
        <w:t>Multidivisas</w:t>
      </w:r>
      <w:proofErr w:type="spellEnd"/>
      <w:r>
        <w:rPr>
          <w:bCs/>
          <w:color w:val="000000" w:themeColor="text1"/>
        </w:rPr>
        <w:t xml:space="preserve">. </w:t>
      </w:r>
    </w:p>
    <w:p w14:paraId="51A63D08" w14:textId="71803F09" w:rsidR="003E0E19" w:rsidRDefault="003E0E19" w:rsidP="00CA73CC">
      <w:pPr>
        <w:jc w:val="both"/>
        <w:rPr>
          <w:bCs/>
          <w:color w:val="000000" w:themeColor="text1"/>
        </w:rPr>
      </w:pPr>
    </w:p>
    <w:p w14:paraId="5FFF2205" w14:textId="5888CDBF" w:rsidR="003E0E19" w:rsidRDefault="003E0E19" w:rsidP="00CA73CC">
      <w:pPr>
        <w:jc w:val="both"/>
        <w:rPr>
          <w:bCs/>
          <w:color w:val="000000" w:themeColor="text1"/>
        </w:rPr>
      </w:pPr>
      <w:hyperlink r:id="rId56" w:history="1">
        <w:r w:rsidRPr="003E0E19">
          <w:rPr>
            <w:rStyle w:val="Hipervnculo"/>
            <w:bCs/>
          </w:rPr>
          <w:t>SAP de Las Palmas (Secc. 4ª), 899/2022, de 19 de julio de 2022</w:t>
        </w:r>
      </w:hyperlink>
      <w:r>
        <w:rPr>
          <w:bCs/>
          <w:color w:val="000000" w:themeColor="text1"/>
        </w:rPr>
        <w:t xml:space="preserve">. “Gastos hipotecarios. Condición de consumidor. Falta de prueba de destino profesional”. </w:t>
      </w:r>
    </w:p>
    <w:p w14:paraId="1349F2D5" w14:textId="16F582B7" w:rsidR="003E0E19" w:rsidRDefault="003E0E19" w:rsidP="00CA73CC">
      <w:pPr>
        <w:jc w:val="both"/>
        <w:rPr>
          <w:bCs/>
          <w:color w:val="000000" w:themeColor="text1"/>
        </w:rPr>
      </w:pPr>
    </w:p>
    <w:p w14:paraId="63A455D5" w14:textId="5781809B" w:rsidR="003E0E19" w:rsidRPr="00CA73CC" w:rsidRDefault="003E0E19" w:rsidP="00CA73CC">
      <w:pPr>
        <w:jc w:val="both"/>
        <w:rPr>
          <w:bCs/>
          <w:color w:val="000000" w:themeColor="text1"/>
        </w:rPr>
      </w:pPr>
      <w:hyperlink r:id="rId57" w:history="1">
        <w:r w:rsidRPr="003E0E19">
          <w:rPr>
            <w:rStyle w:val="Hipervnculo"/>
            <w:bCs/>
          </w:rPr>
          <w:t>SAP de Valladolid (Secc. 3ª), 469/2022, de 26 de julio de 2022</w:t>
        </w:r>
      </w:hyperlink>
      <w:r>
        <w:rPr>
          <w:bCs/>
          <w:color w:val="000000" w:themeColor="text1"/>
        </w:rPr>
        <w:t xml:space="preserve">. “Condiciones generales de la contratación”. </w:t>
      </w:r>
    </w:p>
    <w:p w14:paraId="1B7DB76A" w14:textId="77777777" w:rsidR="00CA73CC" w:rsidRDefault="00CA73CC" w:rsidP="00E017A7">
      <w:pPr>
        <w:jc w:val="center"/>
        <w:rPr>
          <w:b/>
          <w:color w:val="000000" w:themeColor="text1"/>
          <w:sz w:val="28"/>
          <w:szCs w:val="28"/>
        </w:rPr>
      </w:pPr>
    </w:p>
    <w:p w14:paraId="257BF770" w14:textId="09573852" w:rsidR="00CA73CC" w:rsidRDefault="00CA73CC" w:rsidP="00E017A7">
      <w:pPr>
        <w:jc w:val="center"/>
        <w:rPr>
          <w:b/>
          <w:color w:val="000000" w:themeColor="text1"/>
          <w:sz w:val="28"/>
          <w:szCs w:val="28"/>
        </w:rPr>
      </w:pPr>
    </w:p>
    <w:p w14:paraId="72184634" w14:textId="41FA6755" w:rsidR="003E0E19" w:rsidRDefault="00931802" w:rsidP="00E017A7">
      <w:pPr>
        <w:jc w:val="center"/>
        <w:rPr>
          <w:b/>
          <w:color w:val="000000" w:themeColor="text1"/>
          <w:sz w:val="28"/>
          <w:szCs w:val="28"/>
        </w:rPr>
      </w:pPr>
      <w:r>
        <w:rPr>
          <w:noProof/>
        </w:rPr>
        <w:pict w14:anchorId="3E5B0F35">
          <v:rect id="_x0000_i1026" alt="" style="width:425.2pt;height:.05pt;mso-width-percent:0;mso-height-percent:0;mso-width-percent:0;mso-height-percent:0" o:hralign="center" o:hrstd="t" o:hr="t" fillcolor="#a0a0a0" stroked="f"/>
        </w:pict>
      </w:r>
    </w:p>
    <w:p w14:paraId="3E558F51" w14:textId="77777777" w:rsidR="003E0E19" w:rsidRDefault="003E0E19" w:rsidP="00E017A7">
      <w:pPr>
        <w:jc w:val="center"/>
        <w:rPr>
          <w:b/>
          <w:color w:val="000000" w:themeColor="text1"/>
          <w:sz w:val="28"/>
          <w:szCs w:val="28"/>
        </w:rPr>
      </w:pPr>
    </w:p>
    <w:p w14:paraId="493C9131" w14:textId="77777777" w:rsidR="003E0E19" w:rsidRDefault="003E0E19" w:rsidP="00E017A7">
      <w:pPr>
        <w:jc w:val="center"/>
        <w:rPr>
          <w:b/>
          <w:color w:val="000000" w:themeColor="text1"/>
          <w:sz w:val="28"/>
          <w:szCs w:val="28"/>
        </w:rPr>
      </w:pPr>
    </w:p>
    <w:p w14:paraId="6F512E72" w14:textId="1459847E" w:rsidR="00E017A7" w:rsidRDefault="00E017A7" w:rsidP="00E017A7">
      <w:pPr>
        <w:jc w:val="center"/>
        <w:rPr>
          <w:b/>
          <w:color w:val="000000" w:themeColor="text1"/>
          <w:sz w:val="28"/>
          <w:szCs w:val="28"/>
        </w:rPr>
      </w:pPr>
      <w:r w:rsidRPr="009A3417">
        <w:rPr>
          <w:b/>
          <w:color w:val="000000" w:themeColor="text1"/>
          <w:sz w:val="28"/>
          <w:szCs w:val="28"/>
        </w:rPr>
        <w:t>RESOLUCIONES DE LA DIRECCIÓN GENERAL DE SEGURIDAD JURÍDICA Y FE PÚBLICA (DGSJFP)</w:t>
      </w:r>
    </w:p>
    <w:p w14:paraId="320212C9" w14:textId="77777777" w:rsidR="00D730B6" w:rsidRDefault="00D730B6" w:rsidP="00E017A7">
      <w:pPr>
        <w:jc w:val="center"/>
        <w:rPr>
          <w:b/>
          <w:color w:val="000000" w:themeColor="text1"/>
          <w:sz w:val="28"/>
          <w:szCs w:val="28"/>
        </w:rPr>
      </w:pPr>
    </w:p>
    <w:p w14:paraId="009E2A1E" w14:textId="05F6582C" w:rsidR="00D730B6" w:rsidRDefault="00D730B6" w:rsidP="00E017A7">
      <w:pPr>
        <w:jc w:val="center"/>
        <w:rPr>
          <w:b/>
          <w:color w:val="000000" w:themeColor="text1"/>
          <w:sz w:val="28"/>
          <w:szCs w:val="28"/>
        </w:rPr>
      </w:pPr>
    </w:p>
    <w:p w14:paraId="56A13A2B" w14:textId="255EDE70" w:rsidR="009A3417" w:rsidRDefault="009A3417" w:rsidP="009A3417">
      <w:pPr>
        <w:jc w:val="both"/>
        <w:rPr>
          <w:bCs/>
          <w:color w:val="000000" w:themeColor="text1"/>
        </w:rPr>
      </w:pPr>
      <w:hyperlink r:id="rId58" w:history="1">
        <w:r w:rsidRPr="009A3417">
          <w:rPr>
            <w:rStyle w:val="Hipervnculo"/>
            <w:bCs/>
          </w:rPr>
          <w:t>Resolución de la DGSJFP, de 10 de junio de 2022</w:t>
        </w:r>
      </w:hyperlink>
      <w:r>
        <w:rPr>
          <w:bCs/>
          <w:color w:val="000000" w:themeColor="text1"/>
        </w:rPr>
        <w:t xml:space="preserve">, </w:t>
      </w:r>
      <w:r w:rsidRPr="009A3417">
        <w:rPr>
          <w:bCs/>
          <w:color w:val="000000" w:themeColor="text1"/>
        </w:rPr>
        <w:t>en el recurso interpuesto contra la negativa de la registradora de la propiedad de Barcelona n.º 20 a cancelar determinadas inscripciones en virtud de mandamiento judicial</w:t>
      </w:r>
      <w:r>
        <w:rPr>
          <w:bCs/>
          <w:color w:val="000000" w:themeColor="text1"/>
        </w:rPr>
        <w:t xml:space="preserve"> (</w:t>
      </w:r>
      <w:hyperlink r:id="rId59" w:history="1">
        <w:r w:rsidRPr="009A3417">
          <w:rPr>
            <w:rStyle w:val="Hipervnculo"/>
            <w:bCs/>
          </w:rPr>
          <w:t>resumen en web N&amp;R</w:t>
        </w:r>
      </w:hyperlink>
      <w:r>
        <w:rPr>
          <w:bCs/>
          <w:color w:val="000000" w:themeColor="text1"/>
        </w:rPr>
        <w:t xml:space="preserve">). </w:t>
      </w:r>
    </w:p>
    <w:p w14:paraId="67B27B22" w14:textId="452AB69F" w:rsidR="009A3417" w:rsidRDefault="009A3417" w:rsidP="009A3417">
      <w:pPr>
        <w:jc w:val="both"/>
        <w:rPr>
          <w:bCs/>
          <w:color w:val="000000" w:themeColor="text1"/>
        </w:rPr>
      </w:pPr>
    </w:p>
    <w:p w14:paraId="12ACC17D" w14:textId="022A44C9" w:rsidR="009A3417" w:rsidRDefault="009A3417" w:rsidP="009A3417">
      <w:pPr>
        <w:jc w:val="both"/>
        <w:rPr>
          <w:bCs/>
          <w:color w:val="000000" w:themeColor="text1"/>
        </w:rPr>
      </w:pPr>
      <w:hyperlink r:id="rId60" w:history="1">
        <w:r w:rsidRPr="009A3417">
          <w:rPr>
            <w:rStyle w:val="Hipervnculo"/>
            <w:bCs/>
          </w:rPr>
          <w:t>Resolución de la DGSJFP, de 21 de junio de 2022</w:t>
        </w:r>
      </w:hyperlink>
      <w:r>
        <w:rPr>
          <w:bCs/>
          <w:color w:val="000000" w:themeColor="text1"/>
        </w:rPr>
        <w:t xml:space="preserve">, </w:t>
      </w:r>
      <w:r w:rsidRPr="009A3417">
        <w:rPr>
          <w:bCs/>
          <w:color w:val="000000" w:themeColor="text1"/>
        </w:rPr>
        <w:t>en el recurso interpuesto contra la nota de calificación del registrador de la propiedad de San Sebastián de los Reyes n.º 2, por la que se suspende la cancelación de una hipoteca, instada en virtud de un mandamiento judicial en el que se ordena la cancelación de la nota marginal de ejecución hipotecaria y de la inscripción de la hipoteca por nulidad de la misma</w:t>
      </w:r>
      <w:r>
        <w:rPr>
          <w:bCs/>
          <w:color w:val="000000" w:themeColor="text1"/>
        </w:rPr>
        <w:t xml:space="preserve"> </w:t>
      </w:r>
      <w:r>
        <w:rPr>
          <w:bCs/>
          <w:color w:val="000000" w:themeColor="text1"/>
        </w:rPr>
        <w:t>(</w:t>
      </w:r>
      <w:hyperlink r:id="rId61" w:history="1">
        <w:r w:rsidRPr="009D0E82">
          <w:rPr>
            <w:rStyle w:val="Hipervnculo"/>
            <w:bCs/>
          </w:rPr>
          <w:t>resumen en web N&amp;R</w:t>
        </w:r>
      </w:hyperlink>
      <w:r>
        <w:rPr>
          <w:bCs/>
          <w:color w:val="000000" w:themeColor="text1"/>
        </w:rPr>
        <w:t xml:space="preserve">). </w:t>
      </w:r>
    </w:p>
    <w:p w14:paraId="222F5815" w14:textId="77777777" w:rsidR="009A3417" w:rsidRPr="009A3417" w:rsidRDefault="009A3417" w:rsidP="009A3417">
      <w:pPr>
        <w:jc w:val="both"/>
        <w:rPr>
          <w:bCs/>
          <w:color w:val="000000" w:themeColor="text1"/>
        </w:rPr>
      </w:pPr>
    </w:p>
    <w:p w14:paraId="5405431B" w14:textId="68EC482F" w:rsidR="00E017A7" w:rsidRPr="007A7EB8" w:rsidRDefault="00E017A7" w:rsidP="00E017A7">
      <w:pPr>
        <w:jc w:val="both"/>
        <w:rPr>
          <w:bCs/>
          <w:color w:val="000000" w:themeColor="text1"/>
          <w:sz w:val="11"/>
          <w:szCs w:val="11"/>
        </w:rPr>
      </w:pPr>
    </w:p>
    <w:p w14:paraId="70E6ED5C" w14:textId="77777777" w:rsidR="007A7EB8" w:rsidRDefault="007A7EB8" w:rsidP="00E017A7">
      <w:pPr>
        <w:jc w:val="both"/>
        <w:rPr>
          <w:bCs/>
          <w:color w:val="000000" w:themeColor="text1"/>
        </w:rPr>
      </w:pPr>
    </w:p>
    <w:p w14:paraId="7FFB165D" w14:textId="5E95F09C" w:rsidR="007A7EB8" w:rsidRPr="00470BF9" w:rsidRDefault="00931802" w:rsidP="00E017A7">
      <w:pPr>
        <w:jc w:val="both"/>
        <w:rPr>
          <w:bCs/>
          <w:color w:val="000000" w:themeColor="text1"/>
        </w:rPr>
      </w:pPr>
      <w:r>
        <w:rPr>
          <w:noProof/>
        </w:rPr>
        <w:pict w14:anchorId="450F955C">
          <v:rect id="_x0000_i1025" alt="" style="width:425.2pt;height:.05pt;mso-width-percent:0;mso-height-percent:0;mso-width-percent:0;mso-height-percent:0" o:hralign="center" o:hrstd="t" o:hr="t" fillcolor="#a0a0a0" stroked="f"/>
        </w:pict>
      </w:r>
    </w:p>
    <w:sectPr w:rsidR="007A7EB8" w:rsidRPr="00470BF9" w:rsidSect="000562B1">
      <w:footerReference w:type="default" r:id="rId62"/>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6A788" w14:textId="77777777" w:rsidR="00931802" w:rsidRDefault="00931802" w:rsidP="000562B1">
      <w:r>
        <w:separator/>
      </w:r>
    </w:p>
  </w:endnote>
  <w:endnote w:type="continuationSeparator" w:id="0">
    <w:p w14:paraId="064BB4A1" w14:textId="77777777" w:rsidR="00931802" w:rsidRDefault="00931802" w:rsidP="00056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363187"/>
      <w:docPartObj>
        <w:docPartGallery w:val="Page Numbers (Bottom of Page)"/>
        <w:docPartUnique/>
      </w:docPartObj>
    </w:sdtPr>
    <w:sdtEndPr>
      <w:rPr>
        <w:rFonts w:ascii="Times New Roman" w:hAnsi="Times New Roman" w:cs="Times New Roman"/>
        <w:sz w:val="24"/>
        <w:szCs w:val="24"/>
      </w:rPr>
    </w:sdtEndPr>
    <w:sdtContent>
      <w:p w14:paraId="63290595" w14:textId="77777777" w:rsidR="00101C22" w:rsidRPr="001832F8" w:rsidRDefault="00101C22">
        <w:pPr>
          <w:pStyle w:val="Piedepgina"/>
          <w:jc w:val="right"/>
          <w:rPr>
            <w:rFonts w:ascii="Times New Roman" w:hAnsi="Times New Roman" w:cs="Times New Roman"/>
            <w:sz w:val="24"/>
            <w:szCs w:val="24"/>
          </w:rPr>
        </w:pPr>
        <w:r w:rsidRPr="001832F8">
          <w:rPr>
            <w:rFonts w:ascii="Times New Roman" w:hAnsi="Times New Roman" w:cs="Times New Roman"/>
            <w:sz w:val="24"/>
            <w:szCs w:val="24"/>
          </w:rPr>
          <w:fldChar w:fldCharType="begin"/>
        </w:r>
        <w:r w:rsidRPr="001832F8">
          <w:rPr>
            <w:rFonts w:ascii="Times New Roman" w:hAnsi="Times New Roman" w:cs="Times New Roman"/>
            <w:sz w:val="24"/>
            <w:szCs w:val="24"/>
          </w:rPr>
          <w:instrText>PAGE   \* MERGEFORMAT</w:instrText>
        </w:r>
        <w:r w:rsidRPr="001832F8">
          <w:rPr>
            <w:rFonts w:ascii="Times New Roman" w:hAnsi="Times New Roman" w:cs="Times New Roman"/>
            <w:sz w:val="24"/>
            <w:szCs w:val="24"/>
          </w:rPr>
          <w:fldChar w:fldCharType="separate"/>
        </w:r>
        <w:r w:rsidR="00F1056F">
          <w:rPr>
            <w:rFonts w:ascii="Times New Roman" w:hAnsi="Times New Roman" w:cs="Times New Roman"/>
            <w:noProof/>
            <w:sz w:val="24"/>
            <w:szCs w:val="24"/>
          </w:rPr>
          <w:t>9</w:t>
        </w:r>
        <w:r w:rsidRPr="001832F8">
          <w:rPr>
            <w:rFonts w:ascii="Times New Roman" w:hAnsi="Times New Roman" w:cs="Times New Roman"/>
            <w:sz w:val="24"/>
            <w:szCs w:val="24"/>
          </w:rPr>
          <w:fldChar w:fldCharType="end"/>
        </w:r>
      </w:p>
    </w:sdtContent>
  </w:sdt>
  <w:p w14:paraId="37C823B9" w14:textId="77777777" w:rsidR="00101C22" w:rsidRDefault="00101C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9DC51" w14:textId="77777777" w:rsidR="00931802" w:rsidRDefault="00931802" w:rsidP="000562B1">
      <w:r>
        <w:separator/>
      </w:r>
    </w:p>
  </w:footnote>
  <w:footnote w:type="continuationSeparator" w:id="0">
    <w:p w14:paraId="7879FD5B" w14:textId="77777777" w:rsidR="00931802" w:rsidRDefault="00931802" w:rsidP="00056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A47CDC"/>
    <w:multiLevelType w:val="hybridMultilevel"/>
    <w:tmpl w:val="9CFE2A6E"/>
    <w:lvl w:ilvl="0" w:tplc="D750CB88">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795D65"/>
    <w:multiLevelType w:val="hybridMultilevel"/>
    <w:tmpl w:val="6CAED840"/>
    <w:lvl w:ilvl="0" w:tplc="2C8094C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F21AAF"/>
    <w:multiLevelType w:val="multilevel"/>
    <w:tmpl w:val="C2CC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82441CA"/>
    <w:multiLevelType w:val="hybridMultilevel"/>
    <w:tmpl w:val="7AC4537A"/>
    <w:lvl w:ilvl="0" w:tplc="471E95E2">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5861EC8"/>
    <w:multiLevelType w:val="hybridMultilevel"/>
    <w:tmpl w:val="B194020E"/>
    <w:lvl w:ilvl="0" w:tplc="8DF0A50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B2123B9"/>
    <w:multiLevelType w:val="hybridMultilevel"/>
    <w:tmpl w:val="B9C406EE"/>
    <w:lvl w:ilvl="0" w:tplc="471C8DA0">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6C1E0587"/>
    <w:multiLevelType w:val="hybridMultilevel"/>
    <w:tmpl w:val="E03A9884"/>
    <w:lvl w:ilvl="0" w:tplc="C1349A3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6D145F24"/>
    <w:multiLevelType w:val="hybridMultilevel"/>
    <w:tmpl w:val="D308732C"/>
    <w:lvl w:ilvl="0" w:tplc="643E15FC">
      <w:start w:val="1"/>
      <w:numFmt w:val="bullet"/>
      <w:lvlText w:val=""/>
      <w:lvlJc w:val="left"/>
      <w:pPr>
        <w:ind w:left="720" w:hanging="360"/>
      </w:pPr>
      <w:rPr>
        <w:rFonts w:ascii="Wingdings" w:eastAsia="Times New Roman" w:hAnsi="Wingdings"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3CD4892"/>
    <w:multiLevelType w:val="hybridMultilevel"/>
    <w:tmpl w:val="31923E98"/>
    <w:lvl w:ilvl="0" w:tplc="459E2956">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CBC1C0F"/>
    <w:multiLevelType w:val="hybridMultilevel"/>
    <w:tmpl w:val="8B8E37E0"/>
    <w:lvl w:ilvl="0" w:tplc="23560D96">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350885556">
    <w:abstractNumId w:val="14"/>
  </w:num>
  <w:num w:numId="2" w16cid:durableId="161898188">
    <w:abstractNumId w:val="0"/>
  </w:num>
  <w:num w:numId="3" w16cid:durableId="438574505">
    <w:abstractNumId w:val="12"/>
  </w:num>
  <w:num w:numId="4" w16cid:durableId="1700349985">
    <w:abstractNumId w:val="6"/>
  </w:num>
  <w:num w:numId="5" w16cid:durableId="726418586">
    <w:abstractNumId w:val="2"/>
  </w:num>
  <w:num w:numId="6" w16cid:durableId="2101562868">
    <w:abstractNumId w:val="4"/>
  </w:num>
  <w:num w:numId="7" w16cid:durableId="55979577">
    <w:abstractNumId w:val="1"/>
  </w:num>
  <w:num w:numId="8" w16cid:durableId="774132843">
    <w:abstractNumId w:val="3"/>
  </w:num>
  <w:num w:numId="9" w16cid:durableId="995571696">
    <w:abstractNumId w:val="8"/>
  </w:num>
  <w:num w:numId="10" w16cid:durableId="537862301">
    <w:abstractNumId w:val="9"/>
  </w:num>
  <w:num w:numId="11" w16cid:durableId="681246970">
    <w:abstractNumId w:val="13"/>
  </w:num>
  <w:num w:numId="12" w16cid:durableId="1900821912">
    <w:abstractNumId w:val="5"/>
  </w:num>
  <w:num w:numId="13" w16cid:durableId="1992513075">
    <w:abstractNumId w:val="10"/>
  </w:num>
  <w:num w:numId="14" w16cid:durableId="826017279">
    <w:abstractNumId w:val="11"/>
  </w:num>
  <w:num w:numId="15" w16cid:durableId="625966765">
    <w:abstractNumId w:val="15"/>
  </w:num>
  <w:num w:numId="16" w16cid:durableId="8628604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8D6"/>
    <w:rsid w:val="0001261B"/>
    <w:rsid w:val="000132EC"/>
    <w:rsid w:val="000148EA"/>
    <w:rsid w:val="00020F4E"/>
    <w:rsid w:val="0002281F"/>
    <w:rsid w:val="00023371"/>
    <w:rsid w:val="00023D79"/>
    <w:rsid w:val="00025F28"/>
    <w:rsid w:val="000260EA"/>
    <w:rsid w:val="000261CD"/>
    <w:rsid w:val="00033A21"/>
    <w:rsid w:val="00036BBC"/>
    <w:rsid w:val="00036CB1"/>
    <w:rsid w:val="00037ECF"/>
    <w:rsid w:val="00045895"/>
    <w:rsid w:val="0004700D"/>
    <w:rsid w:val="000503EC"/>
    <w:rsid w:val="000523A3"/>
    <w:rsid w:val="00054FB7"/>
    <w:rsid w:val="00055DCF"/>
    <w:rsid w:val="000562B1"/>
    <w:rsid w:val="00056D06"/>
    <w:rsid w:val="000630D2"/>
    <w:rsid w:val="00064ADC"/>
    <w:rsid w:val="0006715A"/>
    <w:rsid w:val="00087618"/>
    <w:rsid w:val="00091C1F"/>
    <w:rsid w:val="00092150"/>
    <w:rsid w:val="00092F2B"/>
    <w:rsid w:val="000A28D2"/>
    <w:rsid w:val="000B0A5D"/>
    <w:rsid w:val="000B5305"/>
    <w:rsid w:val="000C03B5"/>
    <w:rsid w:val="000C1C9A"/>
    <w:rsid w:val="000C29EB"/>
    <w:rsid w:val="000C5244"/>
    <w:rsid w:val="000D2B7E"/>
    <w:rsid w:val="000D30BF"/>
    <w:rsid w:val="000E09B2"/>
    <w:rsid w:val="000E1594"/>
    <w:rsid w:val="000F1465"/>
    <w:rsid w:val="000F7FE0"/>
    <w:rsid w:val="001003C3"/>
    <w:rsid w:val="00101146"/>
    <w:rsid w:val="00101C22"/>
    <w:rsid w:val="00102EA3"/>
    <w:rsid w:val="001175FF"/>
    <w:rsid w:val="00120D0B"/>
    <w:rsid w:val="0012310A"/>
    <w:rsid w:val="001243F0"/>
    <w:rsid w:val="001269ED"/>
    <w:rsid w:val="001315E9"/>
    <w:rsid w:val="00133E4A"/>
    <w:rsid w:val="00134193"/>
    <w:rsid w:val="001342BF"/>
    <w:rsid w:val="00137D74"/>
    <w:rsid w:val="001426E9"/>
    <w:rsid w:val="001427D2"/>
    <w:rsid w:val="0015251B"/>
    <w:rsid w:val="00152B3F"/>
    <w:rsid w:val="0016024A"/>
    <w:rsid w:val="001661B9"/>
    <w:rsid w:val="0017035A"/>
    <w:rsid w:val="00181687"/>
    <w:rsid w:val="001832F8"/>
    <w:rsid w:val="0019626A"/>
    <w:rsid w:val="00197F42"/>
    <w:rsid w:val="001A0218"/>
    <w:rsid w:val="001A34D0"/>
    <w:rsid w:val="001A65B0"/>
    <w:rsid w:val="001B39D6"/>
    <w:rsid w:val="001B66EC"/>
    <w:rsid w:val="001C6BB5"/>
    <w:rsid w:val="001C7752"/>
    <w:rsid w:val="001D2A5A"/>
    <w:rsid w:val="001D599B"/>
    <w:rsid w:val="001E467C"/>
    <w:rsid w:val="001E50D5"/>
    <w:rsid w:val="00205FBC"/>
    <w:rsid w:val="00215B27"/>
    <w:rsid w:val="0022401C"/>
    <w:rsid w:val="00226C2F"/>
    <w:rsid w:val="002321F9"/>
    <w:rsid w:val="0024550F"/>
    <w:rsid w:val="002523D3"/>
    <w:rsid w:val="00253626"/>
    <w:rsid w:val="002578B0"/>
    <w:rsid w:val="002664A5"/>
    <w:rsid w:val="00277E42"/>
    <w:rsid w:val="0028255D"/>
    <w:rsid w:val="00282C9D"/>
    <w:rsid w:val="002831C1"/>
    <w:rsid w:val="00291147"/>
    <w:rsid w:val="002920B4"/>
    <w:rsid w:val="0029296C"/>
    <w:rsid w:val="0029550E"/>
    <w:rsid w:val="00295F80"/>
    <w:rsid w:val="002968D2"/>
    <w:rsid w:val="002A11EF"/>
    <w:rsid w:val="002A1C6A"/>
    <w:rsid w:val="002B1E17"/>
    <w:rsid w:val="002B2E72"/>
    <w:rsid w:val="002B3E1B"/>
    <w:rsid w:val="002B7051"/>
    <w:rsid w:val="002B7203"/>
    <w:rsid w:val="002C300B"/>
    <w:rsid w:val="002C3D5D"/>
    <w:rsid w:val="002D39CF"/>
    <w:rsid w:val="002E4D27"/>
    <w:rsid w:val="00311C89"/>
    <w:rsid w:val="0031312C"/>
    <w:rsid w:val="00320972"/>
    <w:rsid w:val="00324CCA"/>
    <w:rsid w:val="00326C94"/>
    <w:rsid w:val="00330ED4"/>
    <w:rsid w:val="00333940"/>
    <w:rsid w:val="00335C17"/>
    <w:rsid w:val="00350904"/>
    <w:rsid w:val="00361AE5"/>
    <w:rsid w:val="00361DBD"/>
    <w:rsid w:val="003662F8"/>
    <w:rsid w:val="00371B60"/>
    <w:rsid w:val="00374843"/>
    <w:rsid w:val="00375149"/>
    <w:rsid w:val="0038090B"/>
    <w:rsid w:val="003814E9"/>
    <w:rsid w:val="00382342"/>
    <w:rsid w:val="00390B60"/>
    <w:rsid w:val="0039501D"/>
    <w:rsid w:val="003A75CE"/>
    <w:rsid w:val="003B18F4"/>
    <w:rsid w:val="003B5E26"/>
    <w:rsid w:val="003B64E6"/>
    <w:rsid w:val="003B6A79"/>
    <w:rsid w:val="003C3202"/>
    <w:rsid w:val="003C4F44"/>
    <w:rsid w:val="003C7E66"/>
    <w:rsid w:val="003D1215"/>
    <w:rsid w:val="003D146F"/>
    <w:rsid w:val="003D1768"/>
    <w:rsid w:val="003D2EB7"/>
    <w:rsid w:val="003D4582"/>
    <w:rsid w:val="003D575B"/>
    <w:rsid w:val="003E0E19"/>
    <w:rsid w:val="003E66AA"/>
    <w:rsid w:val="003E79C6"/>
    <w:rsid w:val="003F3C4D"/>
    <w:rsid w:val="003F44BD"/>
    <w:rsid w:val="003F49BB"/>
    <w:rsid w:val="003F4BCA"/>
    <w:rsid w:val="003F5DB5"/>
    <w:rsid w:val="00401E34"/>
    <w:rsid w:val="00406207"/>
    <w:rsid w:val="00410FE1"/>
    <w:rsid w:val="004132F9"/>
    <w:rsid w:val="004154E4"/>
    <w:rsid w:val="004158D3"/>
    <w:rsid w:val="004165FA"/>
    <w:rsid w:val="00423FD0"/>
    <w:rsid w:val="00425F18"/>
    <w:rsid w:val="00426FB5"/>
    <w:rsid w:val="00432663"/>
    <w:rsid w:val="00440EC2"/>
    <w:rsid w:val="004501EC"/>
    <w:rsid w:val="00450241"/>
    <w:rsid w:val="0045575C"/>
    <w:rsid w:val="00460642"/>
    <w:rsid w:val="00470BF9"/>
    <w:rsid w:val="00474518"/>
    <w:rsid w:val="00474CF6"/>
    <w:rsid w:val="00480480"/>
    <w:rsid w:val="0048273A"/>
    <w:rsid w:val="00493DA0"/>
    <w:rsid w:val="00495CD3"/>
    <w:rsid w:val="004A1086"/>
    <w:rsid w:val="004A67EC"/>
    <w:rsid w:val="004B17F0"/>
    <w:rsid w:val="004B2857"/>
    <w:rsid w:val="004C11CD"/>
    <w:rsid w:val="004C42FE"/>
    <w:rsid w:val="004C499E"/>
    <w:rsid w:val="004D0941"/>
    <w:rsid w:val="004D3353"/>
    <w:rsid w:val="004D4FDA"/>
    <w:rsid w:val="004D794A"/>
    <w:rsid w:val="004E2966"/>
    <w:rsid w:val="004F1964"/>
    <w:rsid w:val="004F32B8"/>
    <w:rsid w:val="004F749B"/>
    <w:rsid w:val="005054E9"/>
    <w:rsid w:val="005058C6"/>
    <w:rsid w:val="0051297C"/>
    <w:rsid w:val="00514DB2"/>
    <w:rsid w:val="00517B2D"/>
    <w:rsid w:val="0052180D"/>
    <w:rsid w:val="00537598"/>
    <w:rsid w:val="0055001F"/>
    <w:rsid w:val="0055152E"/>
    <w:rsid w:val="005524C4"/>
    <w:rsid w:val="005527B0"/>
    <w:rsid w:val="005527D4"/>
    <w:rsid w:val="00552F70"/>
    <w:rsid w:val="0055648D"/>
    <w:rsid w:val="005575A8"/>
    <w:rsid w:val="00571521"/>
    <w:rsid w:val="00582008"/>
    <w:rsid w:val="005939BE"/>
    <w:rsid w:val="005B57B6"/>
    <w:rsid w:val="005B7019"/>
    <w:rsid w:val="005C04C5"/>
    <w:rsid w:val="005E322B"/>
    <w:rsid w:val="005E340F"/>
    <w:rsid w:val="005E3F4E"/>
    <w:rsid w:val="005F0DEC"/>
    <w:rsid w:val="005F1DFB"/>
    <w:rsid w:val="005F3600"/>
    <w:rsid w:val="005F3622"/>
    <w:rsid w:val="005F3752"/>
    <w:rsid w:val="005F54B3"/>
    <w:rsid w:val="005F7187"/>
    <w:rsid w:val="00610E3B"/>
    <w:rsid w:val="0061376A"/>
    <w:rsid w:val="00617D90"/>
    <w:rsid w:val="00621A2B"/>
    <w:rsid w:val="006240C0"/>
    <w:rsid w:val="00625298"/>
    <w:rsid w:val="00626300"/>
    <w:rsid w:val="00630753"/>
    <w:rsid w:val="00631205"/>
    <w:rsid w:val="00633110"/>
    <w:rsid w:val="00633D7E"/>
    <w:rsid w:val="006342AA"/>
    <w:rsid w:val="00652A96"/>
    <w:rsid w:val="00653C35"/>
    <w:rsid w:val="00656A1A"/>
    <w:rsid w:val="00666C3C"/>
    <w:rsid w:val="00671FC1"/>
    <w:rsid w:val="006732D5"/>
    <w:rsid w:val="00673A7C"/>
    <w:rsid w:val="006A016D"/>
    <w:rsid w:val="006A52C5"/>
    <w:rsid w:val="006A68C8"/>
    <w:rsid w:val="006B09DF"/>
    <w:rsid w:val="006B172C"/>
    <w:rsid w:val="006B6B86"/>
    <w:rsid w:val="006C3083"/>
    <w:rsid w:val="006D40FF"/>
    <w:rsid w:val="006D500E"/>
    <w:rsid w:val="006D64C6"/>
    <w:rsid w:val="006E2037"/>
    <w:rsid w:val="006F0EA9"/>
    <w:rsid w:val="006F1548"/>
    <w:rsid w:val="006F1906"/>
    <w:rsid w:val="006F5993"/>
    <w:rsid w:val="006F5DF5"/>
    <w:rsid w:val="006F7400"/>
    <w:rsid w:val="00705FFE"/>
    <w:rsid w:val="00710790"/>
    <w:rsid w:val="00715756"/>
    <w:rsid w:val="00716BDF"/>
    <w:rsid w:val="00716C67"/>
    <w:rsid w:val="00720DEF"/>
    <w:rsid w:val="0072347E"/>
    <w:rsid w:val="00723A17"/>
    <w:rsid w:val="007250AF"/>
    <w:rsid w:val="00726A56"/>
    <w:rsid w:val="00726EA9"/>
    <w:rsid w:val="0073215C"/>
    <w:rsid w:val="00743A28"/>
    <w:rsid w:val="00745159"/>
    <w:rsid w:val="00746864"/>
    <w:rsid w:val="00750159"/>
    <w:rsid w:val="00750189"/>
    <w:rsid w:val="00766984"/>
    <w:rsid w:val="00777769"/>
    <w:rsid w:val="00777A36"/>
    <w:rsid w:val="00782E3C"/>
    <w:rsid w:val="007831A3"/>
    <w:rsid w:val="00784F6E"/>
    <w:rsid w:val="007876F2"/>
    <w:rsid w:val="00791B67"/>
    <w:rsid w:val="00796680"/>
    <w:rsid w:val="007A3A07"/>
    <w:rsid w:val="007A7EB8"/>
    <w:rsid w:val="007B0C81"/>
    <w:rsid w:val="007B235C"/>
    <w:rsid w:val="007C21CB"/>
    <w:rsid w:val="007C2FE3"/>
    <w:rsid w:val="007C6552"/>
    <w:rsid w:val="007C7C81"/>
    <w:rsid w:val="007D6201"/>
    <w:rsid w:val="007D7C6E"/>
    <w:rsid w:val="007F1BA6"/>
    <w:rsid w:val="008047D0"/>
    <w:rsid w:val="00805312"/>
    <w:rsid w:val="008059F7"/>
    <w:rsid w:val="00806B2B"/>
    <w:rsid w:val="0081601A"/>
    <w:rsid w:val="00823AEA"/>
    <w:rsid w:val="008251E3"/>
    <w:rsid w:val="00825E3F"/>
    <w:rsid w:val="00827C04"/>
    <w:rsid w:val="00846866"/>
    <w:rsid w:val="00847269"/>
    <w:rsid w:val="008502A5"/>
    <w:rsid w:val="00851A41"/>
    <w:rsid w:val="0085768E"/>
    <w:rsid w:val="008613A0"/>
    <w:rsid w:val="00861C62"/>
    <w:rsid w:val="00864A76"/>
    <w:rsid w:val="008866B3"/>
    <w:rsid w:val="00891EF7"/>
    <w:rsid w:val="00892A47"/>
    <w:rsid w:val="008A254E"/>
    <w:rsid w:val="008B032C"/>
    <w:rsid w:val="008B3BC5"/>
    <w:rsid w:val="008C279F"/>
    <w:rsid w:val="008D2AC3"/>
    <w:rsid w:val="008D423F"/>
    <w:rsid w:val="008D4ACD"/>
    <w:rsid w:val="008D6849"/>
    <w:rsid w:val="008E7FE1"/>
    <w:rsid w:val="008F2744"/>
    <w:rsid w:val="008F2A25"/>
    <w:rsid w:val="008F5D80"/>
    <w:rsid w:val="008F7E17"/>
    <w:rsid w:val="009059BB"/>
    <w:rsid w:val="0090638A"/>
    <w:rsid w:val="00913265"/>
    <w:rsid w:val="00914F9E"/>
    <w:rsid w:val="00916F83"/>
    <w:rsid w:val="009226D2"/>
    <w:rsid w:val="00923CBC"/>
    <w:rsid w:val="00927005"/>
    <w:rsid w:val="00930248"/>
    <w:rsid w:val="00931802"/>
    <w:rsid w:val="0093649B"/>
    <w:rsid w:val="009432D4"/>
    <w:rsid w:val="009443FB"/>
    <w:rsid w:val="00944EC3"/>
    <w:rsid w:val="009479F9"/>
    <w:rsid w:val="00952BF5"/>
    <w:rsid w:val="00964889"/>
    <w:rsid w:val="00974521"/>
    <w:rsid w:val="00974842"/>
    <w:rsid w:val="00982BD1"/>
    <w:rsid w:val="009868A9"/>
    <w:rsid w:val="00992538"/>
    <w:rsid w:val="00992FE4"/>
    <w:rsid w:val="009A0FDF"/>
    <w:rsid w:val="009A3417"/>
    <w:rsid w:val="009A4659"/>
    <w:rsid w:val="009B102D"/>
    <w:rsid w:val="009B29A8"/>
    <w:rsid w:val="009B2F45"/>
    <w:rsid w:val="009B7B00"/>
    <w:rsid w:val="009B7D1C"/>
    <w:rsid w:val="009C21C2"/>
    <w:rsid w:val="009C6AF6"/>
    <w:rsid w:val="009D0E82"/>
    <w:rsid w:val="009E6308"/>
    <w:rsid w:val="009E7932"/>
    <w:rsid w:val="009E7F1B"/>
    <w:rsid w:val="009F6D54"/>
    <w:rsid w:val="009F7D57"/>
    <w:rsid w:val="00A00862"/>
    <w:rsid w:val="00A178D6"/>
    <w:rsid w:val="00A21DDE"/>
    <w:rsid w:val="00A535EC"/>
    <w:rsid w:val="00A5491D"/>
    <w:rsid w:val="00A61FD1"/>
    <w:rsid w:val="00A63896"/>
    <w:rsid w:val="00A66B5E"/>
    <w:rsid w:val="00A74B3B"/>
    <w:rsid w:val="00A7569C"/>
    <w:rsid w:val="00A95CE0"/>
    <w:rsid w:val="00A970C5"/>
    <w:rsid w:val="00AA150A"/>
    <w:rsid w:val="00AA4CA8"/>
    <w:rsid w:val="00AB31D0"/>
    <w:rsid w:val="00AD11D1"/>
    <w:rsid w:val="00AD5FB9"/>
    <w:rsid w:val="00AE39AA"/>
    <w:rsid w:val="00AF138B"/>
    <w:rsid w:val="00AF371A"/>
    <w:rsid w:val="00AF4237"/>
    <w:rsid w:val="00B00158"/>
    <w:rsid w:val="00B01124"/>
    <w:rsid w:val="00B03532"/>
    <w:rsid w:val="00B0403C"/>
    <w:rsid w:val="00B065EF"/>
    <w:rsid w:val="00B100A1"/>
    <w:rsid w:val="00B25732"/>
    <w:rsid w:val="00B2676E"/>
    <w:rsid w:val="00B270D8"/>
    <w:rsid w:val="00B32AD3"/>
    <w:rsid w:val="00B355FC"/>
    <w:rsid w:val="00B40032"/>
    <w:rsid w:val="00B41377"/>
    <w:rsid w:val="00B42623"/>
    <w:rsid w:val="00B44604"/>
    <w:rsid w:val="00B46ED6"/>
    <w:rsid w:val="00B51238"/>
    <w:rsid w:val="00B532F6"/>
    <w:rsid w:val="00B55B74"/>
    <w:rsid w:val="00B56F8B"/>
    <w:rsid w:val="00B60EA5"/>
    <w:rsid w:val="00B670BA"/>
    <w:rsid w:val="00B71B6E"/>
    <w:rsid w:val="00B74082"/>
    <w:rsid w:val="00B74839"/>
    <w:rsid w:val="00B917BF"/>
    <w:rsid w:val="00BA563E"/>
    <w:rsid w:val="00BA5D21"/>
    <w:rsid w:val="00BB262E"/>
    <w:rsid w:val="00BC455E"/>
    <w:rsid w:val="00BC7926"/>
    <w:rsid w:val="00BD0FDC"/>
    <w:rsid w:val="00BD3643"/>
    <w:rsid w:val="00BD53FF"/>
    <w:rsid w:val="00BD73B0"/>
    <w:rsid w:val="00BE313B"/>
    <w:rsid w:val="00BE3615"/>
    <w:rsid w:val="00BE5D7E"/>
    <w:rsid w:val="00BE5DD5"/>
    <w:rsid w:val="00BE706F"/>
    <w:rsid w:val="00BF1769"/>
    <w:rsid w:val="00BF4969"/>
    <w:rsid w:val="00BF6852"/>
    <w:rsid w:val="00C03537"/>
    <w:rsid w:val="00C07046"/>
    <w:rsid w:val="00C076BB"/>
    <w:rsid w:val="00C078C5"/>
    <w:rsid w:val="00C16506"/>
    <w:rsid w:val="00C2237F"/>
    <w:rsid w:val="00C26685"/>
    <w:rsid w:val="00C275BB"/>
    <w:rsid w:val="00C37702"/>
    <w:rsid w:val="00C37DE5"/>
    <w:rsid w:val="00C418AB"/>
    <w:rsid w:val="00C41A52"/>
    <w:rsid w:val="00C426D9"/>
    <w:rsid w:val="00C44259"/>
    <w:rsid w:val="00C45C39"/>
    <w:rsid w:val="00C47765"/>
    <w:rsid w:val="00C51E9F"/>
    <w:rsid w:val="00C5425C"/>
    <w:rsid w:val="00C57D67"/>
    <w:rsid w:val="00C6473C"/>
    <w:rsid w:val="00C660D0"/>
    <w:rsid w:val="00C67BF4"/>
    <w:rsid w:val="00C70151"/>
    <w:rsid w:val="00C70BDE"/>
    <w:rsid w:val="00C755BB"/>
    <w:rsid w:val="00C87AA6"/>
    <w:rsid w:val="00C943B2"/>
    <w:rsid w:val="00C967BA"/>
    <w:rsid w:val="00C972C4"/>
    <w:rsid w:val="00C97402"/>
    <w:rsid w:val="00C97832"/>
    <w:rsid w:val="00CA2167"/>
    <w:rsid w:val="00CA6B57"/>
    <w:rsid w:val="00CA73CC"/>
    <w:rsid w:val="00CA7C2A"/>
    <w:rsid w:val="00CB0586"/>
    <w:rsid w:val="00CB6624"/>
    <w:rsid w:val="00CB6B3B"/>
    <w:rsid w:val="00CB7F0D"/>
    <w:rsid w:val="00CC7512"/>
    <w:rsid w:val="00CD3213"/>
    <w:rsid w:val="00CD66C6"/>
    <w:rsid w:val="00CE63DC"/>
    <w:rsid w:val="00CE70D4"/>
    <w:rsid w:val="00D03066"/>
    <w:rsid w:val="00D10448"/>
    <w:rsid w:val="00D22E2A"/>
    <w:rsid w:val="00D26B86"/>
    <w:rsid w:val="00D33275"/>
    <w:rsid w:val="00D332A9"/>
    <w:rsid w:val="00D35C4A"/>
    <w:rsid w:val="00D364FB"/>
    <w:rsid w:val="00D36C84"/>
    <w:rsid w:val="00D37249"/>
    <w:rsid w:val="00D42581"/>
    <w:rsid w:val="00D42EAD"/>
    <w:rsid w:val="00D464E6"/>
    <w:rsid w:val="00D47695"/>
    <w:rsid w:val="00D51C35"/>
    <w:rsid w:val="00D637F0"/>
    <w:rsid w:val="00D730B6"/>
    <w:rsid w:val="00D74241"/>
    <w:rsid w:val="00D827B7"/>
    <w:rsid w:val="00D82DD4"/>
    <w:rsid w:val="00D835ED"/>
    <w:rsid w:val="00D864C6"/>
    <w:rsid w:val="00D86C9D"/>
    <w:rsid w:val="00D90A21"/>
    <w:rsid w:val="00DA30E6"/>
    <w:rsid w:val="00DA793D"/>
    <w:rsid w:val="00DB24F9"/>
    <w:rsid w:val="00DC326F"/>
    <w:rsid w:val="00DD5D6D"/>
    <w:rsid w:val="00DD73EB"/>
    <w:rsid w:val="00DD7428"/>
    <w:rsid w:val="00DF5469"/>
    <w:rsid w:val="00E017A7"/>
    <w:rsid w:val="00E14F4D"/>
    <w:rsid w:val="00E26FAD"/>
    <w:rsid w:val="00E3031C"/>
    <w:rsid w:val="00E34339"/>
    <w:rsid w:val="00E37172"/>
    <w:rsid w:val="00E41CFF"/>
    <w:rsid w:val="00E42D53"/>
    <w:rsid w:val="00E500AF"/>
    <w:rsid w:val="00E570EA"/>
    <w:rsid w:val="00E612C0"/>
    <w:rsid w:val="00E618E3"/>
    <w:rsid w:val="00E66B8F"/>
    <w:rsid w:val="00E67C54"/>
    <w:rsid w:val="00E733D8"/>
    <w:rsid w:val="00E73D4B"/>
    <w:rsid w:val="00E74AD9"/>
    <w:rsid w:val="00E750F2"/>
    <w:rsid w:val="00E7533D"/>
    <w:rsid w:val="00E75818"/>
    <w:rsid w:val="00E76D1E"/>
    <w:rsid w:val="00E843AB"/>
    <w:rsid w:val="00E84781"/>
    <w:rsid w:val="00E86324"/>
    <w:rsid w:val="00E93BC5"/>
    <w:rsid w:val="00E947D1"/>
    <w:rsid w:val="00EC0375"/>
    <w:rsid w:val="00EC1131"/>
    <w:rsid w:val="00EC25EC"/>
    <w:rsid w:val="00ED0DDE"/>
    <w:rsid w:val="00ED63FB"/>
    <w:rsid w:val="00EE05FD"/>
    <w:rsid w:val="00EF0B8C"/>
    <w:rsid w:val="00EF0F88"/>
    <w:rsid w:val="00EF1BE0"/>
    <w:rsid w:val="00F1056F"/>
    <w:rsid w:val="00F2361C"/>
    <w:rsid w:val="00F267FE"/>
    <w:rsid w:val="00F334A1"/>
    <w:rsid w:val="00F53917"/>
    <w:rsid w:val="00F5658C"/>
    <w:rsid w:val="00F60701"/>
    <w:rsid w:val="00F7142B"/>
    <w:rsid w:val="00F722CD"/>
    <w:rsid w:val="00F732B7"/>
    <w:rsid w:val="00F817A4"/>
    <w:rsid w:val="00F827FD"/>
    <w:rsid w:val="00F864A8"/>
    <w:rsid w:val="00F9146F"/>
    <w:rsid w:val="00F94598"/>
    <w:rsid w:val="00F9663B"/>
    <w:rsid w:val="00FA6A80"/>
    <w:rsid w:val="00FA6DED"/>
    <w:rsid w:val="00FB58B2"/>
    <w:rsid w:val="00FC1DFB"/>
    <w:rsid w:val="00FC250F"/>
    <w:rsid w:val="00FD27A5"/>
    <w:rsid w:val="00FD2D7E"/>
    <w:rsid w:val="00FD3527"/>
    <w:rsid w:val="00FD62D1"/>
    <w:rsid w:val="00FD6383"/>
    <w:rsid w:val="00FE1D5C"/>
    <w:rsid w:val="00FE5F96"/>
    <w:rsid w:val="00FF006E"/>
    <w:rsid w:val="00FF618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F9BF5"/>
  <w15:docId w15:val="{4EB8BDB1-8A81-554C-B439-5679433F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5ED"/>
    <w:pPr>
      <w:spacing w:after="0" w:line="240" w:lineRule="auto"/>
    </w:pPr>
    <w:rPr>
      <w:rFonts w:ascii="Times New Roman" w:eastAsia="Times New Roman" w:hAnsi="Times New Roman" w:cs="Times New Roman"/>
      <w:sz w:val="24"/>
      <w:szCs w:val="24"/>
      <w:lang w:eastAsia="es-ES_tradnl"/>
    </w:rPr>
  </w:style>
  <w:style w:type="paragraph" w:styleId="Ttulo3">
    <w:name w:val="heading 3"/>
    <w:basedOn w:val="Normal"/>
    <w:next w:val="Normal"/>
    <w:link w:val="Ttulo3Car"/>
    <w:uiPriority w:val="9"/>
    <w:semiHidden/>
    <w:unhideWhenUsed/>
    <w:qFormat/>
    <w:rsid w:val="00E017A7"/>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spacing w:after="200" w:line="276" w:lineRule="auto"/>
      <w:ind w:left="720"/>
      <w:contextualSpacing/>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C660D0"/>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0562B1"/>
  </w:style>
  <w:style w:type="character" w:styleId="Hipervnculo">
    <w:name w:val="Hyperlink"/>
    <w:basedOn w:val="Fuentedeprrafopredeter"/>
    <w:uiPriority w:val="99"/>
    <w:unhideWhenUsed/>
    <w:rsid w:val="002B1E17"/>
    <w:rPr>
      <w:color w:val="0000FF" w:themeColor="hyperlink"/>
      <w:u w:val="single"/>
    </w:rPr>
  </w:style>
  <w:style w:type="character" w:customStyle="1" w:styleId="Mencinsinresolver1">
    <w:name w:val="Mención sin resolver1"/>
    <w:basedOn w:val="Fuentedeprrafopredeter"/>
    <w:uiPriority w:val="99"/>
    <w:semiHidden/>
    <w:unhideWhenUsed/>
    <w:rsid w:val="00C47765"/>
    <w:rPr>
      <w:color w:val="605E5C"/>
      <w:shd w:val="clear" w:color="auto" w:fill="E1DFDD"/>
    </w:rPr>
  </w:style>
  <w:style w:type="character" w:styleId="Hipervnculovisitado">
    <w:name w:val="FollowedHyperlink"/>
    <w:basedOn w:val="Fuentedeprrafopredeter"/>
    <w:uiPriority w:val="99"/>
    <w:semiHidden/>
    <w:unhideWhenUsed/>
    <w:rsid w:val="00F334A1"/>
    <w:rPr>
      <w:color w:val="800080" w:themeColor="followedHyperlink"/>
      <w:u w:val="single"/>
    </w:rPr>
  </w:style>
  <w:style w:type="character" w:customStyle="1" w:styleId="Mencinsinresolver2">
    <w:name w:val="Mención sin resolver2"/>
    <w:basedOn w:val="Fuentedeprrafopredeter"/>
    <w:uiPriority w:val="99"/>
    <w:semiHidden/>
    <w:unhideWhenUsed/>
    <w:rsid w:val="00C5425C"/>
    <w:rPr>
      <w:color w:val="605E5C"/>
      <w:shd w:val="clear" w:color="auto" w:fill="E1DFDD"/>
    </w:rPr>
  </w:style>
  <w:style w:type="paragraph" w:styleId="Textonotapie">
    <w:name w:val="footnote text"/>
    <w:basedOn w:val="Normal"/>
    <w:link w:val="TextonotapieCar"/>
    <w:uiPriority w:val="99"/>
    <w:semiHidden/>
    <w:unhideWhenUsed/>
    <w:rsid w:val="00C5425C"/>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C5425C"/>
    <w:rPr>
      <w:sz w:val="20"/>
      <w:szCs w:val="20"/>
    </w:rPr>
  </w:style>
  <w:style w:type="character" w:styleId="Refdenotaalpie">
    <w:name w:val="footnote reference"/>
    <w:basedOn w:val="Fuentedeprrafopredeter"/>
    <w:uiPriority w:val="99"/>
    <w:semiHidden/>
    <w:unhideWhenUsed/>
    <w:rsid w:val="00C5425C"/>
    <w:rPr>
      <w:vertAlign w:val="superscript"/>
    </w:rPr>
  </w:style>
  <w:style w:type="character" w:styleId="Mencinsinresolver">
    <w:name w:val="Unresolved Mention"/>
    <w:basedOn w:val="Fuentedeprrafopredeter"/>
    <w:uiPriority w:val="99"/>
    <w:semiHidden/>
    <w:unhideWhenUsed/>
    <w:rsid w:val="006240C0"/>
    <w:rPr>
      <w:color w:val="605E5C"/>
      <w:shd w:val="clear" w:color="auto" w:fill="E1DFDD"/>
    </w:rPr>
  </w:style>
  <w:style w:type="character" w:customStyle="1" w:styleId="Ttulo3Car">
    <w:name w:val="Título 3 Car"/>
    <w:basedOn w:val="Fuentedeprrafopredeter"/>
    <w:link w:val="Ttulo3"/>
    <w:uiPriority w:val="9"/>
    <w:semiHidden/>
    <w:rsid w:val="00E017A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131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198">
      <w:bodyDiv w:val="1"/>
      <w:marLeft w:val="0"/>
      <w:marRight w:val="0"/>
      <w:marTop w:val="0"/>
      <w:marBottom w:val="0"/>
      <w:divBdr>
        <w:top w:val="none" w:sz="0" w:space="0" w:color="auto"/>
        <w:left w:val="none" w:sz="0" w:space="0" w:color="auto"/>
        <w:bottom w:val="none" w:sz="0" w:space="0" w:color="auto"/>
        <w:right w:val="none" w:sz="0" w:space="0" w:color="auto"/>
      </w:divBdr>
    </w:div>
    <w:div w:id="12079837">
      <w:bodyDiv w:val="1"/>
      <w:marLeft w:val="0"/>
      <w:marRight w:val="0"/>
      <w:marTop w:val="0"/>
      <w:marBottom w:val="0"/>
      <w:divBdr>
        <w:top w:val="none" w:sz="0" w:space="0" w:color="auto"/>
        <w:left w:val="none" w:sz="0" w:space="0" w:color="auto"/>
        <w:bottom w:val="none" w:sz="0" w:space="0" w:color="auto"/>
        <w:right w:val="none" w:sz="0" w:space="0" w:color="auto"/>
      </w:divBdr>
    </w:div>
    <w:div w:id="23865775">
      <w:bodyDiv w:val="1"/>
      <w:marLeft w:val="0"/>
      <w:marRight w:val="0"/>
      <w:marTop w:val="0"/>
      <w:marBottom w:val="0"/>
      <w:divBdr>
        <w:top w:val="none" w:sz="0" w:space="0" w:color="auto"/>
        <w:left w:val="none" w:sz="0" w:space="0" w:color="auto"/>
        <w:bottom w:val="none" w:sz="0" w:space="0" w:color="auto"/>
        <w:right w:val="none" w:sz="0" w:space="0" w:color="auto"/>
      </w:divBdr>
    </w:div>
    <w:div w:id="29691072">
      <w:bodyDiv w:val="1"/>
      <w:marLeft w:val="0"/>
      <w:marRight w:val="0"/>
      <w:marTop w:val="0"/>
      <w:marBottom w:val="0"/>
      <w:divBdr>
        <w:top w:val="none" w:sz="0" w:space="0" w:color="auto"/>
        <w:left w:val="none" w:sz="0" w:space="0" w:color="auto"/>
        <w:bottom w:val="none" w:sz="0" w:space="0" w:color="auto"/>
        <w:right w:val="none" w:sz="0" w:space="0" w:color="auto"/>
      </w:divBdr>
    </w:div>
    <w:div w:id="35013825">
      <w:bodyDiv w:val="1"/>
      <w:marLeft w:val="0"/>
      <w:marRight w:val="0"/>
      <w:marTop w:val="0"/>
      <w:marBottom w:val="0"/>
      <w:divBdr>
        <w:top w:val="none" w:sz="0" w:space="0" w:color="auto"/>
        <w:left w:val="none" w:sz="0" w:space="0" w:color="auto"/>
        <w:bottom w:val="none" w:sz="0" w:space="0" w:color="auto"/>
        <w:right w:val="none" w:sz="0" w:space="0" w:color="auto"/>
      </w:divBdr>
    </w:div>
    <w:div w:id="41099239">
      <w:bodyDiv w:val="1"/>
      <w:marLeft w:val="0"/>
      <w:marRight w:val="0"/>
      <w:marTop w:val="0"/>
      <w:marBottom w:val="0"/>
      <w:divBdr>
        <w:top w:val="none" w:sz="0" w:space="0" w:color="auto"/>
        <w:left w:val="none" w:sz="0" w:space="0" w:color="auto"/>
        <w:bottom w:val="none" w:sz="0" w:space="0" w:color="auto"/>
        <w:right w:val="none" w:sz="0" w:space="0" w:color="auto"/>
      </w:divBdr>
    </w:div>
    <w:div w:id="41904112">
      <w:bodyDiv w:val="1"/>
      <w:marLeft w:val="0"/>
      <w:marRight w:val="0"/>
      <w:marTop w:val="0"/>
      <w:marBottom w:val="0"/>
      <w:divBdr>
        <w:top w:val="none" w:sz="0" w:space="0" w:color="auto"/>
        <w:left w:val="none" w:sz="0" w:space="0" w:color="auto"/>
        <w:bottom w:val="none" w:sz="0" w:space="0" w:color="auto"/>
        <w:right w:val="none" w:sz="0" w:space="0" w:color="auto"/>
      </w:divBdr>
      <w:divsChild>
        <w:div w:id="1677994020">
          <w:marLeft w:val="0"/>
          <w:marRight w:val="0"/>
          <w:marTop w:val="0"/>
          <w:marBottom w:val="0"/>
          <w:divBdr>
            <w:top w:val="none" w:sz="0" w:space="0" w:color="auto"/>
            <w:left w:val="none" w:sz="0" w:space="0" w:color="auto"/>
            <w:bottom w:val="none" w:sz="0" w:space="0" w:color="auto"/>
            <w:right w:val="none" w:sz="0" w:space="0" w:color="auto"/>
          </w:divBdr>
          <w:divsChild>
            <w:div w:id="1142387205">
              <w:marLeft w:val="0"/>
              <w:marRight w:val="0"/>
              <w:marTop w:val="0"/>
              <w:marBottom w:val="0"/>
              <w:divBdr>
                <w:top w:val="none" w:sz="0" w:space="0" w:color="auto"/>
                <w:left w:val="none" w:sz="0" w:space="0" w:color="auto"/>
                <w:bottom w:val="none" w:sz="0" w:space="0" w:color="auto"/>
                <w:right w:val="none" w:sz="0" w:space="0" w:color="auto"/>
              </w:divBdr>
              <w:divsChild>
                <w:div w:id="1794904544">
                  <w:marLeft w:val="0"/>
                  <w:marRight w:val="0"/>
                  <w:marTop w:val="0"/>
                  <w:marBottom w:val="0"/>
                  <w:divBdr>
                    <w:top w:val="none" w:sz="0" w:space="0" w:color="auto"/>
                    <w:left w:val="none" w:sz="0" w:space="0" w:color="auto"/>
                    <w:bottom w:val="none" w:sz="0" w:space="0" w:color="auto"/>
                    <w:right w:val="none" w:sz="0" w:space="0" w:color="auto"/>
                  </w:divBdr>
                  <w:divsChild>
                    <w:div w:id="510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1527">
      <w:bodyDiv w:val="1"/>
      <w:marLeft w:val="0"/>
      <w:marRight w:val="0"/>
      <w:marTop w:val="0"/>
      <w:marBottom w:val="0"/>
      <w:divBdr>
        <w:top w:val="none" w:sz="0" w:space="0" w:color="auto"/>
        <w:left w:val="none" w:sz="0" w:space="0" w:color="auto"/>
        <w:bottom w:val="none" w:sz="0" w:space="0" w:color="auto"/>
        <w:right w:val="none" w:sz="0" w:space="0" w:color="auto"/>
      </w:divBdr>
    </w:div>
    <w:div w:id="50154982">
      <w:bodyDiv w:val="1"/>
      <w:marLeft w:val="0"/>
      <w:marRight w:val="0"/>
      <w:marTop w:val="0"/>
      <w:marBottom w:val="0"/>
      <w:divBdr>
        <w:top w:val="none" w:sz="0" w:space="0" w:color="auto"/>
        <w:left w:val="none" w:sz="0" w:space="0" w:color="auto"/>
        <w:bottom w:val="none" w:sz="0" w:space="0" w:color="auto"/>
        <w:right w:val="none" w:sz="0" w:space="0" w:color="auto"/>
      </w:divBdr>
    </w:div>
    <w:div w:id="53894008">
      <w:bodyDiv w:val="1"/>
      <w:marLeft w:val="0"/>
      <w:marRight w:val="0"/>
      <w:marTop w:val="0"/>
      <w:marBottom w:val="0"/>
      <w:divBdr>
        <w:top w:val="none" w:sz="0" w:space="0" w:color="auto"/>
        <w:left w:val="none" w:sz="0" w:space="0" w:color="auto"/>
        <w:bottom w:val="none" w:sz="0" w:space="0" w:color="auto"/>
        <w:right w:val="none" w:sz="0" w:space="0" w:color="auto"/>
      </w:divBdr>
      <w:divsChild>
        <w:div w:id="747382009">
          <w:marLeft w:val="0"/>
          <w:marRight w:val="0"/>
          <w:marTop w:val="0"/>
          <w:marBottom w:val="0"/>
          <w:divBdr>
            <w:top w:val="none" w:sz="0" w:space="0" w:color="auto"/>
            <w:left w:val="none" w:sz="0" w:space="0" w:color="auto"/>
            <w:bottom w:val="none" w:sz="0" w:space="0" w:color="auto"/>
            <w:right w:val="none" w:sz="0" w:space="0" w:color="auto"/>
          </w:divBdr>
        </w:div>
      </w:divsChild>
    </w:div>
    <w:div w:id="60105869">
      <w:bodyDiv w:val="1"/>
      <w:marLeft w:val="0"/>
      <w:marRight w:val="0"/>
      <w:marTop w:val="0"/>
      <w:marBottom w:val="0"/>
      <w:divBdr>
        <w:top w:val="none" w:sz="0" w:space="0" w:color="auto"/>
        <w:left w:val="none" w:sz="0" w:space="0" w:color="auto"/>
        <w:bottom w:val="none" w:sz="0" w:space="0" w:color="auto"/>
        <w:right w:val="none" w:sz="0" w:space="0" w:color="auto"/>
      </w:divBdr>
    </w:div>
    <w:div w:id="66651212">
      <w:bodyDiv w:val="1"/>
      <w:marLeft w:val="0"/>
      <w:marRight w:val="0"/>
      <w:marTop w:val="0"/>
      <w:marBottom w:val="0"/>
      <w:divBdr>
        <w:top w:val="none" w:sz="0" w:space="0" w:color="auto"/>
        <w:left w:val="none" w:sz="0" w:space="0" w:color="auto"/>
        <w:bottom w:val="none" w:sz="0" w:space="0" w:color="auto"/>
        <w:right w:val="none" w:sz="0" w:space="0" w:color="auto"/>
      </w:divBdr>
    </w:div>
    <w:div w:id="73403755">
      <w:bodyDiv w:val="1"/>
      <w:marLeft w:val="0"/>
      <w:marRight w:val="0"/>
      <w:marTop w:val="0"/>
      <w:marBottom w:val="0"/>
      <w:divBdr>
        <w:top w:val="none" w:sz="0" w:space="0" w:color="auto"/>
        <w:left w:val="none" w:sz="0" w:space="0" w:color="auto"/>
        <w:bottom w:val="none" w:sz="0" w:space="0" w:color="auto"/>
        <w:right w:val="none" w:sz="0" w:space="0" w:color="auto"/>
      </w:divBdr>
    </w:div>
    <w:div w:id="76289904">
      <w:bodyDiv w:val="1"/>
      <w:marLeft w:val="0"/>
      <w:marRight w:val="0"/>
      <w:marTop w:val="0"/>
      <w:marBottom w:val="0"/>
      <w:divBdr>
        <w:top w:val="none" w:sz="0" w:space="0" w:color="auto"/>
        <w:left w:val="none" w:sz="0" w:space="0" w:color="auto"/>
        <w:bottom w:val="none" w:sz="0" w:space="0" w:color="auto"/>
        <w:right w:val="none" w:sz="0" w:space="0" w:color="auto"/>
      </w:divBdr>
    </w:div>
    <w:div w:id="106824522">
      <w:bodyDiv w:val="1"/>
      <w:marLeft w:val="0"/>
      <w:marRight w:val="0"/>
      <w:marTop w:val="0"/>
      <w:marBottom w:val="0"/>
      <w:divBdr>
        <w:top w:val="none" w:sz="0" w:space="0" w:color="auto"/>
        <w:left w:val="none" w:sz="0" w:space="0" w:color="auto"/>
        <w:bottom w:val="none" w:sz="0" w:space="0" w:color="auto"/>
        <w:right w:val="none" w:sz="0" w:space="0" w:color="auto"/>
      </w:divBdr>
    </w:div>
    <w:div w:id="111287261">
      <w:bodyDiv w:val="1"/>
      <w:marLeft w:val="0"/>
      <w:marRight w:val="0"/>
      <w:marTop w:val="0"/>
      <w:marBottom w:val="0"/>
      <w:divBdr>
        <w:top w:val="none" w:sz="0" w:space="0" w:color="auto"/>
        <w:left w:val="none" w:sz="0" w:space="0" w:color="auto"/>
        <w:bottom w:val="none" w:sz="0" w:space="0" w:color="auto"/>
        <w:right w:val="none" w:sz="0" w:space="0" w:color="auto"/>
      </w:divBdr>
    </w:div>
    <w:div w:id="120390313">
      <w:bodyDiv w:val="1"/>
      <w:marLeft w:val="0"/>
      <w:marRight w:val="0"/>
      <w:marTop w:val="0"/>
      <w:marBottom w:val="0"/>
      <w:divBdr>
        <w:top w:val="none" w:sz="0" w:space="0" w:color="auto"/>
        <w:left w:val="none" w:sz="0" w:space="0" w:color="auto"/>
        <w:bottom w:val="none" w:sz="0" w:space="0" w:color="auto"/>
        <w:right w:val="none" w:sz="0" w:space="0" w:color="auto"/>
      </w:divBdr>
    </w:div>
    <w:div w:id="128398917">
      <w:bodyDiv w:val="1"/>
      <w:marLeft w:val="0"/>
      <w:marRight w:val="0"/>
      <w:marTop w:val="0"/>
      <w:marBottom w:val="0"/>
      <w:divBdr>
        <w:top w:val="none" w:sz="0" w:space="0" w:color="auto"/>
        <w:left w:val="none" w:sz="0" w:space="0" w:color="auto"/>
        <w:bottom w:val="none" w:sz="0" w:space="0" w:color="auto"/>
        <w:right w:val="none" w:sz="0" w:space="0" w:color="auto"/>
      </w:divBdr>
    </w:div>
    <w:div w:id="137114601">
      <w:bodyDiv w:val="1"/>
      <w:marLeft w:val="0"/>
      <w:marRight w:val="0"/>
      <w:marTop w:val="0"/>
      <w:marBottom w:val="0"/>
      <w:divBdr>
        <w:top w:val="none" w:sz="0" w:space="0" w:color="auto"/>
        <w:left w:val="none" w:sz="0" w:space="0" w:color="auto"/>
        <w:bottom w:val="none" w:sz="0" w:space="0" w:color="auto"/>
        <w:right w:val="none" w:sz="0" w:space="0" w:color="auto"/>
      </w:divBdr>
    </w:div>
    <w:div w:id="156462706">
      <w:bodyDiv w:val="1"/>
      <w:marLeft w:val="0"/>
      <w:marRight w:val="0"/>
      <w:marTop w:val="0"/>
      <w:marBottom w:val="0"/>
      <w:divBdr>
        <w:top w:val="none" w:sz="0" w:space="0" w:color="auto"/>
        <w:left w:val="none" w:sz="0" w:space="0" w:color="auto"/>
        <w:bottom w:val="none" w:sz="0" w:space="0" w:color="auto"/>
        <w:right w:val="none" w:sz="0" w:space="0" w:color="auto"/>
      </w:divBdr>
    </w:div>
    <w:div w:id="183905336">
      <w:bodyDiv w:val="1"/>
      <w:marLeft w:val="0"/>
      <w:marRight w:val="0"/>
      <w:marTop w:val="0"/>
      <w:marBottom w:val="0"/>
      <w:divBdr>
        <w:top w:val="none" w:sz="0" w:space="0" w:color="auto"/>
        <w:left w:val="none" w:sz="0" w:space="0" w:color="auto"/>
        <w:bottom w:val="none" w:sz="0" w:space="0" w:color="auto"/>
        <w:right w:val="none" w:sz="0" w:space="0" w:color="auto"/>
      </w:divBdr>
    </w:div>
    <w:div w:id="185752207">
      <w:bodyDiv w:val="1"/>
      <w:marLeft w:val="0"/>
      <w:marRight w:val="0"/>
      <w:marTop w:val="0"/>
      <w:marBottom w:val="0"/>
      <w:divBdr>
        <w:top w:val="none" w:sz="0" w:space="0" w:color="auto"/>
        <w:left w:val="none" w:sz="0" w:space="0" w:color="auto"/>
        <w:bottom w:val="none" w:sz="0" w:space="0" w:color="auto"/>
        <w:right w:val="none" w:sz="0" w:space="0" w:color="auto"/>
      </w:divBdr>
    </w:div>
    <w:div w:id="200828647">
      <w:bodyDiv w:val="1"/>
      <w:marLeft w:val="0"/>
      <w:marRight w:val="0"/>
      <w:marTop w:val="0"/>
      <w:marBottom w:val="0"/>
      <w:divBdr>
        <w:top w:val="none" w:sz="0" w:space="0" w:color="auto"/>
        <w:left w:val="none" w:sz="0" w:space="0" w:color="auto"/>
        <w:bottom w:val="none" w:sz="0" w:space="0" w:color="auto"/>
        <w:right w:val="none" w:sz="0" w:space="0" w:color="auto"/>
      </w:divBdr>
    </w:div>
    <w:div w:id="201137454">
      <w:bodyDiv w:val="1"/>
      <w:marLeft w:val="0"/>
      <w:marRight w:val="0"/>
      <w:marTop w:val="0"/>
      <w:marBottom w:val="0"/>
      <w:divBdr>
        <w:top w:val="none" w:sz="0" w:space="0" w:color="auto"/>
        <w:left w:val="none" w:sz="0" w:space="0" w:color="auto"/>
        <w:bottom w:val="none" w:sz="0" w:space="0" w:color="auto"/>
        <w:right w:val="none" w:sz="0" w:space="0" w:color="auto"/>
      </w:divBdr>
    </w:div>
    <w:div w:id="203367826">
      <w:bodyDiv w:val="1"/>
      <w:marLeft w:val="0"/>
      <w:marRight w:val="0"/>
      <w:marTop w:val="0"/>
      <w:marBottom w:val="0"/>
      <w:divBdr>
        <w:top w:val="none" w:sz="0" w:space="0" w:color="auto"/>
        <w:left w:val="none" w:sz="0" w:space="0" w:color="auto"/>
        <w:bottom w:val="none" w:sz="0" w:space="0" w:color="auto"/>
        <w:right w:val="none" w:sz="0" w:space="0" w:color="auto"/>
      </w:divBdr>
    </w:div>
    <w:div w:id="208344502">
      <w:bodyDiv w:val="1"/>
      <w:marLeft w:val="0"/>
      <w:marRight w:val="0"/>
      <w:marTop w:val="0"/>
      <w:marBottom w:val="0"/>
      <w:divBdr>
        <w:top w:val="none" w:sz="0" w:space="0" w:color="auto"/>
        <w:left w:val="none" w:sz="0" w:space="0" w:color="auto"/>
        <w:bottom w:val="none" w:sz="0" w:space="0" w:color="auto"/>
        <w:right w:val="none" w:sz="0" w:space="0" w:color="auto"/>
      </w:divBdr>
    </w:div>
    <w:div w:id="210269313">
      <w:bodyDiv w:val="1"/>
      <w:marLeft w:val="0"/>
      <w:marRight w:val="0"/>
      <w:marTop w:val="0"/>
      <w:marBottom w:val="0"/>
      <w:divBdr>
        <w:top w:val="none" w:sz="0" w:space="0" w:color="auto"/>
        <w:left w:val="none" w:sz="0" w:space="0" w:color="auto"/>
        <w:bottom w:val="none" w:sz="0" w:space="0" w:color="auto"/>
        <w:right w:val="none" w:sz="0" w:space="0" w:color="auto"/>
      </w:divBdr>
    </w:div>
    <w:div w:id="212037633">
      <w:bodyDiv w:val="1"/>
      <w:marLeft w:val="0"/>
      <w:marRight w:val="0"/>
      <w:marTop w:val="0"/>
      <w:marBottom w:val="0"/>
      <w:divBdr>
        <w:top w:val="none" w:sz="0" w:space="0" w:color="auto"/>
        <w:left w:val="none" w:sz="0" w:space="0" w:color="auto"/>
        <w:bottom w:val="none" w:sz="0" w:space="0" w:color="auto"/>
        <w:right w:val="none" w:sz="0" w:space="0" w:color="auto"/>
      </w:divBdr>
    </w:div>
    <w:div w:id="214464490">
      <w:bodyDiv w:val="1"/>
      <w:marLeft w:val="0"/>
      <w:marRight w:val="0"/>
      <w:marTop w:val="0"/>
      <w:marBottom w:val="0"/>
      <w:divBdr>
        <w:top w:val="none" w:sz="0" w:space="0" w:color="auto"/>
        <w:left w:val="none" w:sz="0" w:space="0" w:color="auto"/>
        <w:bottom w:val="none" w:sz="0" w:space="0" w:color="auto"/>
        <w:right w:val="none" w:sz="0" w:space="0" w:color="auto"/>
      </w:divBdr>
    </w:div>
    <w:div w:id="217129846">
      <w:bodyDiv w:val="1"/>
      <w:marLeft w:val="0"/>
      <w:marRight w:val="0"/>
      <w:marTop w:val="0"/>
      <w:marBottom w:val="0"/>
      <w:divBdr>
        <w:top w:val="none" w:sz="0" w:space="0" w:color="auto"/>
        <w:left w:val="none" w:sz="0" w:space="0" w:color="auto"/>
        <w:bottom w:val="none" w:sz="0" w:space="0" w:color="auto"/>
        <w:right w:val="none" w:sz="0" w:space="0" w:color="auto"/>
      </w:divBdr>
    </w:div>
    <w:div w:id="222638825">
      <w:bodyDiv w:val="1"/>
      <w:marLeft w:val="0"/>
      <w:marRight w:val="0"/>
      <w:marTop w:val="0"/>
      <w:marBottom w:val="0"/>
      <w:divBdr>
        <w:top w:val="none" w:sz="0" w:space="0" w:color="auto"/>
        <w:left w:val="none" w:sz="0" w:space="0" w:color="auto"/>
        <w:bottom w:val="none" w:sz="0" w:space="0" w:color="auto"/>
        <w:right w:val="none" w:sz="0" w:space="0" w:color="auto"/>
      </w:divBdr>
    </w:div>
    <w:div w:id="227495142">
      <w:bodyDiv w:val="1"/>
      <w:marLeft w:val="0"/>
      <w:marRight w:val="0"/>
      <w:marTop w:val="0"/>
      <w:marBottom w:val="0"/>
      <w:divBdr>
        <w:top w:val="none" w:sz="0" w:space="0" w:color="auto"/>
        <w:left w:val="none" w:sz="0" w:space="0" w:color="auto"/>
        <w:bottom w:val="none" w:sz="0" w:space="0" w:color="auto"/>
        <w:right w:val="none" w:sz="0" w:space="0" w:color="auto"/>
      </w:divBdr>
    </w:div>
    <w:div w:id="234780553">
      <w:bodyDiv w:val="1"/>
      <w:marLeft w:val="0"/>
      <w:marRight w:val="0"/>
      <w:marTop w:val="0"/>
      <w:marBottom w:val="0"/>
      <w:divBdr>
        <w:top w:val="none" w:sz="0" w:space="0" w:color="auto"/>
        <w:left w:val="none" w:sz="0" w:space="0" w:color="auto"/>
        <w:bottom w:val="none" w:sz="0" w:space="0" w:color="auto"/>
        <w:right w:val="none" w:sz="0" w:space="0" w:color="auto"/>
      </w:divBdr>
    </w:div>
    <w:div w:id="235210723">
      <w:bodyDiv w:val="1"/>
      <w:marLeft w:val="0"/>
      <w:marRight w:val="0"/>
      <w:marTop w:val="0"/>
      <w:marBottom w:val="0"/>
      <w:divBdr>
        <w:top w:val="none" w:sz="0" w:space="0" w:color="auto"/>
        <w:left w:val="none" w:sz="0" w:space="0" w:color="auto"/>
        <w:bottom w:val="none" w:sz="0" w:space="0" w:color="auto"/>
        <w:right w:val="none" w:sz="0" w:space="0" w:color="auto"/>
      </w:divBdr>
    </w:div>
    <w:div w:id="237640859">
      <w:bodyDiv w:val="1"/>
      <w:marLeft w:val="0"/>
      <w:marRight w:val="0"/>
      <w:marTop w:val="0"/>
      <w:marBottom w:val="0"/>
      <w:divBdr>
        <w:top w:val="none" w:sz="0" w:space="0" w:color="auto"/>
        <w:left w:val="none" w:sz="0" w:space="0" w:color="auto"/>
        <w:bottom w:val="none" w:sz="0" w:space="0" w:color="auto"/>
        <w:right w:val="none" w:sz="0" w:space="0" w:color="auto"/>
      </w:divBdr>
    </w:div>
    <w:div w:id="246695220">
      <w:bodyDiv w:val="1"/>
      <w:marLeft w:val="0"/>
      <w:marRight w:val="0"/>
      <w:marTop w:val="0"/>
      <w:marBottom w:val="0"/>
      <w:divBdr>
        <w:top w:val="none" w:sz="0" w:space="0" w:color="auto"/>
        <w:left w:val="none" w:sz="0" w:space="0" w:color="auto"/>
        <w:bottom w:val="none" w:sz="0" w:space="0" w:color="auto"/>
        <w:right w:val="none" w:sz="0" w:space="0" w:color="auto"/>
      </w:divBdr>
    </w:div>
    <w:div w:id="250630130">
      <w:bodyDiv w:val="1"/>
      <w:marLeft w:val="0"/>
      <w:marRight w:val="0"/>
      <w:marTop w:val="0"/>
      <w:marBottom w:val="0"/>
      <w:divBdr>
        <w:top w:val="none" w:sz="0" w:space="0" w:color="auto"/>
        <w:left w:val="none" w:sz="0" w:space="0" w:color="auto"/>
        <w:bottom w:val="none" w:sz="0" w:space="0" w:color="auto"/>
        <w:right w:val="none" w:sz="0" w:space="0" w:color="auto"/>
      </w:divBdr>
    </w:div>
    <w:div w:id="261190098">
      <w:bodyDiv w:val="1"/>
      <w:marLeft w:val="0"/>
      <w:marRight w:val="0"/>
      <w:marTop w:val="0"/>
      <w:marBottom w:val="0"/>
      <w:divBdr>
        <w:top w:val="none" w:sz="0" w:space="0" w:color="auto"/>
        <w:left w:val="none" w:sz="0" w:space="0" w:color="auto"/>
        <w:bottom w:val="none" w:sz="0" w:space="0" w:color="auto"/>
        <w:right w:val="none" w:sz="0" w:space="0" w:color="auto"/>
      </w:divBdr>
    </w:div>
    <w:div w:id="269287930">
      <w:bodyDiv w:val="1"/>
      <w:marLeft w:val="0"/>
      <w:marRight w:val="0"/>
      <w:marTop w:val="0"/>
      <w:marBottom w:val="0"/>
      <w:divBdr>
        <w:top w:val="none" w:sz="0" w:space="0" w:color="auto"/>
        <w:left w:val="none" w:sz="0" w:space="0" w:color="auto"/>
        <w:bottom w:val="none" w:sz="0" w:space="0" w:color="auto"/>
        <w:right w:val="none" w:sz="0" w:space="0" w:color="auto"/>
      </w:divBdr>
    </w:div>
    <w:div w:id="272640276">
      <w:bodyDiv w:val="1"/>
      <w:marLeft w:val="0"/>
      <w:marRight w:val="0"/>
      <w:marTop w:val="0"/>
      <w:marBottom w:val="0"/>
      <w:divBdr>
        <w:top w:val="none" w:sz="0" w:space="0" w:color="auto"/>
        <w:left w:val="none" w:sz="0" w:space="0" w:color="auto"/>
        <w:bottom w:val="none" w:sz="0" w:space="0" w:color="auto"/>
        <w:right w:val="none" w:sz="0" w:space="0" w:color="auto"/>
      </w:divBdr>
    </w:div>
    <w:div w:id="284360772">
      <w:bodyDiv w:val="1"/>
      <w:marLeft w:val="0"/>
      <w:marRight w:val="0"/>
      <w:marTop w:val="0"/>
      <w:marBottom w:val="0"/>
      <w:divBdr>
        <w:top w:val="none" w:sz="0" w:space="0" w:color="auto"/>
        <w:left w:val="none" w:sz="0" w:space="0" w:color="auto"/>
        <w:bottom w:val="none" w:sz="0" w:space="0" w:color="auto"/>
        <w:right w:val="none" w:sz="0" w:space="0" w:color="auto"/>
      </w:divBdr>
    </w:div>
    <w:div w:id="286546241">
      <w:bodyDiv w:val="1"/>
      <w:marLeft w:val="0"/>
      <w:marRight w:val="0"/>
      <w:marTop w:val="0"/>
      <w:marBottom w:val="0"/>
      <w:divBdr>
        <w:top w:val="none" w:sz="0" w:space="0" w:color="auto"/>
        <w:left w:val="none" w:sz="0" w:space="0" w:color="auto"/>
        <w:bottom w:val="none" w:sz="0" w:space="0" w:color="auto"/>
        <w:right w:val="none" w:sz="0" w:space="0" w:color="auto"/>
      </w:divBdr>
    </w:div>
    <w:div w:id="301083214">
      <w:bodyDiv w:val="1"/>
      <w:marLeft w:val="0"/>
      <w:marRight w:val="0"/>
      <w:marTop w:val="0"/>
      <w:marBottom w:val="0"/>
      <w:divBdr>
        <w:top w:val="none" w:sz="0" w:space="0" w:color="auto"/>
        <w:left w:val="none" w:sz="0" w:space="0" w:color="auto"/>
        <w:bottom w:val="none" w:sz="0" w:space="0" w:color="auto"/>
        <w:right w:val="none" w:sz="0" w:space="0" w:color="auto"/>
      </w:divBdr>
    </w:div>
    <w:div w:id="305939843">
      <w:bodyDiv w:val="1"/>
      <w:marLeft w:val="0"/>
      <w:marRight w:val="0"/>
      <w:marTop w:val="0"/>
      <w:marBottom w:val="0"/>
      <w:divBdr>
        <w:top w:val="none" w:sz="0" w:space="0" w:color="auto"/>
        <w:left w:val="none" w:sz="0" w:space="0" w:color="auto"/>
        <w:bottom w:val="none" w:sz="0" w:space="0" w:color="auto"/>
        <w:right w:val="none" w:sz="0" w:space="0" w:color="auto"/>
      </w:divBdr>
    </w:div>
    <w:div w:id="312680325">
      <w:bodyDiv w:val="1"/>
      <w:marLeft w:val="0"/>
      <w:marRight w:val="0"/>
      <w:marTop w:val="0"/>
      <w:marBottom w:val="0"/>
      <w:divBdr>
        <w:top w:val="none" w:sz="0" w:space="0" w:color="auto"/>
        <w:left w:val="none" w:sz="0" w:space="0" w:color="auto"/>
        <w:bottom w:val="none" w:sz="0" w:space="0" w:color="auto"/>
        <w:right w:val="none" w:sz="0" w:space="0" w:color="auto"/>
      </w:divBdr>
    </w:div>
    <w:div w:id="314333705">
      <w:bodyDiv w:val="1"/>
      <w:marLeft w:val="0"/>
      <w:marRight w:val="0"/>
      <w:marTop w:val="0"/>
      <w:marBottom w:val="0"/>
      <w:divBdr>
        <w:top w:val="none" w:sz="0" w:space="0" w:color="auto"/>
        <w:left w:val="none" w:sz="0" w:space="0" w:color="auto"/>
        <w:bottom w:val="none" w:sz="0" w:space="0" w:color="auto"/>
        <w:right w:val="none" w:sz="0" w:space="0" w:color="auto"/>
      </w:divBdr>
    </w:div>
    <w:div w:id="319240745">
      <w:bodyDiv w:val="1"/>
      <w:marLeft w:val="0"/>
      <w:marRight w:val="0"/>
      <w:marTop w:val="0"/>
      <w:marBottom w:val="0"/>
      <w:divBdr>
        <w:top w:val="none" w:sz="0" w:space="0" w:color="auto"/>
        <w:left w:val="none" w:sz="0" w:space="0" w:color="auto"/>
        <w:bottom w:val="none" w:sz="0" w:space="0" w:color="auto"/>
        <w:right w:val="none" w:sz="0" w:space="0" w:color="auto"/>
      </w:divBdr>
    </w:div>
    <w:div w:id="322855856">
      <w:bodyDiv w:val="1"/>
      <w:marLeft w:val="0"/>
      <w:marRight w:val="0"/>
      <w:marTop w:val="0"/>
      <w:marBottom w:val="0"/>
      <w:divBdr>
        <w:top w:val="none" w:sz="0" w:space="0" w:color="auto"/>
        <w:left w:val="none" w:sz="0" w:space="0" w:color="auto"/>
        <w:bottom w:val="none" w:sz="0" w:space="0" w:color="auto"/>
        <w:right w:val="none" w:sz="0" w:space="0" w:color="auto"/>
      </w:divBdr>
    </w:div>
    <w:div w:id="346449984">
      <w:bodyDiv w:val="1"/>
      <w:marLeft w:val="0"/>
      <w:marRight w:val="0"/>
      <w:marTop w:val="0"/>
      <w:marBottom w:val="0"/>
      <w:divBdr>
        <w:top w:val="none" w:sz="0" w:space="0" w:color="auto"/>
        <w:left w:val="none" w:sz="0" w:space="0" w:color="auto"/>
        <w:bottom w:val="none" w:sz="0" w:space="0" w:color="auto"/>
        <w:right w:val="none" w:sz="0" w:space="0" w:color="auto"/>
      </w:divBdr>
    </w:div>
    <w:div w:id="348407526">
      <w:bodyDiv w:val="1"/>
      <w:marLeft w:val="0"/>
      <w:marRight w:val="0"/>
      <w:marTop w:val="0"/>
      <w:marBottom w:val="0"/>
      <w:divBdr>
        <w:top w:val="none" w:sz="0" w:space="0" w:color="auto"/>
        <w:left w:val="none" w:sz="0" w:space="0" w:color="auto"/>
        <w:bottom w:val="none" w:sz="0" w:space="0" w:color="auto"/>
        <w:right w:val="none" w:sz="0" w:space="0" w:color="auto"/>
      </w:divBdr>
    </w:div>
    <w:div w:id="352345229">
      <w:bodyDiv w:val="1"/>
      <w:marLeft w:val="0"/>
      <w:marRight w:val="0"/>
      <w:marTop w:val="0"/>
      <w:marBottom w:val="0"/>
      <w:divBdr>
        <w:top w:val="none" w:sz="0" w:space="0" w:color="auto"/>
        <w:left w:val="none" w:sz="0" w:space="0" w:color="auto"/>
        <w:bottom w:val="none" w:sz="0" w:space="0" w:color="auto"/>
        <w:right w:val="none" w:sz="0" w:space="0" w:color="auto"/>
      </w:divBdr>
    </w:div>
    <w:div w:id="354042945">
      <w:bodyDiv w:val="1"/>
      <w:marLeft w:val="0"/>
      <w:marRight w:val="0"/>
      <w:marTop w:val="0"/>
      <w:marBottom w:val="0"/>
      <w:divBdr>
        <w:top w:val="none" w:sz="0" w:space="0" w:color="auto"/>
        <w:left w:val="none" w:sz="0" w:space="0" w:color="auto"/>
        <w:bottom w:val="none" w:sz="0" w:space="0" w:color="auto"/>
        <w:right w:val="none" w:sz="0" w:space="0" w:color="auto"/>
      </w:divBdr>
    </w:div>
    <w:div w:id="357924753">
      <w:bodyDiv w:val="1"/>
      <w:marLeft w:val="0"/>
      <w:marRight w:val="0"/>
      <w:marTop w:val="0"/>
      <w:marBottom w:val="0"/>
      <w:divBdr>
        <w:top w:val="none" w:sz="0" w:space="0" w:color="auto"/>
        <w:left w:val="none" w:sz="0" w:space="0" w:color="auto"/>
        <w:bottom w:val="none" w:sz="0" w:space="0" w:color="auto"/>
        <w:right w:val="none" w:sz="0" w:space="0" w:color="auto"/>
      </w:divBdr>
    </w:div>
    <w:div w:id="372538936">
      <w:bodyDiv w:val="1"/>
      <w:marLeft w:val="0"/>
      <w:marRight w:val="0"/>
      <w:marTop w:val="0"/>
      <w:marBottom w:val="0"/>
      <w:divBdr>
        <w:top w:val="none" w:sz="0" w:space="0" w:color="auto"/>
        <w:left w:val="none" w:sz="0" w:space="0" w:color="auto"/>
        <w:bottom w:val="none" w:sz="0" w:space="0" w:color="auto"/>
        <w:right w:val="none" w:sz="0" w:space="0" w:color="auto"/>
      </w:divBdr>
    </w:div>
    <w:div w:id="372584685">
      <w:bodyDiv w:val="1"/>
      <w:marLeft w:val="0"/>
      <w:marRight w:val="0"/>
      <w:marTop w:val="0"/>
      <w:marBottom w:val="0"/>
      <w:divBdr>
        <w:top w:val="none" w:sz="0" w:space="0" w:color="auto"/>
        <w:left w:val="none" w:sz="0" w:space="0" w:color="auto"/>
        <w:bottom w:val="none" w:sz="0" w:space="0" w:color="auto"/>
        <w:right w:val="none" w:sz="0" w:space="0" w:color="auto"/>
      </w:divBdr>
    </w:div>
    <w:div w:id="380515919">
      <w:bodyDiv w:val="1"/>
      <w:marLeft w:val="0"/>
      <w:marRight w:val="0"/>
      <w:marTop w:val="0"/>
      <w:marBottom w:val="0"/>
      <w:divBdr>
        <w:top w:val="none" w:sz="0" w:space="0" w:color="auto"/>
        <w:left w:val="none" w:sz="0" w:space="0" w:color="auto"/>
        <w:bottom w:val="none" w:sz="0" w:space="0" w:color="auto"/>
        <w:right w:val="none" w:sz="0" w:space="0" w:color="auto"/>
      </w:divBdr>
    </w:div>
    <w:div w:id="388770568">
      <w:bodyDiv w:val="1"/>
      <w:marLeft w:val="0"/>
      <w:marRight w:val="0"/>
      <w:marTop w:val="0"/>
      <w:marBottom w:val="0"/>
      <w:divBdr>
        <w:top w:val="none" w:sz="0" w:space="0" w:color="auto"/>
        <w:left w:val="none" w:sz="0" w:space="0" w:color="auto"/>
        <w:bottom w:val="none" w:sz="0" w:space="0" w:color="auto"/>
        <w:right w:val="none" w:sz="0" w:space="0" w:color="auto"/>
      </w:divBdr>
    </w:div>
    <w:div w:id="394554175">
      <w:bodyDiv w:val="1"/>
      <w:marLeft w:val="0"/>
      <w:marRight w:val="0"/>
      <w:marTop w:val="0"/>
      <w:marBottom w:val="0"/>
      <w:divBdr>
        <w:top w:val="none" w:sz="0" w:space="0" w:color="auto"/>
        <w:left w:val="none" w:sz="0" w:space="0" w:color="auto"/>
        <w:bottom w:val="none" w:sz="0" w:space="0" w:color="auto"/>
        <w:right w:val="none" w:sz="0" w:space="0" w:color="auto"/>
      </w:divBdr>
    </w:div>
    <w:div w:id="398404158">
      <w:bodyDiv w:val="1"/>
      <w:marLeft w:val="0"/>
      <w:marRight w:val="0"/>
      <w:marTop w:val="0"/>
      <w:marBottom w:val="0"/>
      <w:divBdr>
        <w:top w:val="none" w:sz="0" w:space="0" w:color="auto"/>
        <w:left w:val="none" w:sz="0" w:space="0" w:color="auto"/>
        <w:bottom w:val="none" w:sz="0" w:space="0" w:color="auto"/>
        <w:right w:val="none" w:sz="0" w:space="0" w:color="auto"/>
      </w:divBdr>
    </w:div>
    <w:div w:id="399913643">
      <w:bodyDiv w:val="1"/>
      <w:marLeft w:val="0"/>
      <w:marRight w:val="0"/>
      <w:marTop w:val="0"/>
      <w:marBottom w:val="0"/>
      <w:divBdr>
        <w:top w:val="none" w:sz="0" w:space="0" w:color="auto"/>
        <w:left w:val="none" w:sz="0" w:space="0" w:color="auto"/>
        <w:bottom w:val="none" w:sz="0" w:space="0" w:color="auto"/>
        <w:right w:val="none" w:sz="0" w:space="0" w:color="auto"/>
      </w:divBdr>
    </w:div>
    <w:div w:id="402991037">
      <w:bodyDiv w:val="1"/>
      <w:marLeft w:val="0"/>
      <w:marRight w:val="0"/>
      <w:marTop w:val="0"/>
      <w:marBottom w:val="0"/>
      <w:divBdr>
        <w:top w:val="none" w:sz="0" w:space="0" w:color="auto"/>
        <w:left w:val="none" w:sz="0" w:space="0" w:color="auto"/>
        <w:bottom w:val="none" w:sz="0" w:space="0" w:color="auto"/>
        <w:right w:val="none" w:sz="0" w:space="0" w:color="auto"/>
      </w:divBdr>
      <w:divsChild>
        <w:div w:id="1193611699">
          <w:marLeft w:val="0"/>
          <w:marRight w:val="0"/>
          <w:marTop w:val="0"/>
          <w:marBottom w:val="0"/>
          <w:divBdr>
            <w:top w:val="none" w:sz="0" w:space="0" w:color="auto"/>
            <w:left w:val="none" w:sz="0" w:space="0" w:color="auto"/>
            <w:bottom w:val="none" w:sz="0" w:space="0" w:color="auto"/>
            <w:right w:val="none" w:sz="0" w:space="0" w:color="auto"/>
          </w:divBdr>
          <w:divsChild>
            <w:div w:id="1903442156">
              <w:marLeft w:val="0"/>
              <w:marRight w:val="0"/>
              <w:marTop w:val="0"/>
              <w:marBottom w:val="0"/>
              <w:divBdr>
                <w:top w:val="none" w:sz="0" w:space="0" w:color="auto"/>
                <w:left w:val="none" w:sz="0" w:space="0" w:color="auto"/>
                <w:bottom w:val="none" w:sz="0" w:space="0" w:color="auto"/>
                <w:right w:val="none" w:sz="0" w:space="0" w:color="auto"/>
              </w:divBdr>
              <w:divsChild>
                <w:div w:id="368722938">
                  <w:marLeft w:val="0"/>
                  <w:marRight w:val="0"/>
                  <w:marTop w:val="0"/>
                  <w:marBottom w:val="0"/>
                  <w:divBdr>
                    <w:top w:val="none" w:sz="0" w:space="0" w:color="auto"/>
                    <w:left w:val="none" w:sz="0" w:space="0" w:color="auto"/>
                    <w:bottom w:val="none" w:sz="0" w:space="0" w:color="auto"/>
                    <w:right w:val="none" w:sz="0" w:space="0" w:color="auto"/>
                  </w:divBdr>
                  <w:divsChild>
                    <w:div w:id="10706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1662">
      <w:bodyDiv w:val="1"/>
      <w:marLeft w:val="0"/>
      <w:marRight w:val="0"/>
      <w:marTop w:val="0"/>
      <w:marBottom w:val="0"/>
      <w:divBdr>
        <w:top w:val="none" w:sz="0" w:space="0" w:color="auto"/>
        <w:left w:val="none" w:sz="0" w:space="0" w:color="auto"/>
        <w:bottom w:val="none" w:sz="0" w:space="0" w:color="auto"/>
        <w:right w:val="none" w:sz="0" w:space="0" w:color="auto"/>
      </w:divBdr>
    </w:div>
    <w:div w:id="417486542">
      <w:bodyDiv w:val="1"/>
      <w:marLeft w:val="0"/>
      <w:marRight w:val="0"/>
      <w:marTop w:val="0"/>
      <w:marBottom w:val="0"/>
      <w:divBdr>
        <w:top w:val="none" w:sz="0" w:space="0" w:color="auto"/>
        <w:left w:val="none" w:sz="0" w:space="0" w:color="auto"/>
        <w:bottom w:val="none" w:sz="0" w:space="0" w:color="auto"/>
        <w:right w:val="none" w:sz="0" w:space="0" w:color="auto"/>
      </w:divBdr>
    </w:div>
    <w:div w:id="421149651">
      <w:bodyDiv w:val="1"/>
      <w:marLeft w:val="0"/>
      <w:marRight w:val="0"/>
      <w:marTop w:val="0"/>
      <w:marBottom w:val="0"/>
      <w:divBdr>
        <w:top w:val="none" w:sz="0" w:space="0" w:color="auto"/>
        <w:left w:val="none" w:sz="0" w:space="0" w:color="auto"/>
        <w:bottom w:val="none" w:sz="0" w:space="0" w:color="auto"/>
        <w:right w:val="none" w:sz="0" w:space="0" w:color="auto"/>
      </w:divBdr>
    </w:div>
    <w:div w:id="432288424">
      <w:bodyDiv w:val="1"/>
      <w:marLeft w:val="0"/>
      <w:marRight w:val="0"/>
      <w:marTop w:val="0"/>
      <w:marBottom w:val="0"/>
      <w:divBdr>
        <w:top w:val="none" w:sz="0" w:space="0" w:color="auto"/>
        <w:left w:val="none" w:sz="0" w:space="0" w:color="auto"/>
        <w:bottom w:val="none" w:sz="0" w:space="0" w:color="auto"/>
        <w:right w:val="none" w:sz="0" w:space="0" w:color="auto"/>
      </w:divBdr>
    </w:div>
    <w:div w:id="432867576">
      <w:bodyDiv w:val="1"/>
      <w:marLeft w:val="0"/>
      <w:marRight w:val="0"/>
      <w:marTop w:val="0"/>
      <w:marBottom w:val="0"/>
      <w:divBdr>
        <w:top w:val="none" w:sz="0" w:space="0" w:color="auto"/>
        <w:left w:val="none" w:sz="0" w:space="0" w:color="auto"/>
        <w:bottom w:val="none" w:sz="0" w:space="0" w:color="auto"/>
        <w:right w:val="none" w:sz="0" w:space="0" w:color="auto"/>
      </w:divBdr>
    </w:div>
    <w:div w:id="436289654">
      <w:bodyDiv w:val="1"/>
      <w:marLeft w:val="0"/>
      <w:marRight w:val="0"/>
      <w:marTop w:val="0"/>
      <w:marBottom w:val="0"/>
      <w:divBdr>
        <w:top w:val="none" w:sz="0" w:space="0" w:color="auto"/>
        <w:left w:val="none" w:sz="0" w:space="0" w:color="auto"/>
        <w:bottom w:val="none" w:sz="0" w:space="0" w:color="auto"/>
        <w:right w:val="none" w:sz="0" w:space="0" w:color="auto"/>
      </w:divBdr>
    </w:div>
    <w:div w:id="439647334">
      <w:bodyDiv w:val="1"/>
      <w:marLeft w:val="0"/>
      <w:marRight w:val="0"/>
      <w:marTop w:val="0"/>
      <w:marBottom w:val="0"/>
      <w:divBdr>
        <w:top w:val="none" w:sz="0" w:space="0" w:color="auto"/>
        <w:left w:val="none" w:sz="0" w:space="0" w:color="auto"/>
        <w:bottom w:val="none" w:sz="0" w:space="0" w:color="auto"/>
        <w:right w:val="none" w:sz="0" w:space="0" w:color="auto"/>
      </w:divBdr>
    </w:div>
    <w:div w:id="445462243">
      <w:bodyDiv w:val="1"/>
      <w:marLeft w:val="0"/>
      <w:marRight w:val="0"/>
      <w:marTop w:val="0"/>
      <w:marBottom w:val="0"/>
      <w:divBdr>
        <w:top w:val="none" w:sz="0" w:space="0" w:color="auto"/>
        <w:left w:val="none" w:sz="0" w:space="0" w:color="auto"/>
        <w:bottom w:val="none" w:sz="0" w:space="0" w:color="auto"/>
        <w:right w:val="none" w:sz="0" w:space="0" w:color="auto"/>
      </w:divBdr>
    </w:div>
    <w:div w:id="446126681">
      <w:bodyDiv w:val="1"/>
      <w:marLeft w:val="0"/>
      <w:marRight w:val="0"/>
      <w:marTop w:val="0"/>
      <w:marBottom w:val="0"/>
      <w:divBdr>
        <w:top w:val="none" w:sz="0" w:space="0" w:color="auto"/>
        <w:left w:val="none" w:sz="0" w:space="0" w:color="auto"/>
        <w:bottom w:val="none" w:sz="0" w:space="0" w:color="auto"/>
        <w:right w:val="none" w:sz="0" w:space="0" w:color="auto"/>
      </w:divBdr>
    </w:div>
    <w:div w:id="451367197">
      <w:bodyDiv w:val="1"/>
      <w:marLeft w:val="0"/>
      <w:marRight w:val="0"/>
      <w:marTop w:val="0"/>
      <w:marBottom w:val="0"/>
      <w:divBdr>
        <w:top w:val="none" w:sz="0" w:space="0" w:color="auto"/>
        <w:left w:val="none" w:sz="0" w:space="0" w:color="auto"/>
        <w:bottom w:val="none" w:sz="0" w:space="0" w:color="auto"/>
        <w:right w:val="none" w:sz="0" w:space="0" w:color="auto"/>
      </w:divBdr>
    </w:div>
    <w:div w:id="456487093">
      <w:bodyDiv w:val="1"/>
      <w:marLeft w:val="0"/>
      <w:marRight w:val="0"/>
      <w:marTop w:val="0"/>
      <w:marBottom w:val="0"/>
      <w:divBdr>
        <w:top w:val="none" w:sz="0" w:space="0" w:color="auto"/>
        <w:left w:val="none" w:sz="0" w:space="0" w:color="auto"/>
        <w:bottom w:val="none" w:sz="0" w:space="0" w:color="auto"/>
        <w:right w:val="none" w:sz="0" w:space="0" w:color="auto"/>
      </w:divBdr>
    </w:div>
    <w:div w:id="469909500">
      <w:bodyDiv w:val="1"/>
      <w:marLeft w:val="0"/>
      <w:marRight w:val="0"/>
      <w:marTop w:val="0"/>
      <w:marBottom w:val="0"/>
      <w:divBdr>
        <w:top w:val="none" w:sz="0" w:space="0" w:color="auto"/>
        <w:left w:val="none" w:sz="0" w:space="0" w:color="auto"/>
        <w:bottom w:val="none" w:sz="0" w:space="0" w:color="auto"/>
        <w:right w:val="none" w:sz="0" w:space="0" w:color="auto"/>
      </w:divBdr>
    </w:div>
    <w:div w:id="473110094">
      <w:bodyDiv w:val="1"/>
      <w:marLeft w:val="0"/>
      <w:marRight w:val="0"/>
      <w:marTop w:val="0"/>
      <w:marBottom w:val="0"/>
      <w:divBdr>
        <w:top w:val="none" w:sz="0" w:space="0" w:color="auto"/>
        <w:left w:val="none" w:sz="0" w:space="0" w:color="auto"/>
        <w:bottom w:val="none" w:sz="0" w:space="0" w:color="auto"/>
        <w:right w:val="none" w:sz="0" w:space="0" w:color="auto"/>
      </w:divBdr>
    </w:div>
    <w:div w:id="478503992">
      <w:bodyDiv w:val="1"/>
      <w:marLeft w:val="0"/>
      <w:marRight w:val="0"/>
      <w:marTop w:val="0"/>
      <w:marBottom w:val="0"/>
      <w:divBdr>
        <w:top w:val="none" w:sz="0" w:space="0" w:color="auto"/>
        <w:left w:val="none" w:sz="0" w:space="0" w:color="auto"/>
        <w:bottom w:val="none" w:sz="0" w:space="0" w:color="auto"/>
        <w:right w:val="none" w:sz="0" w:space="0" w:color="auto"/>
      </w:divBdr>
    </w:div>
    <w:div w:id="481629083">
      <w:bodyDiv w:val="1"/>
      <w:marLeft w:val="0"/>
      <w:marRight w:val="0"/>
      <w:marTop w:val="0"/>
      <w:marBottom w:val="0"/>
      <w:divBdr>
        <w:top w:val="none" w:sz="0" w:space="0" w:color="auto"/>
        <w:left w:val="none" w:sz="0" w:space="0" w:color="auto"/>
        <w:bottom w:val="none" w:sz="0" w:space="0" w:color="auto"/>
        <w:right w:val="none" w:sz="0" w:space="0" w:color="auto"/>
      </w:divBdr>
    </w:div>
    <w:div w:id="482550431">
      <w:bodyDiv w:val="1"/>
      <w:marLeft w:val="0"/>
      <w:marRight w:val="0"/>
      <w:marTop w:val="0"/>
      <w:marBottom w:val="0"/>
      <w:divBdr>
        <w:top w:val="none" w:sz="0" w:space="0" w:color="auto"/>
        <w:left w:val="none" w:sz="0" w:space="0" w:color="auto"/>
        <w:bottom w:val="none" w:sz="0" w:space="0" w:color="auto"/>
        <w:right w:val="none" w:sz="0" w:space="0" w:color="auto"/>
      </w:divBdr>
    </w:div>
    <w:div w:id="484855922">
      <w:bodyDiv w:val="1"/>
      <w:marLeft w:val="0"/>
      <w:marRight w:val="0"/>
      <w:marTop w:val="0"/>
      <w:marBottom w:val="0"/>
      <w:divBdr>
        <w:top w:val="none" w:sz="0" w:space="0" w:color="auto"/>
        <w:left w:val="none" w:sz="0" w:space="0" w:color="auto"/>
        <w:bottom w:val="none" w:sz="0" w:space="0" w:color="auto"/>
        <w:right w:val="none" w:sz="0" w:space="0" w:color="auto"/>
      </w:divBdr>
    </w:div>
    <w:div w:id="491800406">
      <w:bodyDiv w:val="1"/>
      <w:marLeft w:val="0"/>
      <w:marRight w:val="0"/>
      <w:marTop w:val="0"/>
      <w:marBottom w:val="0"/>
      <w:divBdr>
        <w:top w:val="none" w:sz="0" w:space="0" w:color="auto"/>
        <w:left w:val="none" w:sz="0" w:space="0" w:color="auto"/>
        <w:bottom w:val="none" w:sz="0" w:space="0" w:color="auto"/>
        <w:right w:val="none" w:sz="0" w:space="0" w:color="auto"/>
      </w:divBdr>
      <w:divsChild>
        <w:div w:id="834998801">
          <w:marLeft w:val="0"/>
          <w:marRight w:val="0"/>
          <w:marTop w:val="0"/>
          <w:marBottom w:val="0"/>
          <w:divBdr>
            <w:top w:val="none" w:sz="0" w:space="0" w:color="auto"/>
            <w:left w:val="none" w:sz="0" w:space="0" w:color="auto"/>
            <w:bottom w:val="none" w:sz="0" w:space="0" w:color="auto"/>
            <w:right w:val="none" w:sz="0" w:space="0" w:color="auto"/>
          </w:divBdr>
          <w:divsChild>
            <w:div w:id="1284267062">
              <w:marLeft w:val="0"/>
              <w:marRight w:val="0"/>
              <w:marTop w:val="0"/>
              <w:marBottom w:val="0"/>
              <w:divBdr>
                <w:top w:val="none" w:sz="0" w:space="0" w:color="auto"/>
                <w:left w:val="none" w:sz="0" w:space="0" w:color="auto"/>
                <w:bottom w:val="none" w:sz="0" w:space="0" w:color="auto"/>
                <w:right w:val="none" w:sz="0" w:space="0" w:color="auto"/>
              </w:divBdr>
              <w:divsChild>
                <w:div w:id="724530917">
                  <w:marLeft w:val="0"/>
                  <w:marRight w:val="0"/>
                  <w:marTop w:val="0"/>
                  <w:marBottom w:val="0"/>
                  <w:divBdr>
                    <w:top w:val="none" w:sz="0" w:space="0" w:color="auto"/>
                    <w:left w:val="none" w:sz="0" w:space="0" w:color="auto"/>
                    <w:bottom w:val="none" w:sz="0" w:space="0" w:color="auto"/>
                    <w:right w:val="none" w:sz="0" w:space="0" w:color="auto"/>
                  </w:divBdr>
                  <w:divsChild>
                    <w:div w:id="96766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375370">
      <w:bodyDiv w:val="1"/>
      <w:marLeft w:val="0"/>
      <w:marRight w:val="0"/>
      <w:marTop w:val="0"/>
      <w:marBottom w:val="0"/>
      <w:divBdr>
        <w:top w:val="none" w:sz="0" w:space="0" w:color="auto"/>
        <w:left w:val="none" w:sz="0" w:space="0" w:color="auto"/>
        <w:bottom w:val="none" w:sz="0" w:space="0" w:color="auto"/>
        <w:right w:val="none" w:sz="0" w:space="0" w:color="auto"/>
      </w:divBdr>
    </w:div>
    <w:div w:id="505168926">
      <w:bodyDiv w:val="1"/>
      <w:marLeft w:val="0"/>
      <w:marRight w:val="0"/>
      <w:marTop w:val="0"/>
      <w:marBottom w:val="0"/>
      <w:divBdr>
        <w:top w:val="none" w:sz="0" w:space="0" w:color="auto"/>
        <w:left w:val="none" w:sz="0" w:space="0" w:color="auto"/>
        <w:bottom w:val="none" w:sz="0" w:space="0" w:color="auto"/>
        <w:right w:val="none" w:sz="0" w:space="0" w:color="auto"/>
      </w:divBdr>
    </w:div>
    <w:div w:id="514081024">
      <w:bodyDiv w:val="1"/>
      <w:marLeft w:val="0"/>
      <w:marRight w:val="0"/>
      <w:marTop w:val="0"/>
      <w:marBottom w:val="0"/>
      <w:divBdr>
        <w:top w:val="none" w:sz="0" w:space="0" w:color="auto"/>
        <w:left w:val="none" w:sz="0" w:space="0" w:color="auto"/>
        <w:bottom w:val="none" w:sz="0" w:space="0" w:color="auto"/>
        <w:right w:val="none" w:sz="0" w:space="0" w:color="auto"/>
      </w:divBdr>
    </w:div>
    <w:div w:id="515654472">
      <w:bodyDiv w:val="1"/>
      <w:marLeft w:val="0"/>
      <w:marRight w:val="0"/>
      <w:marTop w:val="0"/>
      <w:marBottom w:val="0"/>
      <w:divBdr>
        <w:top w:val="none" w:sz="0" w:space="0" w:color="auto"/>
        <w:left w:val="none" w:sz="0" w:space="0" w:color="auto"/>
        <w:bottom w:val="none" w:sz="0" w:space="0" w:color="auto"/>
        <w:right w:val="none" w:sz="0" w:space="0" w:color="auto"/>
      </w:divBdr>
    </w:div>
    <w:div w:id="518204045">
      <w:bodyDiv w:val="1"/>
      <w:marLeft w:val="0"/>
      <w:marRight w:val="0"/>
      <w:marTop w:val="0"/>
      <w:marBottom w:val="0"/>
      <w:divBdr>
        <w:top w:val="none" w:sz="0" w:space="0" w:color="auto"/>
        <w:left w:val="none" w:sz="0" w:space="0" w:color="auto"/>
        <w:bottom w:val="none" w:sz="0" w:space="0" w:color="auto"/>
        <w:right w:val="none" w:sz="0" w:space="0" w:color="auto"/>
      </w:divBdr>
    </w:div>
    <w:div w:id="523707939">
      <w:bodyDiv w:val="1"/>
      <w:marLeft w:val="0"/>
      <w:marRight w:val="0"/>
      <w:marTop w:val="0"/>
      <w:marBottom w:val="0"/>
      <w:divBdr>
        <w:top w:val="none" w:sz="0" w:space="0" w:color="auto"/>
        <w:left w:val="none" w:sz="0" w:space="0" w:color="auto"/>
        <w:bottom w:val="none" w:sz="0" w:space="0" w:color="auto"/>
        <w:right w:val="none" w:sz="0" w:space="0" w:color="auto"/>
      </w:divBdr>
    </w:div>
    <w:div w:id="527766638">
      <w:bodyDiv w:val="1"/>
      <w:marLeft w:val="0"/>
      <w:marRight w:val="0"/>
      <w:marTop w:val="0"/>
      <w:marBottom w:val="0"/>
      <w:divBdr>
        <w:top w:val="none" w:sz="0" w:space="0" w:color="auto"/>
        <w:left w:val="none" w:sz="0" w:space="0" w:color="auto"/>
        <w:bottom w:val="none" w:sz="0" w:space="0" w:color="auto"/>
        <w:right w:val="none" w:sz="0" w:space="0" w:color="auto"/>
      </w:divBdr>
    </w:div>
    <w:div w:id="535191511">
      <w:bodyDiv w:val="1"/>
      <w:marLeft w:val="0"/>
      <w:marRight w:val="0"/>
      <w:marTop w:val="0"/>
      <w:marBottom w:val="0"/>
      <w:divBdr>
        <w:top w:val="none" w:sz="0" w:space="0" w:color="auto"/>
        <w:left w:val="none" w:sz="0" w:space="0" w:color="auto"/>
        <w:bottom w:val="none" w:sz="0" w:space="0" w:color="auto"/>
        <w:right w:val="none" w:sz="0" w:space="0" w:color="auto"/>
      </w:divBdr>
    </w:div>
    <w:div w:id="543371918">
      <w:bodyDiv w:val="1"/>
      <w:marLeft w:val="0"/>
      <w:marRight w:val="0"/>
      <w:marTop w:val="0"/>
      <w:marBottom w:val="0"/>
      <w:divBdr>
        <w:top w:val="none" w:sz="0" w:space="0" w:color="auto"/>
        <w:left w:val="none" w:sz="0" w:space="0" w:color="auto"/>
        <w:bottom w:val="none" w:sz="0" w:space="0" w:color="auto"/>
        <w:right w:val="none" w:sz="0" w:space="0" w:color="auto"/>
      </w:divBdr>
      <w:divsChild>
        <w:div w:id="785395499">
          <w:marLeft w:val="0"/>
          <w:marRight w:val="0"/>
          <w:marTop w:val="0"/>
          <w:marBottom w:val="0"/>
          <w:divBdr>
            <w:top w:val="none" w:sz="0" w:space="0" w:color="auto"/>
            <w:left w:val="none" w:sz="0" w:space="0" w:color="auto"/>
            <w:bottom w:val="none" w:sz="0" w:space="0" w:color="auto"/>
            <w:right w:val="none" w:sz="0" w:space="0" w:color="auto"/>
          </w:divBdr>
          <w:divsChild>
            <w:div w:id="502932964">
              <w:marLeft w:val="0"/>
              <w:marRight w:val="0"/>
              <w:marTop w:val="0"/>
              <w:marBottom w:val="0"/>
              <w:divBdr>
                <w:top w:val="none" w:sz="0" w:space="0" w:color="auto"/>
                <w:left w:val="none" w:sz="0" w:space="0" w:color="auto"/>
                <w:bottom w:val="none" w:sz="0" w:space="0" w:color="auto"/>
                <w:right w:val="none" w:sz="0" w:space="0" w:color="auto"/>
              </w:divBdr>
              <w:divsChild>
                <w:div w:id="1906643423">
                  <w:marLeft w:val="0"/>
                  <w:marRight w:val="0"/>
                  <w:marTop w:val="0"/>
                  <w:marBottom w:val="0"/>
                  <w:divBdr>
                    <w:top w:val="none" w:sz="0" w:space="0" w:color="auto"/>
                    <w:left w:val="none" w:sz="0" w:space="0" w:color="auto"/>
                    <w:bottom w:val="none" w:sz="0" w:space="0" w:color="auto"/>
                    <w:right w:val="none" w:sz="0" w:space="0" w:color="auto"/>
                  </w:divBdr>
                  <w:divsChild>
                    <w:div w:id="5424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58271">
      <w:bodyDiv w:val="1"/>
      <w:marLeft w:val="0"/>
      <w:marRight w:val="0"/>
      <w:marTop w:val="0"/>
      <w:marBottom w:val="0"/>
      <w:divBdr>
        <w:top w:val="none" w:sz="0" w:space="0" w:color="auto"/>
        <w:left w:val="none" w:sz="0" w:space="0" w:color="auto"/>
        <w:bottom w:val="none" w:sz="0" w:space="0" w:color="auto"/>
        <w:right w:val="none" w:sz="0" w:space="0" w:color="auto"/>
      </w:divBdr>
    </w:div>
    <w:div w:id="572200099">
      <w:bodyDiv w:val="1"/>
      <w:marLeft w:val="0"/>
      <w:marRight w:val="0"/>
      <w:marTop w:val="0"/>
      <w:marBottom w:val="0"/>
      <w:divBdr>
        <w:top w:val="none" w:sz="0" w:space="0" w:color="auto"/>
        <w:left w:val="none" w:sz="0" w:space="0" w:color="auto"/>
        <w:bottom w:val="none" w:sz="0" w:space="0" w:color="auto"/>
        <w:right w:val="none" w:sz="0" w:space="0" w:color="auto"/>
      </w:divBdr>
    </w:div>
    <w:div w:id="606471333">
      <w:bodyDiv w:val="1"/>
      <w:marLeft w:val="0"/>
      <w:marRight w:val="0"/>
      <w:marTop w:val="0"/>
      <w:marBottom w:val="0"/>
      <w:divBdr>
        <w:top w:val="none" w:sz="0" w:space="0" w:color="auto"/>
        <w:left w:val="none" w:sz="0" w:space="0" w:color="auto"/>
        <w:bottom w:val="none" w:sz="0" w:space="0" w:color="auto"/>
        <w:right w:val="none" w:sz="0" w:space="0" w:color="auto"/>
      </w:divBdr>
    </w:div>
    <w:div w:id="608044543">
      <w:bodyDiv w:val="1"/>
      <w:marLeft w:val="0"/>
      <w:marRight w:val="0"/>
      <w:marTop w:val="0"/>
      <w:marBottom w:val="0"/>
      <w:divBdr>
        <w:top w:val="none" w:sz="0" w:space="0" w:color="auto"/>
        <w:left w:val="none" w:sz="0" w:space="0" w:color="auto"/>
        <w:bottom w:val="none" w:sz="0" w:space="0" w:color="auto"/>
        <w:right w:val="none" w:sz="0" w:space="0" w:color="auto"/>
      </w:divBdr>
    </w:div>
    <w:div w:id="618606654">
      <w:bodyDiv w:val="1"/>
      <w:marLeft w:val="0"/>
      <w:marRight w:val="0"/>
      <w:marTop w:val="0"/>
      <w:marBottom w:val="0"/>
      <w:divBdr>
        <w:top w:val="none" w:sz="0" w:space="0" w:color="auto"/>
        <w:left w:val="none" w:sz="0" w:space="0" w:color="auto"/>
        <w:bottom w:val="none" w:sz="0" w:space="0" w:color="auto"/>
        <w:right w:val="none" w:sz="0" w:space="0" w:color="auto"/>
      </w:divBdr>
    </w:div>
    <w:div w:id="618755799">
      <w:bodyDiv w:val="1"/>
      <w:marLeft w:val="0"/>
      <w:marRight w:val="0"/>
      <w:marTop w:val="0"/>
      <w:marBottom w:val="0"/>
      <w:divBdr>
        <w:top w:val="none" w:sz="0" w:space="0" w:color="auto"/>
        <w:left w:val="none" w:sz="0" w:space="0" w:color="auto"/>
        <w:bottom w:val="none" w:sz="0" w:space="0" w:color="auto"/>
        <w:right w:val="none" w:sz="0" w:space="0" w:color="auto"/>
      </w:divBdr>
    </w:div>
    <w:div w:id="620723816">
      <w:bodyDiv w:val="1"/>
      <w:marLeft w:val="0"/>
      <w:marRight w:val="0"/>
      <w:marTop w:val="0"/>
      <w:marBottom w:val="0"/>
      <w:divBdr>
        <w:top w:val="none" w:sz="0" w:space="0" w:color="auto"/>
        <w:left w:val="none" w:sz="0" w:space="0" w:color="auto"/>
        <w:bottom w:val="none" w:sz="0" w:space="0" w:color="auto"/>
        <w:right w:val="none" w:sz="0" w:space="0" w:color="auto"/>
      </w:divBdr>
    </w:div>
    <w:div w:id="630400968">
      <w:bodyDiv w:val="1"/>
      <w:marLeft w:val="0"/>
      <w:marRight w:val="0"/>
      <w:marTop w:val="0"/>
      <w:marBottom w:val="0"/>
      <w:divBdr>
        <w:top w:val="none" w:sz="0" w:space="0" w:color="auto"/>
        <w:left w:val="none" w:sz="0" w:space="0" w:color="auto"/>
        <w:bottom w:val="none" w:sz="0" w:space="0" w:color="auto"/>
        <w:right w:val="none" w:sz="0" w:space="0" w:color="auto"/>
      </w:divBdr>
    </w:div>
    <w:div w:id="649216763">
      <w:bodyDiv w:val="1"/>
      <w:marLeft w:val="0"/>
      <w:marRight w:val="0"/>
      <w:marTop w:val="0"/>
      <w:marBottom w:val="0"/>
      <w:divBdr>
        <w:top w:val="none" w:sz="0" w:space="0" w:color="auto"/>
        <w:left w:val="none" w:sz="0" w:space="0" w:color="auto"/>
        <w:bottom w:val="none" w:sz="0" w:space="0" w:color="auto"/>
        <w:right w:val="none" w:sz="0" w:space="0" w:color="auto"/>
      </w:divBdr>
    </w:div>
    <w:div w:id="656806369">
      <w:bodyDiv w:val="1"/>
      <w:marLeft w:val="0"/>
      <w:marRight w:val="0"/>
      <w:marTop w:val="0"/>
      <w:marBottom w:val="0"/>
      <w:divBdr>
        <w:top w:val="none" w:sz="0" w:space="0" w:color="auto"/>
        <w:left w:val="none" w:sz="0" w:space="0" w:color="auto"/>
        <w:bottom w:val="none" w:sz="0" w:space="0" w:color="auto"/>
        <w:right w:val="none" w:sz="0" w:space="0" w:color="auto"/>
      </w:divBdr>
    </w:div>
    <w:div w:id="657997314">
      <w:bodyDiv w:val="1"/>
      <w:marLeft w:val="0"/>
      <w:marRight w:val="0"/>
      <w:marTop w:val="0"/>
      <w:marBottom w:val="0"/>
      <w:divBdr>
        <w:top w:val="none" w:sz="0" w:space="0" w:color="auto"/>
        <w:left w:val="none" w:sz="0" w:space="0" w:color="auto"/>
        <w:bottom w:val="none" w:sz="0" w:space="0" w:color="auto"/>
        <w:right w:val="none" w:sz="0" w:space="0" w:color="auto"/>
      </w:divBdr>
    </w:div>
    <w:div w:id="663314073">
      <w:bodyDiv w:val="1"/>
      <w:marLeft w:val="0"/>
      <w:marRight w:val="0"/>
      <w:marTop w:val="0"/>
      <w:marBottom w:val="0"/>
      <w:divBdr>
        <w:top w:val="none" w:sz="0" w:space="0" w:color="auto"/>
        <w:left w:val="none" w:sz="0" w:space="0" w:color="auto"/>
        <w:bottom w:val="none" w:sz="0" w:space="0" w:color="auto"/>
        <w:right w:val="none" w:sz="0" w:space="0" w:color="auto"/>
      </w:divBdr>
    </w:div>
    <w:div w:id="664212286">
      <w:bodyDiv w:val="1"/>
      <w:marLeft w:val="0"/>
      <w:marRight w:val="0"/>
      <w:marTop w:val="0"/>
      <w:marBottom w:val="0"/>
      <w:divBdr>
        <w:top w:val="none" w:sz="0" w:space="0" w:color="auto"/>
        <w:left w:val="none" w:sz="0" w:space="0" w:color="auto"/>
        <w:bottom w:val="none" w:sz="0" w:space="0" w:color="auto"/>
        <w:right w:val="none" w:sz="0" w:space="0" w:color="auto"/>
      </w:divBdr>
    </w:div>
    <w:div w:id="665018528">
      <w:bodyDiv w:val="1"/>
      <w:marLeft w:val="0"/>
      <w:marRight w:val="0"/>
      <w:marTop w:val="0"/>
      <w:marBottom w:val="0"/>
      <w:divBdr>
        <w:top w:val="none" w:sz="0" w:space="0" w:color="auto"/>
        <w:left w:val="none" w:sz="0" w:space="0" w:color="auto"/>
        <w:bottom w:val="none" w:sz="0" w:space="0" w:color="auto"/>
        <w:right w:val="none" w:sz="0" w:space="0" w:color="auto"/>
      </w:divBdr>
    </w:div>
    <w:div w:id="677267133">
      <w:bodyDiv w:val="1"/>
      <w:marLeft w:val="0"/>
      <w:marRight w:val="0"/>
      <w:marTop w:val="0"/>
      <w:marBottom w:val="0"/>
      <w:divBdr>
        <w:top w:val="none" w:sz="0" w:space="0" w:color="auto"/>
        <w:left w:val="none" w:sz="0" w:space="0" w:color="auto"/>
        <w:bottom w:val="none" w:sz="0" w:space="0" w:color="auto"/>
        <w:right w:val="none" w:sz="0" w:space="0" w:color="auto"/>
      </w:divBdr>
    </w:div>
    <w:div w:id="679936209">
      <w:bodyDiv w:val="1"/>
      <w:marLeft w:val="0"/>
      <w:marRight w:val="0"/>
      <w:marTop w:val="0"/>
      <w:marBottom w:val="0"/>
      <w:divBdr>
        <w:top w:val="none" w:sz="0" w:space="0" w:color="auto"/>
        <w:left w:val="none" w:sz="0" w:space="0" w:color="auto"/>
        <w:bottom w:val="none" w:sz="0" w:space="0" w:color="auto"/>
        <w:right w:val="none" w:sz="0" w:space="0" w:color="auto"/>
      </w:divBdr>
    </w:div>
    <w:div w:id="680162731">
      <w:bodyDiv w:val="1"/>
      <w:marLeft w:val="0"/>
      <w:marRight w:val="0"/>
      <w:marTop w:val="0"/>
      <w:marBottom w:val="0"/>
      <w:divBdr>
        <w:top w:val="none" w:sz="0" w:space="0" w:color="auto"/>
        <w:left w:val="none" w:sz="0" w:space="0" w:color="auto"/>
        <w:bottom w:val="none" w:sz="0" w:space="0" w:color="auto"/>
        <w:right w:val="none" w:sz="0" w:space="0" w:color="auto"/>
      </w:divBdr>
    </w:div>
    <w:div w:id="686836802">
      <w:bodyDiv w:val="1"/>
      <w:marLeft w:val="0"/>
      <w:marRight w:val="0"/>
      <w:marTop w:val="0"/>
      <w:marBottom w:val="0"/>
      <w:divBdr>
        <w:top w:val="none" w:sz="0" w:space="0" w:color="auto"/>
        <w:left w:val="none" w:sz="0" w:space="0" w:color="auto"/>
        <w:bottom w:val="none" w:sz="0" w:space="0" w:color="auto"/>
        <w:right w:val="none" w:sz="0" w:space="0" w:color="auto"/>
      </w:divBdr>
    </w:div>
    <w:div w:id="687369596">
      <w:bodyDiv w:val="1"/>
      <w:marLeft w:val="0"/>
      <w:marRight w:val="0"/>
      <w:marTop w:val="0"/>
      <w:marBottom w:val="0"/>
      <w:divBdr>
        <w:top w:val="none" w:sz="0" w:space="0" w:color="auto"/>
        <w:left w:val="none" w:sz="0" w:space="0" w:color="auto"/>
        <w:bottom w:val="none" w:sz="0" w:space="0" w:color="auto"/>
        <w:right w:val="none" w:sz="0" w:space="0" w:color="auto"/>
      </w:divBdr>
    </w:div>
    <w:div w:id="688290971">
      <w:bodyDiv w:val="1"/>
      <w:marLeft w:val="0"/>
      <w:marRight w:val="0"/>
      <w:marTop w:val="0"/>
      <w:marBottom w:val="0"/>
      <w:divBdr>
        <w:top w:val="none" w:sz="0" w:space="0" w:color="auto"/>
        <w:left w:val="none" w:sz="0" w:space="0" w:color="auto"/>
        <w:bottom w:val="none" w:sz="0" w:space="0" w:color="auto"/>
        <w:right w:val="none" w:sz="0" w:space="0" w:color="auto"/>
      </w:divBdr>
    </w:div>
    <w:div w:id="697580672">
      <w:bodyDiv w:val="1"/>
      <w:marLeft w:val="0"/>
      <w:marRight w:val="0"/>
      <w:marTop w:val="0"/>
      <w:marBottom w:val="0"/>
      <w:divBdr>
        <w:top w:val="none" w:sz="0" w:space="0" w:color="auto"/>
        <w:left w:val="none" w:sz="0" w:space="0" w:color="auto"/>
        <w:bottom w:val="none" w:sz="0" w:space="0" w:color="auto"/>
        <w:right w:val="none" w:sz="0" w:space="0" w:color="auto"/>
      </w:divBdr>
    </w:div>
    <w:div w:id="704134409">
      <w:bodyDiv w:val="1"/>
      <w:marLeft w:val="0"/>
      <w:marRight w:val="0"/>
      <w:marTop w:val="0"/>
      <w:marBottom w:val="0"/>
      <w:divBdr>
        <w:top w:val="none" w:sz="0" w:space="0" w:color="auto"/>
        <w:left w:val="none" w:sz="0" w:space="0" w:color="auto"/>
        <w:bottom w:val="none" w:sz="0" w:space="0" w:color="auto"/>
        <w:right w:val="none" w:sz="0" w:space="0" w:color="auto"/>
      </w:divBdr>
    </w:div>
    <w:div w:id="728772329">
      <w:bodyDiv w:val="1"/>
      <w:marLeft w:val="0"/>
      <w:marRight w:val="0"/>
      <w:marTop w:val="0"/>
      <w:marBottom w:val="0"/>
      <w:divBdr>
        <w:top w:val="none" w:sz="0" w:space="0" w:color="auto"/>
        <w:left w:val="none" w:sz="0" w:space="0" w:color="auto"/>
        <w:bottom w:val="none" w:sz="0" w:space="0" w:color="auto"/>
        <w:right w:val="none" w:sz="0" w:space="0" w:color="auto"/>
      </w:divBdr>
    </w:div>
    <w:div w:id="756444600">
      <w:bodyDiv w:val="1"/>
      <w:marLeft w:val="0"/>
      <w:marRight w:val="0"/>
      <w:marTop w:val="0"/>
      <w:marBottom w:val="0"/>
      <w:divBdr>
        <w:top w:val="none" w:sz="0" w:space="0" w:color="auto"/>
        <w:left w:val="none" w:sz="0" w:space="0" w:color="auto"/>
        <w:bottom w:val="none" w:sz="0" w:space="0" w:color="auto"/>
        <w:right w:val="none" w:sz="0" w:space="0" w:color="auto"/>
      </w:divBdr>
    </w:div>
    <w:div w:id="772358527">
      <w:bodyDiv w:val="1"/>
      <w:marLeft w:val="0"/>
      <w:marRight w:val="0"/>
      <w:marTop w:val="0"/>
      <w:marBottom w:val="0"/>
      <w:divBdr>
        <w:top w:val="none" w:sz="0" w:space="0" w:color="auto"/>
        <w:left w:val="none" w:sz="0" w:space="0" w:color="auto"/>
        <w:bottom w:val="none" w:sz="0" w:space="0" w:color="auto"/>
        <w:right w:val="none" w:sz="0" w:space="0" w:color="auto"/>
      </w:divBdr>
    </w:div>
    <w:div w:id="775177054">
      <w:bodyDiv w:val="1"/>
      <w:marLeft w:val="0"/>
      <w:marRight w:val="0"/>
      <w:marTop w:val="0"/>
      <w:marBottom w:val="0"/>
      <w:divBdr>
        <w:top w:val="none" w:sz="0" w:space="0" w:color="auto"/>
        <w:left w:val="none" w:sz="0" w:space="0" w:color="auto"/>
        <w:bottom w:val="none" w:sz="0" w:space="0" w:color="auto"/>
        <w:right w:val="none" w:sz="0" w:space="0" w:color="auto"/>
      </w:divBdr>
    </w:div>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6117">
      <w:bodyDiv w:val="1"/>
      <w:marLeft w:val="0"/>
      <w:marRight w:val="0"/>
      <w:marTop w:val="0"/>
      <w:marBottom w:val="0"/>
      <w:divBdr>
        <w:top w:val="none" w:sz="0" w:space="0" w:color="auto"/>
        <w:left w:val="none" w:sz="0" w:space="0" w:color="auto"/>
        <w:bottom w:val="none" w:sz="0" w:space="0" w:color="auto"/>
        <w:right w:val="none" w:sz="0" w:space="0" w:color="auto"/>
      </w:divBdr>
    </w:div>
    <w:div w:id="809136290">
      <w:bodyDiv w:val="1"/>
      <w:marLeft w:val="0"/>
      <w:marRight w:val="0"/>
      <w:marTop w:val="0"/>
      <w:marBottom w:val="0"/>
      <w:divBdr>
        <w:top w:val="none" w:sz="0" w:space="0" w:color="auto"/>
        <w:left w:val="none" w:sz="0" w:space="0" w:color="auto"/>
        <w:bottom w:val="none" w:sz="0" w:space="0" w:color="auto"/>
        <w:right w:val="none" w:sz="0" w:space="0" w:color="auto"/>
      </w:divBdr>
    </w:div>
    <w:div w:id="825514701">
      <w:bodyDiv w:val="1"/>
      <w:marLeft w:val="0"/>
      <w:marRight w:val="0"/>
      <w:marTop w:val="0"/>
      <w:marBottom w:val="0"/>
      <w:divBdr>
        <w:top w:val="none" w:sz="0" w:space="0" w:color="auto"/>
        <w:left w:val="none" w:sz="0" w:space="0" w:color="auto"/>
        <w:bottom w:val="none" w:sz="0" w:space="0" w:color="auto"/>
        <w:right w:val="none" w:sz="0" w:space="0" w:color="auto"/>
      </w:divBdr>
    </w:div>
    <w:div w:id="828524765">
      <w:bodyDiv w:val="1"/>
      <w:marLeft w:val="0"/>
      <w:marRight w:val="0"/>
      <w:marTop w:val="0"/>
      <w:marBottom w:val="0"/>
      <w:divBdr>
        <w:top w:val="none" w:sz="0" w:space="0" w:color="auto"/>
        <w:left w:val="none" w:sz="0" w:space="0" w:color="auto"/>
        <w:bottom w:val="none" w:sz="0" w:space="0" w:color="auto"/>
        <w:right w:val="none" w:sz="0" w:space="0" w:color="auto"/>
      </w:divBdr>
    </w:div>
    <w:div w:id="833302173">
      <w:bodyDiv w:val="1"/>
      <w:marLeft w:val="0"/>
      <w:marRight w:val="0"/>
      <w:marTop w:val="0"/>
      <w:marBottom w:val="0"/>
      <w:divBdr>
        <w:top w:val="none" w:sz="0" w:space="0" w:color="auto"/>
        <w:left w:val="none" w:sz="0" w:space="0" w:color="auto"/>
        <w:bottom w:val="none" w:sz="0" w:space="0" w:color="auto"/>
        <w:right w:val="none" w:sz="0" w:space="0" w:color="auto"/>
      </w:divBdr>
    </w:div>
    <w:div w:id="836262183">
      <w:bodyDiv w:val="1"/>
      <w:marLeft w:val="0"/>
      <w:marRight w:val="0"/>
      <w:marTop w:val="0"/>
      <w:marBottom w:val="0"/>
      <w:divBdr>
        <w:top w:val="none" w:sz="0" w:space="0" w:color="auto"/>
        <w:left w:val="none" w:sz="0" w:space="0" w:color="auto"/>
        <w:bottom w:val="none" w:sz="0" w:space="0" w:color="auto"/>
        <w:right w:val="none" w:sz="0" w:space="0" w:color="auto"/>
      </w:divBdr>
    </w:div>
    <w:div w:id="853879254">
      <w:bodyDiv w:val="1"/>
      <w:marLeft w:val="0"/>
      <w:marRight w:val="0"/>
      <w:marTop w:val="0"/>
      <w:marBottom w:val="0"/>
      <w:divBdr>
        <w:top w:val="none" w:sz="0" w:space="0" w:color="auto"/>
        <w:left w:val="none" w:sz="0" w:space="0" w:color="auto"/>
        <w:bottom w:val="none" w:sz="0" w:space="0" w:color="auto"/>
        <w:right w:val="none" w:sz="0" w:space="0" w:color="auto"/>
      </w:divBdr>
    </w:div>
    <w:div w:id="858007963">
      <w:bodyDiv w:val="1"/>
      <w:marLeft w:val="0"/>
      <w:marRight w:val="0"/>
      <w:marTop w:val="0"/>
      <w:marBottom w:val="0"/>
      <w:divBdr>
        <w:top w:val="none" w:sz="0" w:space="0" w:color="auto"/>
        <w:left w:val="none" w:sz="0" w:space="0" w:color="auto"/>
        <w:bottom w:val="none" w:sz="0" w:space="0" w:color="auto"/>
        <w:right w:val="none" w:sz="0" w:space="0" w:color="auto"/>
      </w:divBdr>
    </w:div>
    <w:div w:id="863598044">
      <w:bodyDiv w:val="1"/>
      <w:marLeft w:val="0"/>
      <w:marRight w:val="0"/>
      <w:marTop w:val="0"/>
      <w:marBottom w:val="0"/>
      <w:divBdr>
        <w:top w:val="none" w:sz="0" w:space="0" w:color="auto"/>
        <w:left w:val="none" w:sz="0" w:space="0" w:color="auto"/>
        <w:bottom w:val="none" w:sz="0" w:space="0" w:color="auto"/>
        <w:right w:val="none" w:sz="0" w:space="0" w:color="auto"/>
      </w:divBdr>
    </w:div>
    <w:div w:id="870146551">
      <w:bodyDiv w:val="1"/>
      <w:marLeft w:val="0"/>
      <w:marRight w:val="0"/>
      <w:marTop w:val="0"/>
      <w:marBottom w:val="0"/>
      <w:divBdr>
        <w:top w:val="none" w:sz="0" w:space="0" w:color="auto"/>
        <w:left w:val="none" w:sz="0" w:space="0" w:color="auto"/>
        <w:bottom w:val="none" w:sz="0" w:space="0" w:color="auto"/>
        <w:right w:val="none" w:sz="0" w:space="0" w:color="auto"/>
      </w:divBdr>
    </w:div>
    <w:div w:id="870462502">
      <w:bodyDiv w:val="1"/>
      <w:marLeft w:val="0"/>
      <w:marRight w:val="0"/>
      <w:marTop w:val="0"/>
      <w:marBottom w:val="0"/>
      <w:divBdr>
        <w:top w:val="none" w:sz="0" w:space="0" w:color="auto"/>
        <w:left w:val="none" w:sz="0" w:space="0" w:color="auto"/>
        <w:bottom w:val="none" w:sz="0" w:space="0" w:color="auto"/>
        <w:right w:val="none" w:sz="0" w:space="0" w:color="auto"/>
      </w:divBdr>
    </w:div>
    <w:div w:id="871264792">
      <w:bodyDiv w:val="1"/>
      <w:marLeft w:val="0"/>
      <w:marRight w:val="0"/>
      <w:marTop w:val="0"/>
      <w:marBottom w:val="0"/>
      <w:divBdr>
        <w:top w:val="none" w:sz="0" w:space="0" w:color="auto"/>
        <w:left w:val="none" w:sz="0" w:space="0" w:color="auto"/>
        <w:bottom w:val="none" w:sz="0" w:space="0" w:color="auto"/>
        <w:right w:val="none" w:sz="0" w:space="0" w:color="auto"/>
      </w:divBdr>
    </w:div>
    <w:div w:id="879127346">
      <w:bodyDiv w:val="1"/>
      <w:marLeft w:val="0"/>
      <w:marRight w:val="0"/>
      <w:marTop w:val="0"/>
      <w:marBottom w:val="0"/>
      <w:divBdr>
        <w:top w:val="none" w:sz="0" w:space="0" w:color="auto"/>
        <w:left w:val="none" w:sz="0" w:space="0" w:color="auto"/>
        <w:bottom w:val="none" w:sz="0" w:space="0" w:color="auto"/>
        <w:right w:val="none" w:sz="0" w:space="0" w:color="auto"/>
      </w:divBdr>
      <w:divsChild>
        <w:div w:id="664088597">
          <w:marLeft w:val="0"/>
          <w:marRight w:val="0"/>
          <w:marTop w:val="0"/>
          <w:marBottom w:val="0"/>
          <w:divBdr>
            <w:top w:val="none" w:sz="0" w:space="0" w:color="auto"/>
            <w:left w:val="none" w:sz="0" w:space="0" w:color="auto"/>
            <w:bottom w:val="none" w:sz="0" w:space="0" w:color="auto"/>
            <w:right w:val="none" w:sz="0" w:space="0" w:color="auto"/>
          </w:divBdr>
          <w:divsChild>
            <w:div w:id="2050759966">
              <w:marLeft w:val="0"/>
              <w:marRight w:val="0"/>
              <w:marTop w:val="0"/>
              <w:marBottom w:val="0"/>
              <w:divBdr>
                <w:top w:val="none" w:sz="0" w:space="0" w:color="auto"/>
                <w:left w:val="none" w:sz="0" w:space="0" w:color="auto"/>
                <w:bottom w:val="none" w:sz="0" w:space="0" w:color="auto"/>
                <w:right w:val="none" w:sz="0" w:space="0" w:color="auto"/>
              </w:divBdr>
              <w:divsChild>
                <w:div w:id="1985770354">
                  <w:marLeft w:val="0"/>
                  <w:marRight w:val="0"/>
                  <w:marTop w:val="0"/>
                  <w:marBottom w:val="0"/>
                  <w:divBdr>
                    <w:top w:val="none" w:sz="0" w:space="0" w:color="auto"/>
                    <w:left w:val="none" w:sz="0" w:space="0" w:color="auto"/>
                    <w:bottom w:val="none" w:sz="0" w:space="0" w:color="auto"/>
                    <w:right w:val="none" w:sz="0" w:space="0" w:color="auto"/>
                  </w:divBdr>
                  <w:divsChild>
                    <w:div w:id="19438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36950">
      <w:bodyDiv w:val="1"/>
      <w:marLeft w:val="0"/>
      <w:marRight w:val="0"/>
      <w:marTop w:val="0"/>
      <w:marBottom w:val="0"/>
      <w:divBdr>
        <w:top w:val="none" w:sz="0" w:space="0" w:color="auto"/>
        <w:left w:val="none" w:sz="0" w:space="0" w:color="auto"/>
        <w:bottom w:val="none" w:sz="0" w:space="0" w:color="auto"/>
        <w:right w:val="none" w:sz="0" w:space="0" w:color="auto"/>
      </w:divBdr>
    </w:div>
    <w:div w:id="882332646">
      <w:bodyDiv w:val="1"/>
      <w:marLeft w:val="0"/>
      <w:marRight w:val="0"/>
      <w:marTop w:val="0"/>
      <w:marBottom w:val="0"/>
      <w:divBdr>
        <w:top w:val="none" w:sz="0" w:space="0" w:color="auto"/>
        <w:left w:val="none" w:sz="0" w:space="0" w:color="auto"/>
        <w:bottom w:val="none" w:sz="0" w:space="0" w:color="auto"/>
        <w:right w:val="none" w:sz="0" w:space="0" w:color="auto"/>
      </w:divBdr>
    </w:div>
    <w:div w:id="884947963">
      <w:bodyDiv w:val="1"/>
      <w:marLeft w:val="0"/>
      <w:marRight w:val="0"/>
      <w:marTop w:val="0"/>
      <w:marBottom w:val="0"/>
      <w:divBdr>
        <w:top w:val="none" w:sz="0" w:space="0" w:color="auto"/>
        <w:left w:val="none" w:sz="0" w:space="0" w:color="auto"/>
        <w:bottom w:val="none" w:sz="0" w:space="0" w:color="auto"/>
        <w:right w:val="none" w:sz="0" w:space="0" w:color="auto"/>
      </w:divBdr>
    </w:div>
    <w:div w:id="887423886">
      <w:bodyDiv w:val="1"/>
      <w:marLeft w:val="0"/>
      <w:marRight w:val="0"/>
      <w:marTop w:val="0"/>
      <w:marBottom w:val="0"/>
      <w:divBdr>
        <w:top w:val="none" w:sz="0" w:space="0" w:color="auto"/>
        <w:left w:val="none" w:sz="0" w:space="0" w:color="auto"/>
        <w:bottom w:val="none" w:sz="0" w:space="0" w:color="auto"/>
        <w:right w:val="none" w:sz="0" w:space="0" w:color="auto"/>
      </w:divBdr>
    </w:div>
    <w:div w:id="913199180">
      <w:bodyDiv w:val="1"/>
      <w:marLeft w:val="0"/>
      <w:marRight w:val="0"/>
      <w:marTop w:val="0"/>
      <w:marBottom w:val="0"/>
      <w:divBdr>
        <w:top w:val="none" w:sz="0" w:space="0" w:color="auto"/>
        <w:left w:val="none" w:sz="0" w:space="0" w:color="auto"/>
        <w:bottom w:val="none" w:sz="0" w:space="0" w:color="auto"/>
        <w:right w:val="none" w:sz="0" w:space="0" w:color="auto"/>
      </w:divBdr>
    </w:div>
    <w:div w:id="919144008">
      <w:bodyDiv w:val="1"/>
      <w:marLeft w:val="0"/>
      <w:marRight w:val="0"/>
      <w:marTop w:val="0"/>
      <w:marBottom w:val="0"/>
      <w:divBdr>
        <w:top w:val="none" w:sz="0" w:space="0" w:color="auto"/>
        <w:left w:val="none" w:sz="0" w:space="0" w:color="auto"/>
        <w:bottom w:val="none" w:sz="0" w:space="0" w:color="auto"/>
        <w:right w:val="none" w:sz="0" w:space="0" w:color="auto"/>
      </w:divBdr>
    </w:div>
    <w:div w:id="926112796">
      <w:bodyDiv w:val="1"/>
      <w:marLeft w:val="0"/>
      <w:marRight w:val="0"/>
      <w:marTop w:val="0"/>
      <w:marBottom w:val="0"/>
      <w:divBdr>
        <w:top w:val="none" w:sz="0" w:space="0" w:color="auto"/>
        <w:left w:val="none" w:sz="0" w:space="0" w:color="auto"/>
        <w:bottom w:val="none" w:sz="0" w:space="0" w:color="auto"/>
        <w:right w:val="none" w:sz="0" w:space="0" w:color="auto"/>
      </w:divBdr>
    </w:div>
    <w:div w:id="929117287">
      <w:bodyDiv w:val="1"/>
      <w:marLeft w:val="0"/>
      <w:marRight w:val="0"/>
      <w:marTop w:val="0"/>
      <w:marBottom w:val="0"/>
      <w:divBdr>
        <w:top w:val="none" w:sz="0" w:space="0" w:color="auto"/>
        <w:left w:val="none" w:sz="0" w:space="0" w:color="auto"/>
        <w:bottom w:val="none" w:sz="0" w:space="0" w:color="auto"/>
        <w:right w:val="none" w:sz="0" w:space="0" w:color="auto"/>
      </w:divBdr>
    </w:div>
    <w:div w:id="930965978">
      <w:bodyDiv w:val="1"/>
      <w:marLeft w:val="0"/>
      <w:marRight w:val="0"/>
      <w:marTop w:val="0"/>
      <w:marBottom w:val="0"/>
      <w:divBdr>
        <w:top w:val="none" w:sz="0" w:space="0" w:color="auto"/>
        <w:left w:val="none" w:sz="0" w:space="0" w:color="auto"/>
        <w:bottom w:val="none" w:sz="0" w:space="0" w:color="auto"/>
        <w:right w:val="none" w:sz="0" w:space="0" w:color="auto"/>
      </w:divBdr>
    </w:div>
    <w:div w:id="938176807">
      <w:bodyDiv w:val="1"/>
      <w:marLeft w:val="0"/>
      <w:marRight w:val="0"/>
      <w:marTop w:val="0"/>
      <w:marBottom w:val="0"/>
      <w:divBdr>
        <w:top w:val="none" w:sz="0" w:space="0" w:color="auto"/>
        <w:left w:val="none" w:sz="0" w:space="0" w:color="auto"/>
        <w:bottom w:val="none" w:sz="0" w:space="0" w:color="auto"/>
        <w:right w:val="none" w:sz="0" w:space="0" w:color="auto"/>
      </w:divBdr>
    </w:div>
    <w:div w:id="965550911">
      <w:bodyDiv w:val="1"/>
      <w:marLeft w:val="0"/>
      <w:marRight w:val="0"/>
      <w:marTop w:val="0"/>
      <w:marBottom w:val="0"/>
      <w:divBdr>
        <w:top w:val="none" w:sz="0" w:space="0" w:color="auto"/>
        <w:left w:val="none" w:sz="0" w:space="0" w:color="auto"/>
        <w:bottom w:val="none" w:sz="0" w:space="0" w:color="auto"/>
        <w:right w:val="none" w:sz="0" w:space="0" w:color="auto"/>
      </w:divBdr>
    </w:div>
    <w:div w:id="970014358">
      <w:bodyDiv w:val="1"/>
      <w:marLeft w:val="0"/>
      <w:marRight w:val="0"/>
      <w:marTop w:val="0"/>
      <w:marBottom w:val="0"/>
      <w:divBdr>
        <w:top w:val="none" w:sz="0" w:space="0" w:color="auto"/>
        <w:left w:val="none" w:sz="0" w:space="0" w:color="auto"/>
        <w:bottom w:val="none" w:sz="0" w:space="0" w:color="auto"/>
        <w:right w:val="none" w:sz="0" w:space="0" w:color="auto"/>
      </w:divBdr>
    </w:div>
    <w:div w:id="994457279">
      <w:bodyDiv w:val="1"/>
      <w:marLeft w:val="0"/>
      <w:marRight w:val="0"/>
      <w:marTop w:val="0"/>
      <w:marBottom w:val="0"/>
      <w:divBdr>
        <w:top w:val="none" w:sz="0" w:space="0" w:color="auto"/>
        <w:left w:val="none" w:sz="0" w:space="0" w:color="auto"/>
        <w:bottom w:val="none" w:sz="0" w:space="0" w:color="auto"/>
        <w:right w:val="none" w:sz="0" w:space="0" w:color="auto"/>
      </w:divBdr>
    </w:div>
    <w:div w:id="1002200440">
      <w:bodyDiv w:val="1"/>
      <w:marLeft w:val="0"/>
      <w:marRight w:val="0"/>
      <w:marTop w:val="0"/>
      <w:marBottom w:val="0"/>
      <w:divBdr>
        <w:top w:val="none" w:sz="0" w:space="0" w:color="auto"/>
        <w:left w:val="none" w:sz="0" w:space="0" w:color="auto"/>
        <w:bottom w:val="none" w:sz="0" w:space="0" w:color="auto"/>
        <w:right w:val="none" w:sz="0" w:space="0" w:color="auto"/>
      </w:divBdr>
    </w:div>
    <w:div w:id="1007173051">
      <w:bodyDiv w:val="1"/>
      <w:marLeft w:val="0"/>
      <w:marRight w:val="0"/>
      <w:marTop w:val="0"/>
      <w:marBottom w:val="0"/>
      <w:divBdr>
        <w:top w:val="none" w:sz="0" w:space="0" w:color="auto"/>
        <w:left w:val="none" w:sz="0" w:space="0" w:color="auto"/>
        <w:bottom w:val="none" w:sz="0" w:space="0" w:color="auto"/>
        <w:right w:val="none" w:sz="0" w:space="0" w:color="auto"/>
      </w:divBdr>
    </w:div>
    <w:div w:id="1026441143">
      <w:bodyDiv w:val="1"/>
      <w:marLeft w:val="0"/>
      <w:marRight w:val="0"/>
      <w:marTop w:val="0"/>
      <w:marBottom w:val="0"/>
      <w:divBdr>
        <w:top w:val="none" w:sz="0" w:space="0" w:color="auto"/>
        <w:left w:val="none" w:sz="0" w:space="0" w:color="auto"/>
        <w:bottom w:val="none" w:sz="0" w:space="0" w:color="auto"/>
        <w:right w:val="none" w:sz="0" w:space="0" w:color="auto"/>
      </w:divBdr>
    </w:div>
    <w:div w:id="1035885189">
      <w:bodyDiv w:val="1"/>
      <w:marLeft w:val="0"/>
      <w:marRight w:val="0"/>
      <w:marTop w:val="0"/>
      <w:marBottom w:val="0"/>
      <w:divBdr>
        <w:top w:val="none" w:sz="0" w:space="0" w:color="auto"/>
        <w:left w:val="none" w:sz="0" w:space="0" w:color="auto"/>
        <w:bottom w:val="none" w:sz="0" w:space="0" w:color="auto"/>
        <w:right w:val="none" w:sz="0" w:space="0" w:color="auto"/>
      </w:divBdr>
    </w:div>
    <w:div w:id="1036588142">
      <w:bodyDiv w:val="1"/>
      <w:marLeft w:val="0"/>
      <w:marRight w:val="0"/>
      <w:marTop w:val="0"/>
      <w:marBottom w:val="0"/>
      <w:divBdr>
        <w:top w:val="none" w:sz="0" w:space="0" w:color="auto"/>
        <w:left w:val="none" w:sz="0" w:space="0" w:color="auto"/>
        <w:bottom w:val="none" w:sz="0" w:space="0" w:color="auto"/>
        <w:right w:val="none" w:sz="0" w:space="0" w:color="auto"/>
      </w:divBdr>
    </w:div>
    <w:div w:id="1039861769">
      <w:bodyDiv w:val="1"/>
      <w:marLeft w:val="0"/>
      <w:marRight w:val="0"/>
      <w:marTop w:val="0"/>
      <w:marBottom w:val="0"/>
      <w:divBdr>
        <w:top w:val="none" w:sz="0" w:space="0" w:color="auto"/>
        <w:left w:val="none" w:sz="0" w:space="0" w:color="auto"/>
        <w:bottom w:val="none" w:sz="0" w:space="0" w:color="auto"/>
        <w:right w:val="none" w:sz="0" w:space="0" w:color="auto"/>
      </w:divBdr>
    </w:div>
    <w:div w:id="1046178930">
      <w:bodyDiv w:val="1"/>
      <w:marLeft w:val="0"/>
      <w:marRight w:val="0"/>
      <w:marTop w:val="0"/>
      <w:marBottom w:val="0"/>
      <w:divBdr>
        <w:top w:val="none" w:sz="0" w:space="0" w:color="auto"/>
        <w:left w:val="none" w:sz="0" w:space="0" w:color="auto"/>
        <w:bottom w:val="none" w:sz="0" w:space="0" w:color="auto"/>
        <w:right w:val="none" w:sz="0" w:space="0" w:color="auto"/>
      </w:divBdr>
    </w:div>
    <w:div w:id="1054233110">
      <w:bodyDiv w:val="1"/>
      <w:marLeft w:val="0"/>
      <w:marRight w:val="0"/>
      <w:marTop w:val="0"/>
      <w:marBottom w:val="0"/>
      <w:divBdr>
        <w:top w:val="none" w:sz="0" w:space="0" w:color="auto"/>
        <w:left w:val="none" w:sz="0" w:space="0" w:color="auto"/>
        <w:bottom w:val="none" w:sz="0" w:space="0" w:color="auto"/>
        <w:right w:val="none" w:sz="0" w:space="0" w:color="auto"/>
      </w:divBdr>
    </w:div>
    <w:div w:id="1055618988">
      <w:bodyDiv w:val="1"/>
      <w:marLeft w:val="0"/>
      <w:marRight w:val="0"/>
      <w:marTop w:val="0"/>
      <w:marBottom w:val="0"/>
      <w:divBdr>
        <w:top w:val="none" w:sz="0" w:space="0" w:color="auto"/>
        <w:left w:val="none" w:sz="0" w:space="0" w:color="auto"/>
        <w:bottom w:val="none" w:sz="0" w:space="0" w:color="auto"/>
        <w:right w:val="none" w:sz="0" w:space="0" w:color="auto"/>
      </w:divBdr>
    </w:div>
    <w:div w:id="1058750833">
      <w:bodyDiv w:val="1"/>
      <w:marLeft w:val="0"/>
      <w:marRight w:val="0"/>
      <w:marTop w:val="0"/>
      <w:marBottom w:val="0"/>
      <w:divBdr>
        <w:top w:val="none" w:sz="0" w:space="0" w:color="auto"/>
        <w:left w:val="none" w:sz="0" w:space="0" w:color="auto"/>
        <w:bottom w:val="none" w:sz="0" w:space="0" w:color="auto"/>
        <w:right w:val="none" w:sz="0" w:space="0" w:color="auto"/>
      </w:divBdr>
    </w:div>
    <w:div w:id="1065567681">
      <w:bodyDiv w:val="1"/>
      <w:marLeft w:val="0"/>
      <w:marRight w:val="0"/>
      <w:marTop w:val="0"/>
      <w:marBottom w:val="0"/>
      <w:divBdr>
        <w:top w:val="none" w:sz="0" w:space="0" w:color="auto"/>
        <w:left w:val="none" w:sz="0" w:space="0" w:color="auto"/>
        <w:bottom w:val="none" w:sz="0" w:space="0" w:color="auto"/>
        <w:right w:val="none" w:sz="0" w:space="0" w:color="auto"/>
      </w:divBdr>
    </w:div>
    <w:div w:id="1069353061">
      <w:bodyDiv w:val="1"/>
      <w:marLeft w:val="0"/>
      <w:marRight w:val="0"/>
      <w:marTop w:val="0"/>
      <w:marBottom w:val="0"/>
      <w:divBdr>
        <w:top w:val="none" w:sz="0" w:space="0" w:color="auto"/>
        <w:left w:val="none" w:sz="0" w:space="0" w:color="auto"/>
        <w:bottom w:val="none" w:sz="0" w:space="0" w:color="auto"/>
        <w:right w:val="none" w:sz="0" w:space="0" w:color="auto"/>
      </w:divBdr>
    </w:div>
    <w:div w:id="1076823701">
      <w:bodyDiv w:val="1"/>
      <w:marLeft w:val="0"/>
      <w:marRight w:val="0"/>
      <w:marTop w:val="0"/>
      <w:marBottom w:val="0"/>
      <w:divBdr>
        <w:top w:val="none" w:sz="0" w:space="0" w:color="auto"/>
        <w:left w:val="none" w:sz="0" w:space="0" w:color="auto"/>
        <w:bottom w:val="none" w:sz="0" w:space="0" w:color="auto"/>
        <w:right w:val="none" w:sz="0" w:space="0" w:color="auto"/>
      </w:divBdr>
    </w:div>
    <w:div w:id="1077246502">
      <w:bodyDiv w:val="1"/>
      <w:marLeft w:val="0"/>
      <w:marRight w:val="0"/>
      <w:marTop w:val="0"/>
      <w:marBottom w:val="0"/>
      <w:divBdr>
        <w:top w:val="none" w:sz="0" w:space="0" w:color="auto"/>
        <w:left w:val="none" w:sz="0" w:space="0" w:color="auto"/>
        <w:bottom w:val="none" w:sz="0" w:space="0" w:color="auto"/>
        <w:right w:val="none" w:sz="0" w:space="0" w:color="auto"/>
      </w:divBdr>
    </w:div>
    <w:div w:id="1077937806">
      <w:bodyDiv w:val="1"/>
      <w:marLeft w:val="0"/>
      <w:marRight w:val="0"/>
      <w:marTop w:val="0"/>
      <w:marBottom w:val="0"/>
      <w:divBdr>
        <w:top w:val="none" w:sz="0" w:space="0" w:color="auto"/>
        <w:left w:val="none" w:sz="0" w:space="0" w:color="auto"/>
        <w:bottom w:val="none" w:sz="0" w:space="0" w:color="auto"/>
        <w:right w:val="none" w:sz="0" w:space="0" w:color="auto"/>
      </w:divBdr>
    </w:div>
    <w:div w:id="1099058703">
      <w:bodyDiv w:val="1"/>
      <w:marLeft w:val="0"/>
      <w:marRight w:val="0"/>
      <w:marTop w:val="0"/>
      <w:marBottom w:val="0"/>
      <w:divBdr>
        <w:top w:val="none" w:sz="0" w:space="0" w:color="auto"/>
        <w:left w:val="none" w:sz="0" w:space="0" w:color="auto"/>
        <w:bottom w:val="none" w:sz="0" w:space="0" w:color="auto"/>
        <w:right w:val="none" w:sz="0" w:space="0" w:color="auto"/>
      </w:divBdr>
    </w:div>
    <w:div w:id="1101871909">
      <w:bodyDiv w:val="1"/>
      <w:marLeft w:val="0"/>
      <w:marRight w:val="0"/>
      <w:marTop w:val="0"/>
      <w:marBottom w:val="0"/>
      <w:divBdr>
        <w:top w:val="none" w:sz="0" w:space="0" w:color="auto"/>
        <w:left w:val="none" w:sz="0" w:space="0" w:color="auto"/>
        <w:bottom w:val="none" w:sz="0" w:space="0" w:color="auto"/>
        <w:right w:val="none" w:sz="0" w:space="0" w:color="auto"/>
      </w:divBdr>
    </w:div>
    <w:div w:id="1103573638">
      <w:bodyDiv w:val="1"/>
      <w:marLeft w:val="0"/>
      <w:marRight w:val="0"/>
      <w:marTop w:val="0"/>
      <w:marBottom w:val="0"/>
      <w:divBdr>
        <w:top w:val="none" w:sz="0" w:space="0" w:color="auto"/>
        <w:left w:val="none" w:sz="0" w:space="0" w:color="auto"/>
        <w:bottom w:val="none" w:sz="0" w:space="0" w:color="auto"/>
        <w:right w:val="none" w:sz="0" w:space="0" w:color="auto"/>
      </w:divBdr>
    </w:div>
    <w:div w:id="1114711119">
      <w:bodyDiv w:val="1"/>
      <w:marLeft w:val="0"/>
      <w:marRight w:val="0"/>
      <w:marTop w:val="0"/>
      <w:marBottom w:val="0"/>
      <w:divBdr>
        <w:top w:val="none" w:sz="0" w:space="0" w:color="auto"/>
        <w:left w:val="none" w:sz="0" w:space="0" w:color="auto"/>
        <w:bottom w:val="none" w:sz="0" w:space="0" w:color="auto"/>
        <w:right w:val="none" w:sz="0" w:space="0" w:color="auto"/>
      </w:divBdr>
    </w:div>
    <w:div w:id="1121415981">
      <w:bodyDiv w:val="1"/>
      <w:marLeft w:val="0"/>
      <w:marRight w:val="0"/>
      <w:marTop w:val="0"/>
      <w:marBottom w:val="0"/>
      <w:divBdr>
        <w:top w:val="none" w:sz="0" w:space="0" w:color="auto"/>
        <w:left w:val="none" w:sz="0" w:space="0" w:color="auto"/>
        <w:bottom w:val="none" w:sz="0" w:space="0" w:color="auto"/>
        <w:right w:val="none" w:sz="0" w:space="0" w:color="auto"/>
      </w:divBdr>
    </w:div>
    <w:div w:id="1121806894">
      <w:bodyDiv w:val="1"/>
      <w:marLeft w:val="0"/>
      <w:marRight w:val="0"/>
      <w:marTop w:val="0"/>
      <w:marBottom w:val="0"/>
      <w:divBdr>
        <w:top w:val="none" w:sz="0" w:space="0" w:color="auto"/>
        <w:left w:val="none" w:sz="0" w:space="0" w:color="auto"/>
        <w:bottom w:val="none" w:sz="0" w:space="0" w:color="auto"/>
        <w:right w:val="none" w:sz="0" w:space="0" w:color="auto"/>
      </w:divBdr>
    </w:div>
    <w:div w:id="1126773612">
      <w:bodyDiv w:val="1"/>
      <w:marLeft w:val="0"/>
      <w:marRight w:val="0"/>
      <w:marTop w:val="0"/>
      <w:marBottom w:val="0"/>
      <w:divBdr>
        <w:top w:val="none" w:sz="0" w:space="0" w:color="auto"/>
        <w:left w:val="none" w:sz="0" w:space="0" w:color="auto"/>
        <w:bottom w:val="none" w:sz="0" w:space="0" w:color="auto"/>
        <w:right w:val="none" w:sz="0" w:space="0" w:color="auto"/>
      </w:divBdr>
    </w:div>
    <w:div w:id="1130126172">
      <w:bodyDiv w:val="1"/>
      <w:marLeft w:val="0"/>
      <w:marRight w:val="0"/>
      <w:marTop w:val="0"/>
      <w:marBottom w:val="0"/>
      <w:divBdr>
        <w:top w:val="none" w:sz="0" w:space="0" w:color="auto"/>
        <w:left w:val="none" w:sz="0" w:space="0" w:color="auto"/>
        <w:bottom w:val="none" w:sz="0" w:space="0" w:color="auto"/>
        <w:right w:val="none" w:sz="0" w:space="0" w:color="auto"/>
      </w:divBdr>
    </w:div>
    <w:div w:id="1132289593">
      <w:bodyDiv w:val="1"/>
      <w:marLeft w:val="0"/>
      <w:marRight w:val="0"/>
      <w:marTop w:val="0"/>
      <w:marBottom w:val="0"/>
      <w:divBdr>
        <w:top w:val="none" w:sz="0" w:space="0" w:color="auto"/>
        <w:left w:val="none" w:sz="0" w:space="0" w:color="auto"/>
        <w:bottom w:val="none" w:sz="0" w:space="0" w:color="auto"/>
        <w:right w:val="none" w:sz="0" w:space="0" w:color="auto"/>
      </w:divBdr>
    </w:div>
    <w:div w:id="1137917246">
      <w:bodyDiv w:val="1"/>
      <w:marLeft w:val="0"/>
      <w:marRight w:val="0"/>
      <w:marTop w:val="0"/>
      <w:marBottom w:val="0"/>
      <w:divBdr>
        <w:top w:val="none" w:sz="0" w:space="0" w:color="auto"/>
        <w:left w:val="none" w:sz="0" w:space="0" w:color="auto"/>
        <w:bottom w:val="none" w:sz="0" w:space="0" w:color="auto"/>
        <w:right w:val="none" w:sz="0" w:space="0" w:color="auto"/>
      </w:divBdr>
    </w:div>
    <w:div w:id="1147822395">
      <w:bodyDiv w:val="1"/>
      <w:marLeft w:val="0"/>
      <w:marRight w:val="0"/>
      <w:marTop w:val="0"/>
      <w:marBottom w:val="0"/>
      <w:divBdr>
        <w:top w:val="none" w:sz="0" w:space="0" w:color="auto"/>
        <w:left w:val="none" w:sz="0" w:space="0" w:color="auto"/>
        <w:bottom w:val="none" w:sz="0" w:space="0" w:color="auto"/>
        <w:right w:val="none" w:sz="0" w:space="0" w:color="auto"/>
      </w:divBdr>
    </w:div>
    <w:div w:id="1155030934">
      <w:bodyDiv w:val="1"/>
      <w:marLeft w:val="0"/>
      <w:marRight w:val="0"/>
      <w:marTop w:val="0"/>
      <w:marBottom w:val="0"/>
      <w:divBdr>
        <w:top w:val="none" w:sz="0" w:space="0" w:color="auto"/>
        <w:left w:val="none" w:sz="0" w:space="0" w:color="auto"/>
        <w:bottom w:val="none" w:sz="0" w:space="0" w:color="auto"/>
        <w:right w:val="none" w:sz="0" w:space="0" w:color="auto"/>
      </w:divBdr>
    </w:div>
    <w:div w:id="1157380783">
      <w:bodyDiv w:val="1"/>
      <w:marLeft w:val="0"/>
      <w:marRight w:val="0"/>
      <w:marTop w:val="0"/>
      <w:marBottom w:val="0"/>
      <w:divBdr>
        <w:top w:val="none" w:sz="0" w:space="0" w:color="auto"/>
        <w:left w:val="none" w:sz="0" w:space="0" w:color="auto"/>
        <w:bottom w:val="none" w:sz="0" w:space="0" w:color="auto"/>
        <w:right w:val="none" w:sz="0" w:space="0" w:color="auto"/>
      </w:divBdr>
    </w:div>
    <w:div w:id="1164319993">
      <w:bodyDiv w:val="1"/>
      <w:marLeft w:val="0"/>
      <w:marRight w:val="0"/>
      <w:marTop w:val="0"/>
      <w:marBottom w:val="0"/>
      <w:divBdr>
        <w:top w:val="none" w:sz="0" w:space="0" w:color="auto"/>
        <w:left w:val="none" w:sz="0" w:space="0" w:color="auto"/>
        <w:bottom w:val="none" w:sz="0" w:space="0" w:color="auto"/>
        <w:right w:val="none" w:sz="0" w:space="0" w:color="auto"/>
      </w:divBdr>
    </w:div>
    <w:div w:id="1164780808">
      <w:bodyDiv w:val="1"/>
      <w:marLeft w:val="0"/>
      <w:marRight w:val="0"/>
      <w:marTop w:val="0"/>
      <w:marBottom w:val="0"/>
      <w:divBdr>
        <w:top w:val="none" w:sz="0" w:space="0" w:color="auto"/>
        <w:left w:val="none" w:sz="0" w:space="0" w:color="auto"/>
        <w:bottom w:val="none" w:sz="0" w:space="0" w:color="auto"/>
        <w:right w:val="none" w:sz="0" w:space="0" w:color="auto"/>
      </w:divBdr>
    </w:div>
    <w:div w:id="1174764169">
      <w:bodyDiv w:val="1"/>
      <w:marLeft w:val="0"/>
      <w:marRight w:val="0"/>
      <w:marTop w:val="0"/>
      <w:marBottom w:val="0"/>
      <w:divBdr>
        <w:top w:val="none" w:sz="0" w:space="0" w:color="auto"/>
        <w:left w:val="none" w:sz="0" w:space="0" w:color="auto"/>
        <w:bottom w:val="none" w:sz="0" w:space="0" w:color="auto"/>
        <w:right w:val="none" w:sz="0" w:space="0" w:color="auto"/>
      </w:divBdr>
    </w:div>
    <w:div w:id="1191921318">
      <w:bodyDiv w:val="1"/>
      <w:marLeft w:val="0"/>
      <w:marRight w:val="0"/>
      <w:marTop w:val="0"/>
      <w:marBottom w:val="0"/>
      <w:divBdr>
        <w:top w:val="none" w:sz="0" w:space="0" w:color="auto"/>
        <w:left w:val="none" w:sz="0" w:space="0" w:color="auto"/>
        <w:bottom w:val="none" w:sz="0" w:space="0" w:color="auto"/>
        <w:right w:val="none" w:sz="0" w:space="0" w:color="auto"/>
      </w:divBdr>
    </w:div>
    <w:div w:id="1194342004">
      <w:bodyDiv w:val="1"/>
      <w:marLeft w:val="0"/>
      <w:marRight w:val="0"/>
      <w:marTop w:val="0"/>
      <w:marBottom w:val="0"/>
      <w:divBdr>
        <w:top w:val="none" w:sz="0" w:space="0" w:color="auto"/>
        <w:left w:val="none" w:sz="0" w:space="0" w:color="auto"/>
        <w:bottom w:val="none" w:sz="0" w:space="0" w:color="auto"/>
        <w:right w:val="none" w:sz="0" w:space="0" w:color="auto"/>
      </w:divBdr>
    </w:div>
    <w:div w:id="1196239057">
      <w:bodyDiv w:val="1"/>
      <w:marLeft w:val="0"/>
      <w:marRight w:val="0"/>
      <w:marTop w:val="0"/>
      <w:marBottom w:val="0"/>
      <w:divBdr>
        <w:top w:val="none" w:sz="0" w:space="0" w:color="auto"/>
        <w:left w:val="none" w:sz="0" w:space="0" w:color="auto"/>
        <w:bottom w:val="none" w:sz="0" w:space="0" w:color="auto"/>
        <w:right w:val="none" w:sz="0" w:space="0" w:color="auto"/>
      </w:divBdr>
    </w:div>
    <w:div w:id="1210339499">
      <w:bodyDiv w:val="1"/>
      <w:marLeft w:val="0"/>
      <w:marRight w:val="0"/>
      <w:marTop w:val="0"/>
      <w:marBottom w:val="0"/>
      <w:divBdr>
        <w:top w:val="none" w:sz="0" w:space="0" w:color="auto"/>
        <w:left w:val="none" w:sz="0" w:space="0" w:color="auto"/>
        <w:bottom w:val="none" w:sz="0" w:space="0" w:color="auto"/>
        <w:right w:val="none" w:sz="0" w:space="0" w:color="auto"/>
      </w:divBdr>
    </w:div>
    <w:div w:id="1215963709">
      <w:bodyDiv w:val="1"/>
      <w:marLeft w:val="0"/>
      <w:marRight w:val="0"/>
      <w:marTop w:val="0"/>
      <w:marBottom w:val="0"/>
      <w:divBdr>
        <w:top w:val="none" w:sz="0" w:space="0" w:color="auto"/>
        <w:left w:val="none" w:sz="0" w:space="0" w:color="auto"/>
        <w:bottom w:val="none" w:sz="0" w:space="0" w:color="auto"/>
        <w:right w:val="none" w:sz="0" w:space="0" w:color="auto"/>
      </w:divBdr>
    </w:div>
    <w:div w:id="1217089543">
      <w:bodyDiv w:val="1"/>
      <w:marLeft w:val="0"/>
      <w:marRight w:val="0"/>
      <w:marTop w:val="0"/>
      <w:marBottom w:val="0"/>
      <w:divBdr>
        <w:top w:val="none" w:sz="0" w:space="0" w:color="auto"/>
        <w:left w:val="none" w:sz="0" w:space="0" w:color="auto"/>
        <w:bottom w:val="none" w:sz="0" w:space="0" w:color="auto"/>
        <w:right w:val="none" w:sz="0" w:space="0" w:color="auto"/>
      </w:divBdr>
    </w:div>
    <w:div w:id="1221985055">
      <w:bodyDiv w:val="1"/>
      <w:marLeft w:val="0"/>
      <w:marRight w:val="0"/>
      <w:marTop w:val="0"/>
      <w:marBottom w:val="0"/>
      <w:divBdr>
        <w:top w:val="none" w:sz="0" w:space="0" w:color="auto"/>
        <w:left w:val="none" w:sz="0" w:space="0" w:color="auto"/>
        <w:bottom w:val="none" w:sz="0" w:space="0" w:color="auto"/>
        <w:right w:val="none" w:sz="0" w:space="0" w:color="auto"/>
      </w:divBdr>
    </w:div>
    <w:div w:id="1229730221">
      <w:bodyDiv w:val="1"/>
      <w:marLeft w:val="0"/>
      <w:marRight w:val="0"/>
      <w:marTop w:val="0"/>
      <w:marBottom w:val="0"/>
      <w:divBdr>
        <w:top w:val="none" w:sz="0" w:space="0" w:color="auto"/>
        <w:left w:val="none" w:sz="0" w:space="0" w:color="auto"/>
        <w:bottom w:val="none" w:sz="0" w:space="0" w:color="auto"/>
        <w:right w:val="none" w:sz="0" w:space="0" w:color="auto"/>
      </w:divBdr>
    </w:div>
    <w:div w:id="1230921079">
      <w:bodyDiv w:val="1"/>
      <w:marLeft w:val="0"/>
      <w:marRight w:val="0"/>
      <w:marTop w:val="0"/>
      <w:marBottom w:val="0"/>
      <w:divBdr>
        <w:top w:val="none" w:sz="0" w:space="0" w:color="auto"/>
        <w:left w:val="none" w:sz="0" w:space="0" w:color="auto"/>
        <w:bottom w:val="none" w:sz="0" w:space="0" w:color="auto"/>
        <w:right w:val="none" w:sz="0" w:space="0" w:color="auto"/>
      </w:divBdr>
    </w:div>
    <w:div w:id="1240403395">
      <w:bodyDiv w:val="1"/>
      <w:marLeft w:val="0"/>
      <w:marRight w:val="0"/>
      <w:marTop w:val="0"/>
      <w:marBottom w:val="0"/>
      <w:divBdr>
        <w:top w:val="none" w:sz="0" w:space="0" w:color="auto"/>
        <w:left w:val="none" w:sz="0" w:space="0" w:color="auto"/>
        <w:bottom w:val="none" w:sz="0" w:space="0" w:color="auto"/>
        <w:right w:val="none" w:sz="0" w:space="0" w:color="auto"/>
      </w:divBdr>
    </w:div>
    <w:div w:id="1240678616">
      <w:bodyDiv w:val="1"/>
      <w:marLeft w:val="0"/>
      <w:marRight w:val="0"/>
      <w:marTop w:val="0"/>
      <w:marBottom w:val="0"/>
      <w:divBdr>
        <w:top w:val="none" w:sz="0" w:space="0" w:color="auto"/>
        <w:left w:val="none" w:sz="0" w:space="0" w:color="auto"/>
        <w:bottom w:val="none" w:sz="0" w:space="0" w:color="auto"/>
        <w:right w:val="none" w:sz="0" w:space="0" w:color="auto"/>
      </w:divBdr>
    </w:div>
    <w:div w:id="1243831594">
      <w:bodyDiv w:val="1"/>
      <w:marLeft w:val="0"/>
      <w:marRight w:val="0"/>
      <w:marTop w:val="0"/>
      <w:marBottom w:val="0"/>
      <w:divBdr>
        <w:top w:val="none" w:sz="0" w:space="0" w:color="auto"/>
        <w:left w:val="none" w:sz="0" w:space="0" w:color="auto"/>
        <w:bottom w:val="none" w:sz="0" w:space="0" w:color="auto"/>
        <w:right w:val="none" w:sz="0" w:space="0" w:color="auto"/>
      </w:divBdr>
    </w:div>
    <w:div w:id="1248998766">
      <w:bodyDiv w:val="1"/>
      <w:marLeft w:val="0"/>
      <w:marRight w:val="0"/>
      <w:marTop w:val="0"/>
      <w:marBottom w:val="0"/>
      <w:divBdr>
        <w:top w:val="none" w:sz="0" w:space="0" w:color="auto"/>
        <w:left w:val="none" w:sz="0" w:space="0" w:color="auto"/>
        <w:bottom w:val="none" w:sz="0" w:space="0" w:color="auto"/>
        <w:right w:val="none" w:sz="0" w:space="0" w:color="auto"/>
      </w:divBdr>
    </w:div>
    <w:div w:id="1255436178">
      <w:bodyDiv w:val="1"/>
      <w:marLeft w:val="0"/>
      <w:marRight w:val="0"/>
      <w:marTop w:val="0"/>
      <w:marBottom w:val="0"/>
      <w:divBdr>
        <w:top w:val="none" w:sz="0" w:space="0" w:color="auto"/>
        <w:left w:val="none" w:sz="0" w:space="0" w:color="auto"/>
        <w:bottom w:val="none" w:sz="0" w:space="0" w:color="auto"/>
        <w:right w:val="none" w:sz="0" w:space="0" w:color="auto"/>
      </w:divBdr>
    </w:div>
    <w:div w:id="1274484604">
      <w:bodyDiv w:val="1"/>
      <w:marLeft w:val="0"/>
      <w:marRight w:val="0"/>
      <w:marTop w:val="0"/>
      <w:marBottom w:val="0"/>
      <w:divBdr>
        <w:top w:val="none" w:sz="0" w:space="0" w:color="auto"/>
        <w:left w:val="none" w:sz="0" w:space="0" w:color="auto"/>
        <w:bottom w:val="none" w:sz="0" w:space="0" w:color="auto"/>
        <w:right w:val="none" w:sz="0" w:space="0" w:color="auto"/>
      </w:divBdr>
    </w:div>
    <w:div w:id="1281455188">
      <w:bodyDiv w:val="1"/>
      <w:marLeft w:val="0"/>
      <w:marRight w:val="0"/>
      <w:marTop w:val="0"/>
      <w:marBottom w:val="0"/>
      <w:divBdr>
        <w:top w:val="none" w:sz="0" w:space="0" w:color="auto"/>
        <w:left w:val="none" w:sz="0" w:space="0" w:color="auto"/>
        <w:bottom w:val="none" w:sz="0" w:space="0" w:color="auto"/>
        <w:right w:val="none" w:sz="0" w:space="0" w:color="auto"/>
      </w:divBdr>
    </w:div>
    <w:div w:id="1282762833">
      <w:bodyDiv w:val="1"/>
      <w:marLeft w:val="0"/>
      <w:marRight w:val="0"/>
      <w:marTop w:val="0"/>
      <w:marBottom w:val="0"/>
      <w:divBdr>
        <w:top w:val="none" w:sz="0" w:space="0" w:color="auto"/>
        <w:left w:val="none" w:sz="0" w:space="0" w:color="auto"/>
        <w:bottom w:val="none" w:sz="0" w:space="0" w:color="auto"/>
        <w:right w:val="none" w:sz="0" w:space="0" w:color="auto"/>
      </w:divBdr>
    </w:div>
    <w:div w:id="1293946717">
      <w:bodyDiv w:val="1"/>
      <w:marLeft w:val="0"/>
      <w:marRight w:val="0"/>
      <w:marTop w:val="0"/>
      <w:marBottom w:val="0"/>
      <w:divBdr>
        <w:top w:val="none" w:sz="0" w:space="0" w:color="auto"/>
        <w:left w:val="none" w:sz="0" w:space="0" w:color="auto"/>
        <w:bottom w:val="none" w:sz="0" w:space="0" w:color="auto"/>
        <w:right w:val="none" w:sz="0" w:space="0" w:color="auto"/>
      </w:divBdr>
    </w:div>
    <w:div w:id="1298339661">
      <w:bodyDiv w:val="1"/>
      <w:marLeft w:val="0"/>
      <w:marRight w:val="0"/>
      <w:marTop w:val="0"/>
      <w:marBottom w:val="0"/>
      <w:divBdr>
        <w:top w:val="none" w:sz="0" w:space="0" w:color="auto"/>
        <w:left w:val="none" w:sz="0" w:space="0" w:color="auto"/>
        <w:bottom w:val="none" w:sz="0" w:space="0" w:color="auto"/>
        <w:right w:val="none" w:sz="0" w:space="0" w:color="auto"/>
      </w:divBdr>
    </w:div>
    <w:div w:id="1304236699">
      <w:bodyDiv w:val="1"/>
      <w:marLeft w:val="0"/>
      <w:marRight w:val="0"/>
      <w:marTop w:val="0"/>
      <w:marBottom w:val="0"/>
      <w:divBdr>
        <w:top w:val="none" w:sz="0" w:space="0" w:color="auto"/>
        <w:left w:val="none" w:sz="0" w:space="0" w:color="auto"/>
        <w:bottom w:val="none" w:sz="0" w:space="0" w:color="auto"/>
        <w:right w:val="none" w:sz="0" w:space="0" w:color="auto"/>
      </w:divBdr>
      <w:divsChild>
        <w:div w:id="1695183091">
          <w:marLeft w:val="0"/>
          <w:marRight w:val="0"/>
          <w:marTop w:val="0"/>
          <w:marBottom w:val="0"/>
          <w:divBdr>
            <w:top w:val="none" w:sz="0" w:space="0" w:color="auto"/>
            <w:left w:val="none" w:sz="0" w:space="0" w:color="auto"/>
            <w:bottom w:val="none" w:sz="0" w:space="0" w:color="auto"/>
            <w:right w:val="none" w:sz="0" w:space="0" w:color="auto"/>
          </w:divBdr>
          <w:divsChild>
            <w:div w:id="1890149335">
              <w:marLeft w:val="0"/>
              <w:marRight w:val="0"/>
              <w:marTop w:val="0"/>
              <w:marBottom w:val="0"/>
              <w:divBdr>
                <w:top w:val="none" w:sz="0" w:space="0" w:color="auto"/>
                <w:left w:val="none" w:sz="0" w:space="0" w:color="auto"/>
                <w:bottom w:val="none" w:sz="0" w:space="0" w:color="auto"/>
                <w:right w:val="none" w:sz="0" w:space="0" w:color="auto"/>
              </w:divBdr>
              <w:divsChild>
                <w:div w:id="1513639984">
                  <w:marLeft w:val="0"/>
                  <w:marRight w:val="0"/>
                  <w:marTop w:val="0"/>
                  <w:marBottom w:val="0"/>
                  <w:divBdr>
                    <w:top w:val="none" w:sz="0" w:space="0" w:color="auto"/>
                    <w:left w:val="none" w:sz="0" w:space="0" w:color="auto"/>
                    <w:bottom w:val="none" w:sz="0" w:space="0" w:color="auto"/>
                    <w:right w:val="none" w:sz="0" w:space="0" w:color="auto"/>
                  </w:divBdr>
                  <w:divsChild>
                    <w:div w:id="199800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89907">
      <w:bodyDiv w:val="1"/>
      <w:marLeft w:val="0"/>
      <w:marRight w:val="0"/>
      <w:marTop w:val="0"/>
      <w:marBottom w:val="0"/>
      <w:divBdr>
        <w:top w:val="none" w:sz="0" w:space="0" w:color="auto"/>
        <w:left w:val="none" w:sz="0" w:space="0" w:color="auto"/>
        <w:bottom w:val="none" w:sz="0" w:space="0" w:color="auto"/>
        <w:right w:val="none" w:sz="0" w:space="0" w:color="auto"/>
      </w:divBdr>
    </w:div>
    <w:div w:id="1327397998">
      <w:bodyDiv w:val="1"/>
      <w:marLeft w:val="0"/>
      <w:marRight w:val="0"/>
      <w:marTop w:val="0"/>
      <w:marBottom w:val="0"/>
      <w:divBdr>
        <w:top w:val="none" w:sz="0" w:space="0" w:color="auto"/>
        <w:left w:val="none" w:sz="0" w:space="0" w:color="auto"/>
        <w:bottom w:val="none" w:sz="0" w:space="0" w:color="auto"/>
        <w:right w:val="none" w:sz="0" w:space="0" w:color="auto"/>
      </w:divBdr>
    </w:div>
    <w:div w:id="1329139382">
      <w:bodyDiv w:val="1"/>
      <w:marLeft w:val="0"/>
      <w:marRight w:val="0"/>
      <w:marTop w:val="0"/>
      <w:marBottom w:val="0"/>
      <w:divBdr>
        <w:top w:val="none" w:sz="0" w:space="0" w:color="auto"/>
        <w:left w:val="none" w:sz="0" w:space="0" w:color="auto"/>
        <w:bottom w:val="none" w:sz="0" w:space="0" w:color="auto"/>
        <w:right w:val="none" w:sz="0" w:space="0" w:color="auto"/>
      </w:divBdr>
    </w:div>
    <w:div w:id="1332218707">
      <w:bodyDiv w:val="1"/>
      <w:marLeft w:val="0"/>
      <w:marRight w:val="0"/>
      <w:marTop w:val="0"/>
      <w:marBottom w:val="0"/>
      <w:divBdr>
        <w:top w:val="none" w:sz="0" w:space="0" w:color="auto"/>
        <w:left w:val="none" w:sz="0" w:space="0" w:color="auto"/>
        <w:bottom w:val="none" w:sz="0" w:space="0" w:color="auto"/>
        <w:right w:val="none" w:sz="0" w:space="0" w:color="auto"/>
      </w:divBdr>
    </w:div>
    <w:div w:id="1341666338">
      <w:bodyDiv w:val="1"/>
      <w:marLeft w:val="0"/>
      <w:marRight w:val="0"/>
      <w:marTop w:val="0"/>
      <w:marBottom w:val="0"/>
      <w:divBdr>
        <w:top w:val="none" w:sz="0" w:space="0" w:color="auto"/>
        <w:left w:val="none" w:sz="0" w:space="0" w:color="auto"/>
        <w:bottom w:val="none" w:sz="0" w:space="0" w:color="auto"/>
        <w:right w:val="none" w:sz="0" w:space="0" w:color="auto"/>
      </w:divBdr>
    </w:div>
    <w:div w:id="1352296047">
      <w:bodyDiv w:val="1"/>
      <w:marLeft w:val="0"/>
      <w:marRight w:val="0"/>
      <w:marTop w:val="0"/>
      <w:marBottom w:val="0"/>
      <w:divBdr>
        <w:top w:val="none" w:sz="0" w:space="0" w:color="auto"/>
        <w:left w:val="none" w:sz="0" w:space="0" w:color="auto"/>
        <w:bottom w:val="none" w:sz="0" w:space="0" w:color="auto"/>
        <w:right w:val="none" w:sz="0" w:space="0" w:color="auto"/>
      </w:divBdr>
    </w:div>
    <w:div w:id="1356731070">
      <w:bodyDiv w:val="1"/>
      <w:marLeft w:val="0"/>
      <w:marRight w:val="0"/>
      <w:marTop w:val="0"/>
      <w:marBottom w:val="0"/>
      <w:divBdr>
        <w:top w:val="none" w:sz="0" w:space="0" w:color="auto"/>
        <w:left w:val="none" w:sz="0" w:space="0" w:color="auto"/>
        <w:bottom w:val="none" w:sz="0" w:space="0" w:color="auto"/>
        <w:right w:val="none" w:sz="0" w:space="0" w:color="auto"/>
      </w:divBdr>
    </w:div>
    <w:div w:id="1373310999">
      <w:bodyDiv w:val="1"/>
      <w:marLeft w:val="0"/>
      <w:marRight w:val="0"/>
      <w:marTop w:val="0"/>
      <w:marBottom w:val="0"/>
      <w:divBdr>
        <w:top w:val="none" w:sz="0" w:space="0" w:color="auto"/>
        <w:left w:val="none" w:sz="0" w:space="0" w:color="auto"/>
        <w:bottom w:val="none" w:sz="0" w:space="0" w:color="auto"/>
        <w:right w:val="none" w:sz="0" w:space="0" w:color="auto"/>
      </w:divBdr>
    </w:div>
    <w:div w:id="1381830611">
      <w:bodyDiv w:val="1"/>
      <w:marLeft w:val="0"/>
      <w:marRight w:val="0"/>
      <w:marTop w:val="0"/>
      <w:marBottom w:val="0"/>
      <w:divBdr>
        <w:top w:val="none" w:sz="0" w:space="0" w:color="auto"/>
        <w:left w:val="none" w:sz="0" w:space="0" w:color="auto"/>
        <w:bottom w:val="none" w:sz="0" w:space="0" w:color="auto"/>
        <w:right w:val="none" w:sz="0" w:space="0" w:color="auto"/>
      </w:divBdr>
    </w:div>
    <w:div w:id="1412891154">
      <w:bodyDiv w:val="1"/>
      <w:marLeft w:val="0"/>
      <w:marRight w:val="0"/>
      <w:marTop w:val="0"/>
      <w:marBottom w:val="0"/>
      <w:divBdr>
        <w:top w:val="none" w:sz="0" w:space="0" w:color="auto"/>
        <w:left w:val="none" w:sz="0" w:space="0" w:color="auto"/>
        <w:bottom w:val="none" w:sz="0" w:space="0" w:color="auto"/>
        <w:right w:val="none" w:sz="0" w:space="0" w:color="auto"/>
      </w:divBdr>
    </w:div>
    <w:div w:id="1419911301">
      <w:bodyDiv w:val="1"/>
      <w:marLeft w:val="0"/>
      <w:marRight w:val="0"/>
      <w:marTop w:val="0"/>
      <w:marBottom w:val="0"/>
      <w:divBdr>
        <w:top w:val="none" w:sz="0" w:space="0" w:color="auto"/>
        <w:left w:val="none" w:sz="0" w:space="0" w:color="auto"/>
        <w:bottom w:val="none" w:sz="0" w:space="0" w:color="auto"/>
        <w:right w:val="none" w:sz="0" w:space="0" w:color="auto"/>
      </w:divBdr>
    </w:div>
    <w:div w:id="1427994734">
      <w:bodyDiv w:val="1"/>
      <w:marLeft w:val="0"/>
      <w:marRight w:val="0"/>
      <w:marTop w:val="0"/>
      <w:marBottom w:val="0"/>
      <w:divBdr>
        <w:top w:val="none" w:sz="0" w:space="0" w:color="auto"/>
        <w:left w:val="none" w:sz="0" w:space="0" w:color="auto"/>
        <w:bottom w:val="none" w:sz="0" w:space="0" w:color="auto"/>
        <w:right w:val="none" w:sz="0" w:space="0" w:color="auto"/>
      </w:divBdr>
    </w:div>
    <w:div w:id="1428228242">
      <w:bodyDiv w:val="1"/>
      <w:marLeft w:val="0"/>
      <w:marRight w:val="0"/>
      <w:marTop w:val="0"/>
      <w:marBottom w:val="0"/>
      <w:divBdr>
        <w:top w:val="none" w:sz="0" w:space="0" w:color="auto"/>
        <w:left w:val="none" w:sz="0" w:space="0" w:color="auto"/>
        <w:bottom w:val="none" w:sz="0" w:space="0" w:color="auto"/>
        <w:right w:val="none" w:sz="0" w:space="0" w:color="auto"/>
      </w:divBdr>
    </w:div>
    <w:div w:id="1436369384">
      <w:bodyDiv w:val="1"/>
      <w:marLeft w:val="0"/>
      <w:marRight w:val="0"/>
      <w:marTop w:val="0"/>
      <w:marBottom w:val="0"/>
      <w:divBdr>
        <w:top w:val="none" w:sz="0" w:space="0" w:color="auto"/>
        <w:left w:val="none" w:sz="0" w:space="0" w:color="auto"/>
        <w:bottom w:val="none" w:sz="0" w:space="0" w:color="auto"/>
        <w:right w:val="none" w:sz="0" w:space="0" w:color="auto"/>
      </w:divBdr>
    </w:div>
    <w:div w:id="1443761550">
      <w:bodyDiv w:val="1"/>
      <w:marLeft w:val="0"/>
      <w:marRight w:val="0"/>
      <w:marTop w:val="0"/>
      <w:marBottom w:val="0"/>
      <w:divBdr>
        <w:top w:val="none" w:sz="0" w:space="0" w:color="auto"/>
        <w:left w:val="none" w:sz="0" w:space="0" w:color="auto"/>
        <w:bottom w:val="none" w:sz="0" w:space="0" w:color="auto"/>
        <w:right w:val="none" w:sz="0" w:space="0" w:color="auto"/>
      </w:divBdr>
    </w:div>
    <w:div w:id="1453864773">
      <w:bodyDiv w:val="1"/>
      <w:marLeft w:val="0"/>
      <w:marRight w:val="0"/>
      <w:marTop w:val="0"/>
      <w:marBottom w:val="0"/>
      <w:divBdr>
        <w:top w:val="none" w:sz="0" w:space="0" w:color="auto"/>
        <w:left w:val="none" w:sz="0" w:space="0" w:color="auto"/>
        <w:bottom w:val="none" w:sz="0" w:space="0" w:color="auto"/>
        <w:right w:val="none" w:sz="0" w:space="0" w:color="auto"/>
      </w:divBdr>
    </w:div>
    <w:div w:id="1469590252">
      <w:bodyDiv w:val="1"/>
      <w:marLeft w:val="0"/>
      <w:marRight w:val="0"/>
      <w:marTop w:val="0"/>
      <w:marBottom w:val="0"/>
      <w:divBdr>
        <w:top w:val="none" w:sz="0" w:space="0" w:color="auto"/>
        <w:left w:val="none" w:sz="0" w:space="0" w:color="auto"/>
        <w:bottom w:val="none" w:sz="0" w:space="0" w:color="auto"/>
        <w:right w:val="none" w:sz="0" w:space="0" w:color="auto"/>
      </w:divBdr>
    </w:div>
    <w:div w:id="1473644321">
      <w:bodyDiv w:val="1"/>
      <w:marLeft w:val="0"/>
      <w:marRight w:val="0"/>
      <w:marTop w:val="0"/>
      <w:marBottom w:val="0"/>
      <w:divBdr>
        <w:top w:val="none" w:sz="0" w:space="0" w:color="auto"/>
        <w:left w:val="none" w:sz="0" w:space="0" w:color="auto"/>
        <w:bottom w:val="none" w:sz="0" w:space="0" w:color="auto"/>
        <w:right w:val="none" w:sz="0" w:space="0" w:color="auto"/>
      </w:divBdr>
    </w:div>
    <w:div w:id="1500543136">
      <w:bodyDiv w:val="1"/>
      <w:marLeft w:val="0"/>
      <w:marRight w:val="0"/>
      <w:marTop w:val="0"/>
      <w:marBottom w:val="0"/>
      <w:divBdr>
        <w:top w:val="none" w:sz="0" w:space="0" w:color="auto"/>
        <w:left w:val="none" w:sz="0" w:space="0" w:color="auto"/>
        <w:bottom w:val="none" w:sz="0" w:space="0" w:color="auto"/>
        <w:right w:val="none" w:sz="0" w:space="0" w:color="auto"/>
      </w:divBdr>
    </w:div>
    <w:div w:id="1503280325">
      <w:bodyDiv w:val="1"/>
      <w:marLeft w:val="0"/>
      <w:marRight w:val="0"/>
      <w:marTop w:val="0"/>
      <w:marBottom w:val="0"/>
      <w:divBdr>
        <w:top w:val="none" w:sz="0" w:space="0" w:color="auto"/>
        <w:left w:val="none" w:sz="0" w:space="0" w:color="auto"/>
        <w:bottom w:val="none" w:sz="0" w:space="0" w:color="auto"/>
        <w:right w:val="none" w:sz="0" w:space="0" w:color="auto"/>
      </w:divBdr>
    </w:div>
    <w:div w:id="1508522281">
      <w:bodyDiv w:val="1"/>
      <w:marLeft w:val="0"/>
      <w:marRight w:val="0"/>
      <w:marTop w:val="0"/>
      <w:marBottom w:val="0"/>
      <w:divBdr>
        <w:top w:val="none" w:sz="0" w:space="0" w:color="auto"/>
        <w:left w:val="none" w:sz="0" w:space="0" w:color="auto"/>
        <w:bottom w:val="none" w:sz="0" w:space="0" w:color="auto"/>
        <w:right w:val="none" w:sz="0" w:space="0" w:color="auto"/>
      </w:divBdr>
      <w:divsChild>
        <w:div w:id="377121036">
          <w:marLeft w:val="0"/>
          <w:marRight w:val="0"/>
          <w:marTop w:val="0"/>
          <w:marBottom w:val="0"/>
          <w:divBdr>
            <w:top w:val="none" w:sz="0" w:space="0" w:color="auto"/>
            <w:left w:val="none" w:sz="0" w:space="0" w:color="auto"/>
            <w:bottom w:val="none" w:sz="0" w:space="0" w:color="auto"/>
            <w:right w:val="none" w:sz="0" w:space="0" w:color="auto"/>
          </w:divBdr>
          <w:divsChild>
            <w:div w:id="1824737032">
              <w:marLeft w:val="0"/>
              <w:marRight w:val="75"/>
              <w:marTop w:val="75"/>
              <w:marBottom w:val="75"/>
              <w:divBdr>
                <w:top w:val="none" w:sz="0" w:space="0" w:color="auto"/>
                <w:left w:val="none" w:sz="0" w:space="0" w:color="auto"/>
                <w:bottom w:val="none" w:sz="0" w:space="0" w:color="auto"/>
                <w:right w:val="none" w:sz="0" w:space="0" w:color="auto"/>
              </w:divBdr>
            </w:div>
          </w:divsChild>
        </w:div>
        <w:div w:id="822896863">
          <w:marLeft w:val="0"/>
          <w:marRight w:val="0"/>
          <w:marTop w:val="0"/>
          <w:marBottom w:val="0"/>
          <w:divBdr>
            <w:top w:val="none" w:sz="0" w:space="0" w:color="auto"/>
            <w:left w:val="none" w:sz="0" w:space="0" w:color="auto"/>
            <w:bottom w:val="none" w:sz="0" w:space="0" w:color="auto"/>
            <w:right w:val="none" w:sz="0" w:space="0" w:color="auto"/>
          </w:divBdr>
          <w:divsChild>
            <w:div w:id="7648822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11872877">
      <w:bodyDiv w:val="1"/>
      <w:marLeft w:val="0"/>
      <w:marRight w:val="0"/>
      <w:marTop w:val="0"/>
      <w:marBottom w:val="0"/>
      <w:divBdr>
        <w:top w:val="none" w:sz="0" w:space="0" w:color="auto"/>
        <w:left w:val="none" w:sz="0" w:space="0" w:color="auto"/>
        <w:bottom w:val="none" w:sz="0" w:space="0" w:color="auto"/>
        <w:right w:val="none" w:sz="0" w:space="0" w:color="auto"/>
      </w:divBdr>
    </w:div>
    <w:div w:id="1513642219">
      <w:bodyDiv w:val="1"/>
      <w:marLeft w:val="0"/>
      <w:marRight w:val="0"/>
      <w:marTop w:val="0"/>
      <w:marBottom w:val="0"/>
      <w:divBdr>
        <w:top w:val="none" w:sz="0" w:space="0" w:color="auto"/>
        <w:left w:val="none" w:sz="0" w:space="0" w:color="auto"/>
        <w:bottom w:val="none" w:sz="0" w:space="0" w:color="auto"/>
        <w:right w:val="none" w:sz="0" w:space="0" w:color="auto"/>
      </w:divBdr>
    </w:div>
    <w:div w:id="1514565948">
      <w:bodyDiv w:val="1"/>
      <w:marLeft w:val="0"/>
      <w:marRight w:val="0"/>
      <w:marTop w:val="0"/>
      <w:marBottom w:val="0"/>
      <w:divBdr>
        <w:top w:val="none" w:sz="0" w:space="0" w:color="auto"/>
        <w:left w:val="none" w:sz="0" w:space="0" w:color="auto"/>
        <w:bottom w:val="none" w:sz="0" w:space="0" w:color="auto"/>
        <w:right w:val="none" w:sz="0" w:space="0" w:color="auto"/>
      </w:divBdr>
    </w:div>
    <w:div w:id="1517452987">
      <w:bodyDiv w:val="1"/>
      <w:marLeft w:val="0"/>
      <w:marRight w:val="0"/>
      <w:marTop w:val="0"/>
      <w:marBottom w:val="0"/>
      <w:divBdr>
        <w:top w:val="none" w:sz="0" w:space="0" w:color="auto"/>
        <w:left w:val="none" w:sz="0" w:space="0" w:color="auto"/>
        <w:bottom w:val="none" w:sz="0" w:space="0" w:color="auto"/>
        <w:right w:val="none" w:sz="0" w:space="0" w:color="auto"/>
      </w:divBdr>
    </w:div>
    <w:div w:id="1519388663">
      <w:bodyDiv w:val="1"/>
      <w:marLeft w:val="0"/>
      <w:marRight w:val="0"/>
      <w:marTop w:val="0"/>
      <w:marBottom w:val="0"/>
      <w:divBdr>
        <w:top w:val="none" w:sz="0" w:space="0" w:color="auto"/>
        <w:left w:val="none" w:sz="0" w:space="0" w:color="auto"/>
        <w:bottom w:val="none" w:sz="0" w:space="0" w:color="auto"/>
        <w:right w:val="none" w:sz="0" w:space="0" w:color="auto"/>
      </w:divBdr>
    </w:div>
    <w:div w:id="1534687807">
      <w:bodyDiv w:val="1"/>
      <w:marLeft w:val="0"/>
      <w:marRight w:val="0"/>
      <w:marTop w:val="0"/>
      <w:marBottom w:val="0"/>
      <w:divBdr>
        <w:top w:val="none" w:sz="0" w:space="0" w:color="auto"/>
        <w:left w:val="none" w:sz="0" w:space="0" w:color="auto"/>
        <w:bottom w:val="none" w:sz="0" w:space="0" w:color="auto"/>
        <w:right w:val="none" w:sz="0" w:space="0" w:color="auto"/>
      </w:divBdr>
    </w:div>
    <w:div w:id="1538276455">
      <w:bodyDiv w:val="1"/>
      <w:marLeft w:val="0"/>
      <w:marRight w:val="0"/>
      <w:marTop w:val="0"/>
      <w:marBottom w:val="0"/>
      <w:divBdr>
        <w:top w:val="none" w:sz="0" w:space="0" w:color="auto"/>
        <w:left w:val="none" w:sz="0" w:space="0" w:color="auto"/>
        <w:bottom w:val="none" w:sz="0" w:space="0" w:color="auto"/>
        <w:right w:val="none" w:sz="0" w:space="0" w:color="auto"/>
      </w:divBdr>
    </w:div>
    <w:div w:id="1540631696">
      <w:bodyDiv w:val="1"/>
      <w:marLeft w:val="0"/>
      <w:marRight w:val="0"/>
      <w:marTop w:val="0"/>
      <w:marBottom w:val="0"/>
      <w:divBdr>
        <w:top w:val="none" w:sz="0" w:space="0" w:color="auto"/>
        <w:left w:val="none" w:sz="0" w:space="0" w:color="auto"/>
        <w:bottom w:val="none" w:sz="0" w:space="0" w:color="auto"/>
        <w:right w:val="none" w:sz="0" w:space="0" w:color="auto"/>
      </w:divBdr>
    </w:div>
    <w:div w:id="1541550574">
      <w:bodyDiv w:val="1"/>
      <w:marLeft w:val="0"/>
      <w:marRight w:val="0"/>
      <w:marTop w:val="0"/>
      <w:marBottom w:val="0"/>
      <w:divBdr>
        <w:top w:val="none" w:sz="0" w:space="0" w:color="auto"/>
        <w:left w:val="none" w:sz="0" w:space="0" w:color="auto"/>
        <w:bottom w:val="none" w:sz="0" w:space="0" w:color="auto"/>
        <w:right w:val="none" w:sz="0" w:space="0" w:color="auto"/>
      </w:divBdr>
    </w:div>
    <w:div w:id="1552306876">
      <w:bodyDiv w:val="1"/>
      <w:marLeft w:val="0"/>
      <w:marRight w:val="0"/>
      <w:marTop w:val="0"/>
      <w:marBottom w:val="0"/>
      <w:divBdr>
        <w:top w:val="none" w:sz="0" w:space="0" w:color="auto"/>
        <w:left w:val="none" w:sz="0" w:space="0" w:color="auto"/>
        <w:bottom w:val="none" w:sz="0" w:space="0" w:color="auto"/>
        <w:right w:val="none" w:sz="0" w:space="0" w:color="auto"/>
      </w:divBdr>
    </w:div>
    <w:div w:id="1555235318">
      <w:bodyDiv w:val="1"/>
      <w:marLeft w:val="0"/>
      <w:marRight w:val="0"/>
      <w:marTop w:val="0"/>
      <w:marBottom w:val="0"/>
      <w:divBdr>
        <w:top w:val="none" w:sz="0" w:space="0" w:color="auto"/>
        <w:left w:val="none" w:sz="0" w:space="0" w:color="auto"/>
        <w:bottom w:val="none" w:sz="0" w:space="0" w:color="auto"/>
        <w:right w:val="none" w:sz="0" w:space="0" w:color="auto"/>
      </w:divBdr>
    </w:div>
    <w:div w:id="1556500886">
      <w:bodyDiv w:val="1"/>
      <w:marLeft w:val="0"/>
      <w:marRight w:val="0"/>
      <w:marTop w:val="0"/>
      <w:marBottom w:val="0"/>
      <w:divBdr>
        <w:top w:val="none" w:sz="0" w:space="0" w:color="auto"/>
        <w:left w:val="none" w:sz="0" w:space="0" w:color="auto"/>
        <w:bottom w:val="none" w:sz="0" w:space="0" w:color="auto"/>
        <w:right w:val="none" w:sz="0" w:space="0" w:color="auto"/>
      </w:divBdr>
    </w:div>
    <w:div w:id="1557011119">
      <w:bodyDiv w:val="1"/>
      <w:marLeft w:val="0"/>
      <w:marRight w:val="0"/>
      <w:marTop w:val="0"/>
      <w:marBottom w:val="0"/>
      <w:divBdr>
        <w:top w:val="none" w:sz="0" w:space="0" w:color="auto"/>
        <w:left w:val="none" w:sz="0" w:space="0" w:color="auto"/>
        <w:bottom w:val="none" w:sz="0" w:space="0" w:color="auto"/>
        <w:right w:val="none" w:sz="0" w:space="0" w:color="auto"/>
      </w:divBdr>
    </w:div>
    <w:div w:id="1563324880">
      <w:bodyDiv w:val="1"/>
      <w:marLeft w:val="0"/>
      <w:marRight w:val="0"/>
      <w:marTop w:val="0"/>
      <w:marBottom w:val="0"/>
      <w:divBdr>
        <w:top w:val="none" w:sz="0" w:space="0" w:color="auto"/>
        <w:left w:val="none" w:sz="0" w:space="0" w:color="auto"/>
        <w:bottom w:val="none" w:sz="0" w:space="0" w:color="auto"/>
        <w:right w:val="none" w:sz="0" w:space="0" w:color="auto"/>
      </w:divBdr>
    </w:div>
    <w:div w:id="1565336614">
      <w:bodyDiv w:val="1"/>
      <w:marLeft w:val="0"/>
      <w:marRight w:val="0"/>
      <w:marTop w:val="0"/>
      <w:marBottom w:val="0"/>
      <w:divBdr>
        <w:top w:val="none" w:sz="0" w:space="0" w:color="auto"/>
        <w:left w:val="none" w:sz="0" w:space="0" w:color="auto"/>
        <w:bottom w:val="none" w:sz="0" w:space="0" w:color="auto"/>
        <w:right w:val="none" w:sz="0" w:space="0" w:color="auto"/>
      </w:divBdr>
    </w:div>
    <w:div w:id="1572883911">
      <w:bodyDiv w:val="1"/>
      <w:marLeft w:val="0"/>
      <w:marRight w:val="0"/>
      <w:marTop w:val="0"/>
      <w:marBottom w:val="0"/>
      <w:divBdr>
        <w:top w:val="none" w:sz="0" w:space="0" w:color="auto"/>
        <w:left w:val="none" w:sz="0" w:space="0" w:color="auto"/>
        <w:bottom w:val="none" w:sz="0" w:space="0" w:color="auto"/>
        <w:right w:val="none" w:sz="0" w:space="0" w:color="auto"/>
      </w:divBdr>
    </w:div>
    <w:div w:id="1578203165">
      <w:bodyDiv w:val="1"/>
      <w:marLeft w:val="0"/>
      <w:marRight w:val="0"/>
      <w:marTop w:val="0"/>
      <w:marBottom w:val="0"/>
      <w:divBdr>
        <w:top w:val="none" w:sz="0" w:space="0" w:color="auto"/>
        <w:left w:val="none" w:sz="0" w:space="0" w:color="auto"/>
        <w:bottom w:val="none" w:sz="0" w:space="0" w:color="auto"/>
        <w:right w:val="none" w:sz="0" w:space="0" w:color="auto"/>
      </w:divBdr>
    </w:div>
    <w:div w:id="1599286394">
      <w:bodyDiv w:val="1"/>
      <w:marLeft w:val="0"/>
      <w:marRight w:val="0"/>
      <w:marTop w:val="0"/>
      <w:marBottom w:val="0"/>
      <w:divBdr>
        <w:top w:val="none" w:sz="0" w:space="0" w:color="auto"/>
        <w:left w:val="none" w:sz="0" w:space="0" w:color="auto"/>
        <w:bottom w:val="none" w:sz="0" w:space="0" w:color="auto"/>
        <w:right w:val="none" w:sz="0" w:space="0" w:color="auto"/>
      </w:divBdr>
    </w:div>
    <w:div w:id="1601644927">
      <w:bodyDiv w:val="1"/>
      <w:marLeft w:val="0"/>
      <w:marRight w:val="0"/>
      <w:marTop w:val="0"/>
      <w:marBottom w:val="0"/>
      <w:divBdr>
        <w:top w:val="none" w:sz="0" w:space="0" w:color="auto"/>
        <w:left w:val="none" w:sz="0" w:space="0" w:color="auto"/>
        <w:bottom w:val="none" w:sz="0" w:space="0" w:color="auto"/>
        <w:right w:val="none" w:sz="0" w:space="0" w:color="auto"/>
      </w:divBdr>
      <w:divsChild>
        <w:div w:id="576794299">
          <w:marLeft w:val="0"/>
          <w:marRight w:val="0"/>
          <w:marTop w:val="0"/>
          <w:marBottom w:val="0"/>
          <w:divBdr>
            <w:top w:val="none" w:sz="0" w:space="0" w:color="auto"/>
            <w:left w:val="none" w:sz="0" w:space="0" w:color="auto"/>
            <w:bottom w:val="none" w:sz="0" w:space="0" w:color="auto"/>
            <w:right w:val="none" w:sz="0" w:space="0" w:color="auto"/>
          </w:divBdr>
          <w:divsChild>
            <w:div w:id="1429813750">
              <w:marLeft w:val="0"/>
              <w:marRight w:val="0"/>
              <w:marTop w:val="0"/>
              <w:marBottom w:val="0"/>
              <w:divBdr>
                <w:top w:val="none" w:sz="0" w:space="0" w:color="auto"/>
                <w:left w:val="none" w:sz="0" w:space="0" w:color="auto"/>
                <w:bottom w:val="none" w:sz="0" w:space="0" w:color="auto"/>
                <w:right w:val="none" w:sz="0" w:space="0" w:color="auto"/>
              </w:divBdr>
              <w:divsChild>
                <w:div w:id="1015615358">
                  <w:marLeft w:val="0"/>
                  <w:marRight w:val="0"/>
                  <w:marTop w:val="0"/>
                  <w:marBottom w:val="0"/>
                  <w:divBdr>
                    <w:top w:val="none" w:sz="0" w:space="0" w:color="auto"/>
                    <w:left w:val="none" w:sz="0" w:space="0" w:color="auto"/>
                    <w:bottom w:val="none" w:sz="0" w:space="0" w:color="auto"/>
                    <w:right w:val="none" w:sz="0" w:space="0" w:color="auto"/>
                  </w:divBdr>
                  <w:divsChild>
                    <w:div w:id="151043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111609">
      <w:bodyDiv w:val="1"/>
      <w:marLeft w:val="0"/>
      <w:marRight w:val="0"/>
      <w:marTop w:val="0"/>
      <w:marBottom w:val="0"/>
      <w:divBdr>
        <w:top w:val="none" w:sz="0" w:space="0" w:color="auto"/>
        <w:left w:val="none" w:sz="0" w:space="0" w:color="auto"/>
        <w:bottom w:val="none" w:sz="0" w:space="0" w:color="auto"/>
        <w:right w:val="none" w:sz="0" w:space="0" w:color="auto"/>
      </w:divBdr>
    </w:div>
    <w:div w:id="1625884236">
      <w:bodyDiv w:val="1"/>
      <w:marLeft w:val="0"/>
      <w:marRight w:val="0"/>
      <w:marTop w:val="0"/>
      <w:marBottom w:val="0"/>
      <w:divBdr>
        <w:top w:val="none" w:sz="0" w:space="0" w:color="auto"/>
        <w:left w:val="none" w:sz="0" w:space="0" w:color="auto"/>
        <w:bottom w:val="none" w:sz="0" w:space="0" w:color="auto"/>
        <w:right w:val="none" w:sz="0" w:space="0" w:color="auto"/>
      </w:divBdr>
    </w:div>
    <w:div w:id="1645506784">
      <w:bodyDiv w:val="1"/>
      <w:marLeft w:val="0"/>
      <w:marRight w:val="0"/>
      <w:marTop w:val="0"/>
      <w:marBottom w:val="0"/>
      <w:divBdr>
        <w:top w:val="none" w:sz="0" w:space="0" w:color="auto"/>
        <w:left w:val="none" w:sz="0" w:space="0" w:color="auto"/>
        <w:bottom w:val="none" w:sz="0" w:space="0" w:color="auto"/>
        <w:right w:val="none" w:sz="0" w:space="0" w:color="auto"/>
      </w:divBdr>
    </w:div>
    <w:div w:id="1652324484">
      <w:bodyDiv w:val="1"/>
      <w:marLeft w:val="0"/>
      <w:marRight w:val="0"/>
      <w:marTop w:val="0"/>
      <w:marBottom w:val="0"/>
      <w:divBdr>
        <w:top w:val="none" w:sz="0" w:space="0" w:color="auto"/>
        <w:left w:val="none" w:sz="0" w:space="0" w:color="auto"/>
        <w:bottom w:val="none" w:sz="0" w:space="0" w:color="auto"/>
        <w:right w:val="none" w:sz="0" w:space="0" w:color="auto"/>
      </w:divBdr>
    </w:div>
    <w:div w:id="1696689788">
      <w:bodyDiv w:val="1"/>
      <w:marLeft w:val="0"/>
      <w:marRight w:val="0"/>
      <w:marTop w:val="0"/>
      <w:marBottom w:val="0"/>
      <w:divBdr>
        <w:top w:val="none" w:sz="0" w:space="0" w:color="auto"/>
        <w:left w:val="none" w:sz="0" w:space="0" w:color="auto"/>
        <w:bottom w:val="none" w:sz="0" w:space="0" w:color="auto"/>
        <w:right w:val="none" w:sz="0" w:space="0" w:color="auto"/>
      </w:divBdr>
    </w:div>
    <w:div w:id="1698967355">
      <w:bodyDiv w:val="1"/>
      <w:marLeft w:val="0"/>
      <w:marRight w:val="0"/>
      <w:marTop w:val="0"/>
      <w:marBottom w:val="0"/>
      <w:divBdr>
        <w:top w:val="none" w:sz="0" w:space="0" w:color="auto"/>
        <w:left w:val="none" w:sz="0" w:space="0" w:color="auto"/>
        <w:bottom w:val="none" w:sz="0" w:space="0" w:color="auto"/>
        <w:right w:val="none" w:sz="0" w:space="0" w:color="auto"/>
      </w:divBdr>
    </w:div>
    <w:div w:id="1708413477">
      <w:bodyDiv w:val="1"/>
      <w:marLeft w:val="0"/>
      <w:marRight w:val="0"/>
      <w:marTop w:val="0"/>
      <w:marBottom w:val="0"/>
      <w:divBdr>
        <w:top w:val="none" w:sz="0" w:space="0" w:color="auto"/>
        <w:left w:val="none" w:sz="0" w:space="0" w:color="auto"/>
        <w:bottom w:val="none" w:sz="0" w:space="0" w:color="auto"/>
        <w:right w:val="none" w:sz="0" w:space="0" w:color="auto"/>
      </w:divBdr>
    </w:div>
    <w:div w:id="1714497244">
      <w:bodyDiv w:val="1"/>
      <w:marLeft w:val="0"/>
      <w:marRight w:val="0"/>
      <w:marTop w:val="0"/>
      <w:marBottom w:val="0"/>
      <w:divBdr>
        <w:top w:val="none" w:sz="0" w:space="0" w:color="auto"/>
        <w:left w:val="none" w:sz="0" w:space="0" w:color="auto"/>
        <w:bottom w:val="none" w:sz="0" w:space="0" w:color="auto"/>
        <w:right w:val="none" w:sz="0" w:space="0" w:color="auto"/>
      </w:divBdr>
    </w:div>
    <w:div w:id="1728413277">
      <w:bodyDiv w:val="1"/>
      <w:marLeft w:val="0"/>
      <w:marRight w:val="0"/>
      <w:marTop w:val="0"/>
      <w:marBottom w:val="0"/>
      <w:divBdr>
        <w:top w:val="none" w:sz="0" w:space="0" w:color="auto"/>
        <w:left w:val="none" w:sz="0" w:space="0" w:color="auto"/>
        <w:bottom w:val="none" w:sz="0" w:space="0" w:color="auto"/>
        <w:right w:val="none" w:sz="0" w:space="0" w:color="auto"/>
      </w:divBdr>
    </w:div>
    <w:div w:id="1729182073">
      <w:bodyDiv w:val="1"/>
      <w:marLeft w:val="0"/>
      <w:marRight w:val="0"/>
      <w:marTop w:val="0"/>
      <w:marBottom w:val="0"/>
      <w:divBdr>
        <w:top w:val="none" w:sz="0" w:space="0" w:color="auto"/>
        <w:left w:val="none" w:sz="0" w:space="0" w:color="auto"/>
        <w:bottom w:val="none" w:sz="0" w:space="0" w:color="auto"/>
        <w:right w:val="none" w:sz="0" w:space="0" w:color="auto"/>
      </w:divBdr>
    </w:div>
    <w:div w:id="1733965590">
      <w:bodyDiv w:val="1"/>
      <w:marLeft w:val="0"/>
      <w:marRight w:val="0"/>
      <w:marTop w:val="0"/>
      <w:marBottom w:val="0"/>
      <w:divBdr>
        <w:top w:val="none" w:sz="0" w:space="0" w:color="auto"/>
        <w:left w:val="none" w:sz="0" w:space="0" w:color="auto"/>
        <w:bottom w:val="none" w:sz="0" w:space="0" w:color="auto"/>
        <w:right w:val="none" w:sz="0" w:space="0" w:color="auto"/>
      </w:divBdr>
    </w:div>
    <w:div w:id="1735272420">
      <w:bodyDiv w:val="1"/>
      <w:marLeft w:val="0"/>
      <w:marRight w:val="0"/>
      <w:marTop w:val="0"/>
      <w:marBottom w:val="0"/>
      <w:divBdr>
        <w:top w:val="none" w:sz="0" w:space="0" w:color="auto"/>
        <w:left w:val="none" w:sz="0" w:space="0" w:color="auto"/>
        <w:bottom w:val="none" w:sz="0" w:space="0" w:color="auto"/>
        <w:right w:val="none" w:sz="0" w:space="0" w:color="auto"/>
      </w:divBdr>
    </w:div>
    <w:div w:id="1740249037">
      <w:bodyDiv w:val="1"/>
      <w:marLeft w:val="0"/>
      <w:marRight w:val="0"/>
      <w:marTop w:val="0"/>
      <w:marBottom w:val="0"/>
      <w:divBdr>
        <w:top w:val="none" w:sz="0" w:space="0" w:color="auto"/>
        <w:left w:val="none" w:sz="0" w:space="0" w:color="auto"/>
        <w:bottom w:val="none" w:sz="0" w:space="0" w:color="auto"/>
        <w:right w:val="none" w:sz="0" w:space="0" w:color="auto"/>
      </w:divBdr>
    </w:div>
    <w:div w:id="1751809050">
      <w:bodyDiv w:val="1"/>
      <w:marLeft w:val="0"/>
      <w:marRight w:val="0"/>
      <w:marTop w:val="0"/>
      <w:marBottom w:val="0"/>
      <w:divBdr>
        <w:top w:val="none" w:sz="0" w:space="0" w:color="auto"/>
        <w:left w:val="none" w:sz="0" w:space="0" w:color="auto"/>
        <w:bottom w:val="none" w:sz="0" w:space="0" w:color="auto"/>
        <w:right w:val="none" w:sz="0" w:space="0" w:color="auto"/>
      </w:divBdr>
    </w:div>
    <w:div w:id="1766919492">
      <w:bodyDiv w:val="1"/>
      <w:marLeft w:val="0"/>
      <w:marRight w:val="0"/>
      <w:marTop w:val="0"/>
      <w:marBottom w:val="0"/>
      <w:divBdr>
        <w:top w:val="none" w:sz="0" w:space="0" w:color="auto"/>
        <w:left w:val="none" w:sz="0" w:space="0" w:color="auto"/>
        <w:bottom w:val="none" w:sz="0" w:space="0" w:color="auto"/>
        <w:right w:val="none" w:sz="0" w:space="0" w:color="auto"/>
      </w:divBdr>
    </w:div>
    <w:div w:id="1782646529">
      <w:bodyDiv w:val="1"/>
      <w:marLeft w:val="0"/>
      <w:marRight w:val="0"/>
      <w:marTop w:val="0"/>
      <w:marBottom w:val="0"/>
      <w:divBdr>
        <w:top w:val="none" w:sz="0" w:space="0" w:color="auto"/>
        <w:left w:val="none" w:sz="0" w:space="0" w:color="auto"/>
        <w:bottom w:val="none" w:sz="0" w:space="0" w:color="auto"/>
        <w:right w:val="none" w:sz="0" w:space="0" w:color="auto"/>
      </w:divBdr>
    </w:div>
    <w:div w:id="1784231285">
      <w:bodyDiv w:val="1"/>
      <w:marLeft w:val="0"/>
      <w:marRight w:val="0"/>
      <w:marTop w:val="0"/>
      <w:marBottom w:val="0"/>
      <w:divBdr>
        <w:top w:val="none" w:sz="0" w:space="0" w:color="auto"/>
        <w:left w:val="none" w:sz="0" w:space="0" w:color="auto"/>
        <w:bottom w:val="none" w:sz="0" w:space="0" w:color="auto"/>
        <w:right w:val="none" w:sz="0" w:space="0" w:color="auto"/>
      </w:divBdr>
    </w:div>
    <w:div w:id="1793092757">
      <w:bodyDiv w:val="1"/>
      <w:marLeft w:val="0"/>
      <w:marRight w:val="0"/>
      <w:marTop w:val="0"/>
      <w:marBottom w:val="0"/>
      <w:divBdr>
        <w:top w:val="none" w:sz="0" w:space="0" w:color="auto"/>
        <w:left w:val="none" w:sz="0" w:space="0" w:color="auto"/>
        <w:bottom w:val="none" w:sz="0" w:space="0" w:color="auto"/>
        <w:right w:val="none" w:sz="0" w:space="0" w:color="auto"/>
      </w:divBdr>
    </w:div>
    <w:div w:id="1801456512">
      <w:bodyDiv w:val="1"/>
      <w:marLeft w:val="0"/>
      <w:marRight w:val="0"/>
      <w:marTop w:val="0"/>
      <w:marBottom w:val="0"/>
      <w:divBdr>
        <w:top w:val="none" w:sz="0" w:space="0" w:color="auto"/>
        <w:left w:val="none" w:sz="0" w:space="0" w:color="auto"/>
        <w:bottom w:val="none" w:sz="0" w:space="0" w:color="auto"/>
        <w:right w:val="none" w:sz="0" w:space="0" w:color="auto"/>
      </w:divBdr>
    </w:div>
    <w:div w:id="1803188256">
      <w:bodyDiv w:val="1"/>
      <w:marLeft w:val="0"/>
      <w:marRight w:val="0"/>
      <w:marTop w:val="0"/>
      <w:marBottom w:val="0"/>
      <w:divBdr>
        <w:top w:val="none" w:sz="0" w:space="0" w:color="auto"/>
        <w:left w:val="none" w:sz="0" w:space="0" w:color="auto"/>
        <w:bottom w:val="none" w:sz="0" w:space="0" w:color="auto"/>
        <w:right w:val="none" w:sz="0" w:space="0" w:color="auto"/>
      </w:divBdr>
    </w:div>
    <w:div w:id="1817793970">
      <w:bodyDiv w:val="1"/>
      <w:marLeft w:val="0"/>
      <w:marRight w:val="0"/>
      <w:marTop w:val="0"/>
      <w:marBottom w:val="0"/>
      <w:divBdr>
        <w:top w:val="none" w:sz="0" w:space="0" w:color="auto"/>
        <w:left w:val="none" w:sz="0" w:space="0" w:color="auto"/>
        <w:bottom w:val="none" w:sz="0" w:space="0" w:color="auto"/>
        <w:right w:val="none" w:sz="0" w:space="0" w:color="auto"/>
      </w:divBdr>
    </w:div>
    <w:div w:id="1821072162">
      <w:bodyDiv w:val="1"/>
      <w:marLeft w:val="0"/>
      <w:marRight w:val="0"/>
      <w:marTop w:val="0"/>
      <w:marBottom w:val="0"/>
      <w:divBdr>
        <w:top w:val="none" w:sz="0" w:space="0" w:color="auto"/>
        <w:left w:val="none" w:sz="0" w:space="0" w:color="auto"/>
        <w:bottom w:val="none" w:sz="0" w:space="0" w:color="auto"/>
        <w:right w:val="none" w:sz="0" w:space="0" w:color="auto"/>
      </w:divBdr>
      <w:divsChild>
        <w:div w:id="672026102">
          <w:marLeft w:val="0"/>
          <w:marRight w:val="0"/>
          <w:marTop w:val="0"/>
          <w:marBottom w:val="0"/>
          <w:divBdr>
            <w:top w:val="none" w:sz="0" w:space="0" w:color="auto"/>
            <w:left w:val="none" w:sz="0" w:space="0" w:color="auto"/>
            <w:bottom w:val="none" w:sz="0" w:space="0" w:color="auto"/>
            <w:right w:val="none" w:sz="0" w:space="0" w:color="auto"/>
          </w:divBdr>
          <w:divsChild>
            <w:div w:id="1587961086">
              <w:marLeft w:val="0"/>
              <w:marRight w:val="0"/>
              <w:marTop w:val="0"/>
              <w:marBottom w:val="0"/>
              <w:divBdr>
                <w:top w:val="none" w:sz="0" w:space="0" w:color="auto"/>
                <w:left w:val="none" w:sz="0" w:space="0" w:color="auto"/>
                <w:bottom w:val="none" w:sz="0" w:space="0" w:color="auto"/>
                <w:right w:val="none" w:sz="0" w:space="0" w:color="auto"/>
              </w:divBdr>
              <w:divsChild>
                <w:div w:id="951597910">
                  <w:marLeft w:val="0"/>
                  <w:marRight w:val="0"/>
                  <w:marTop w:val="0"/>
                  <w:marBottom w:val="0"/>
                  <w:divBdr>
                    <w:top w:val="none" w:sz="0" w:space="0" w:color="auto"/>
                    <w:left w:val="none" w:sz="0" w:space="0" w:color="auto"/>
                    <w:bottom w:val="none" w:sz="0" w:space="0" w:color="auto"/>
                    <w:right w:val="none" w:sz="0" w:space="0" w:color="auto"/>
                  </w:divBdr>
                  <w:divsChild>
                    <w:div w:id="21021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505200">
      <w:bodyDiv w:val="1"/>
      <w:marLeft w:val="0"/>
      <w:marRight w:val="0"/>
      <w:marTop w:val="0"/>
      <w:marBottom w:val="0"/>
      <w:divBdr>
        <w:top w:val="none" w:sz="0" w:space="0" w:color="auto"/>
        <w:left w:val="none" w:sz="0" w:space="0" w:color="auto"/>
        <w:bottom w:val="none" w:sz="0" w:space="0" w:color="auto"/>
        <w:right w:val="none" w:sz="0" w:space="0" w:color="auto"/>
      </w:divBdr>
    </w:div>
    <w:div w:id="1844975045">
      <w:bodyDiv w:val="1"/>
      <w:marLeft w:val="0"/>
      <w:marRight w:val="0"/>
      <w:marTop w:val="0"/>
      <w:marBottom w:val="0"/>
      <w:divBdr>
        <w:top w:val="none" w:sz="0" w:space="0" w:color="auto"/>
        <w:left w:val="none" w:sz="0" w:space="0" w:color="auto"/>
        <w:bottom w:val="none" w:sz="0" w:space="0" w:color="auto"/>
        <w:right w:val="none" w:sz="0" w:space="0" w:color="auto"/>
      </w:divBdr>
    </w:div>
    <w:div w:id="1852914014">
      <w:bodyDiv w:val="1"/>
      <w:marLeft w:val="0"/>
      <w:marRight w:val="0"/>
      <w:marTop w:val="0"/>
      <w:marBottom w:val="0"/>
      <w:divBdr>
        <w:top w:val="none" w:sz="0" w:space="0" w:color="auto"/>
        <w:left w:val="none" w:sz="0" w:space="0" w:color="auto"/>
        <w:bottom w:val="none" w:sz="0" w:space="0" w:color="auto"/>
        <w:right w:val="none" w:sz="0" w:space="0" w:color="auto"/>
      </w:divBdr>
    </w:div>
    <w:div w:id="1855997956">
      <w:bodyDiv w:val="1"/>
      <w:marLeft w:val="0"/>
      <w:marRight w:val="0"/>
      <w:marTop w:val="0"/>
      <w:marBottom w:val="0"/>
      <w:divBdr>
        <w:top w:val="none" w:sz="0" w:space="0" w:color="auto"/>
        <w:left w:val="none" w:sz="0" w:space="0" w:color="auto"/>
        <w:bottom w:val="none" w:sz="0" w:space="0" w:color="auto"/>
        <w:right w:val="none" w:sz="0" w:space="0" w:color="auto"/>
      </w:divBdr>
    </w:div>
    <w:div w:id="1859924450">
      <w:bodyDiv w:val="1"/>
      <w:marLeft w:val="0"/>
      <w:marRight w:val="0"/>
      <w:marTop w:val="0"/>
      <w:marBottom w:val="0"/>
      <w:divBdr>
        <w:top w:val="none" w:sz="0" w:space="0" w:color="auto"/>
        <w:left w:val="none" w:sz="0" w:space="0" w:color="auto"/>
        <w:bottom w:val="none" w:sz="0" w:space="0" w:color="auto"/>
        <w:right w:val="none" w:sz="0" w:space="0" w:color="auto"/>
      </w:divBdr>
      <w:divsChild>
        <w:div w:id="1344170014">
          <w:marLeft w:val="0"/>
          <w:marRight w:val="0"/>
          <w:marTop w:val="0"/>
          <w:marBottom w:val="0"/>
          <w:divBdr>
            <w:top w:val="none" w:sz="0" w:space="0" w:color="auto"/>
            <w:left w:val="none" w:sz="0" w:space="0" w:color="auto"/>
            <w:bottom w:val="none" w:sz="0" w:space="0" w:color="auto"/>
            <w:right w:val="none" w:sz="0" w:space="0" w:color="auto"/>
          </w:divBdr>
          <w:divsChild>
            <w:div w:id="735053009">
              <w:marLeft w:val="0"/>
              <w:marRight w:val="0"/>
              <w:marTop w:val="0"/>
              <w:marBottom w:val="0"/>
              <w:divBdr>
                <w:top w:val="none" w:sz="0" w:space="0" w:color="auto"/>
                <w:left w:val="none" w:sz="0" w:space="0" w:color="auto"/>
                <w:bottom w:val="none" w:sz="0" w:space="0" w:color="auto"/>
                <w:right w:val="none" w:sz="0" w:space="0" w:color="auto"/>
              </w:divBdr>
              <w:divsChild>
                <w:div w:id="275601762">
                  <w:marLeft w:val="0"/>
                  <w:marRight w:val="0"/>
                  <w:marTop w:val="0"/>
                  <w:marBottom w:val="0"/>
                  <w:divBdr>
                    <w:top w:val="none" w:sz="0" w:space="0" w:color="auto"/>
                    <w:left w:val="none" w:sz="0" w:space="0" w:color="auto"/>
                    <w:bottom w:val="none" w:sz="0" w:space="0" w:color="auto"/>
                    <w:right w:val="none" w:sz="0" w:space="0" w:color="auto"/>
                  </w:divBdr>
                  <w:divsChild>
                    <w:div w:id="9156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875830">
      <w:bodyDiv w:val="1"/>
      <w:marLeft w:val="0"/>
      <w:marRight w:val="0"/>
      <w:marTop w:val="0"/>
      <w:marBottom w:val="0"/>
      <w:divBdr>
        <w:top w:val="none" w:sz="0" w:space="0" w:color="auto"/>
        <w:left w:val="none" w:sz="0" w:space="0" w:color="auto"/>
        <w:bottom w:val="none" w:sz="0" w:space="0" w:color="auto"/>
        <w:right w:val="none" w:sz="0" w:space="0" w:color="auto"/>
      </w:divBdr>
    </w:div>
    <w:div w:id="1890534737">
      <w:bodyDiv w:val="1"/>
      <w:marLeft w:val="0"/>
      <w:marRight w:val="0"/>
      <w:marTop w:val="0"/>
      <w:marBottom w:val="0"/>
      <w:divBdr>
        <w:top w:val="none" w:sz="0" w:space="0" w:color="auto"/>
        <w:left w:val="none" w:sz="0" w:space="0" w:color="auto"/>
        <w:bottom w:val="none" w:sz="0" w:space="0" w:color="auto"/>
        <w:right w:val="none" w:sz="0" w:space="0" w:color="auto"/>
      </w:divBdr>
    </w:div>
    <w:div w:id="1893074997">
      <w:bodyDiv w:val="1"/>
      <w:marLeft w:val="0"/>
      <w:marRight w:val="0"/>
      <w:marTop w:val="0"/>
      <w:marBottom w:val="0"/>
      <w:divBdr>
        <w:top w:val="none" w:sz="0" w:space="0" w:color="auto"/>
        <w:left w:val="none" w:sz="0" w:space="0" w:color="auto"/>
        <w:bottom w:val="none" w:sz="0" w:space="0" w:color="auto"/>
        <w:right w:val="none" w:sz="0" w:space="0" w:color="auto"/>
      </w:divBdr>
    </w:div>
    <w:div w:id="1897202366">
      <w:bodyDiv w:val="1"/>
      <w:marLeft w:val="0"/>
      <w:marRight w:val="0"/>
      <w:marTop w:val="0"/>
      <w:marBottom w:val="0"/>
      <w:divBdr>
        <w:top w:val="none" w:sz="0" w:space="0" w:color="auto"/>
        <w:left w:val="none" w:sz="0" w:space="0" w:color="auto"/>
        <w:bottom w:val="none" w:sz="0" w:space="0" w:color="auto"/>
        <w:right w:val="none" w:sz="0" w:space="0" w:color="auto"/>
      </w:divBdr>
    </w:div>
    <w:div w:id="1902053173">
      <w:bodyDiv w:val="1"/>
      <w:marLeft w:val="0"/>
      <w:marRight w:val="0"/>
      <w:marTop w:val="0"/>
      <w:marBottom w:val="0"/>
      <w:divBdr>
        <w:top w:val="none" w:sz="0" w:space="0" w:color="auto"/>
        <w:left w:val="none" w:sz="0" w:space="0" w:color="auto"/>
        <w:bottom w:val="none" w:sz="0" w:space="0" w:color="auto"/>
        <w:right w:val="none" w:sz="0" w:space="0" w:color="auto"/>
      </w:divBdr>
    </w:div>
    <w:div w:id="1904828635">
      <w:bodyDiv w:val="1"/>
      <w:marLeft w:val="0"/>
      <w:marRight w:val="0"/>
      <w:marTop w:val="0"/>
      <w:marBottom w:val="0"/>
      <w:divBdr>
        <w:top w:val="none" w:sz="0" w:space="0" w:color="auto"/>
        <w:left w:val="none" w:sz="0" w:space="0" w:color="auto"/>
        <w:bottom w:val="none" w:sz="0" w:space="0" w:color="auto"/>
        <w:right w:val="none" w:sz="0" w:space="0" w:color="auto"/>
      </w:divBdr>
    </w:div>
    <w:div w:id="1917282709">
      <w:bodyDiv w:val="1"/>
      <w:marLeft w:val="0"/>
      <w:marRight w:val="0"/>
      <w:marTop w:val="0"/>
      <w:marBottom w:val="0"/>
      <w:divBdr>
        <w:top w:val="none" w:sz="0" w:space="0" w:color="auto"/>
        <w:left w:val="none" w:sz="0" w:space="0" w:color="auto"/>
        <w:bottom w:val="none" w:sz="0" w:space="0" w:color="auto"/>
        <w:right w:val="none" w:sz="0" w:space="0" w:color="auto"/>
      </w:divBdr>
    </w:div>
    <w:div w:id="1918635642">
      <w:bodyDiv w:val="1"/>
      <w:marLeft w:val="0"/>
      <w:marRight w:val="0"/>
      <w:marTop w:val="0"/>
      <w:marBottom w:val="0"/>
      <w:divBdr>
        <w:top w:val="none" w:sz="0" w:space="0" w:color="auto"/>
        <w:left w:val="none" w:sz="0" w:space="0" w:color="auto"/>
        <w:bottom w:val="none" w:sz="0" w:space="0" w:color="auto"/>
        <w:right w:val="none" w:sz="0" w:space="0" w:color="auto"/>
      </w:divBdr>
    </w:div>
    <w:div w:id="1928995791">
      <w:bodyDiv w:val="1"/>
      <w:marLeft w:val="0"/>
      <w:marRight w:val="0"/>
      <w:marTop w:val="0"/>
      <w:marBottom w:val="0"/>
      <w:divBdr>
        <w:top w:val="none" w:sz="0" w:space="0" w:color="auto"/>
        <w:left w:val="none" w:sz="0" w:space="0" w:color="auto"/>
        <w:bottom w:val="none" w:sz="0" w:space="0" w:color="auto"/>
        <w:right w:val="none" w:sz="0" w:space="0" w:color="auto"/>
      </w:divBdr>
    </w:div>
    <w:div w:id="1935018390">
      <w:bodyDiv w:val="1"/>
      <w:marLeft w:val="0"/>
      <w:marRight w:val="0"/>
      <w:marTop w:val="0"/>
      <w:marBottom w:val="0"/>
      <w:divBdr>
        <w:top w:val="none" w:sz="0" w:space="0" w:color="auto"/>
        <w:left w:val="none" w:sz="0" w:space="0" w:color="auto"/>
        <w:bottom w:val="none" w:sz="0" w:space="0" w:color="auto"/>
        <w:right w:val="none" w:sz="0" w:space="0" w:color="auto"/>
      </w:divBdr>
    </w:div>
    <w:div w:id="1936669630">
      <w:bodyDiv w:val="1"/>
      <w:marLeft w:val="0"/>
      <w:marRight w:val="0"/>
      <w:marTop w:val="0"/>
      <w:marBottom w:val="0"/>
      <w:divBdr>
        <w:top w:val="none" w:sz="0" w:space="0" w:color="auto"/>
        <w:left w:val="none" w:sz="0" w:space="0" w:color="auto"/>
        <w:bottom w:val="none" w:sz="0" w:space="0" w:color="auto"/>
        <w:right w:val="none" w:sz="0" w:space="0" w:color="auto"/>
      </w:divBdr>
    </w:div>
    <w:div w:id="1944533718">
      <w:bodyDiv w:val="1"/>
      <w:marLeft w:val="0"/>
      <w:marRight w:val="0"/>
      <w:marTop w:val="0"/>
      <w:marBottom w:val="0"/>
      <w:divBdr>
        <w:top w:val="none" w:sz="0" w:space="0" w:color="auto"/>
        <w:left w:val="none" w:sz="0" w:space="0" w:color="auto"/>
        <w:bottom w:val="none" w:sz="0" w:space="0" w:color="auto"/>
        <w:right w:val="none" w:sz="0" w:space="0" w:color="auto"/>
      </w:divBdr>
    </w:div>
    <w:div w:id="1951280629">
      <w:bodyDiv w:val="1"/>
      <w:marLeft w:val="0"/>
      <w:marRight w:val="0"/>
      <w:marTop w:val="0"/>
      <w:marBottom w:val="0"/>
      <w:divBdr>
        <w:top w:val="none" w:sz="0" w:space="0" w:color="auto"/>
        <w:left w:val="none" w:sz="0" w:space="0" w:color="auto"/>
        <w:bottom w:val="none" w:sz="0" w:space="0" w:color="auto"/>
        <w:right w:val="none" w:sz="0" w:space="0" w:color="auto"/>
      </w:divBdr>
    </w:div>
    <w:div w:id="1955670612">
      <w:bodyDiv w:val="1"/>
      <w:marLeft w:val="0"/>
      <w:marRight w:val="0"/>
      <w:marTop w:val="0"/>
      <w:marBottom w:val="0"/>
      <w:divBdr>
        <w:top w:val="none" w:sz="0" w:space="0" w:color="auto"/>
        <w:left w:val="none" w:sz="0" w:space="0" w:color="auto"/>
        <w:bottom w:val="none" w:sz="0" w:space="0" w:color="auto"/>
        <w:right w:val="none" w:sz="0" w:space="0" w:color="auto"/>
      </w:divBdr>
    </w:div>
    <w:div w:id="1958414200">
      <w:bodyDiv w:val="1"/>
      <w:marLeft w:val="0"/>
      <w:marRight w:val="0"/>
      <w:marTop w:val="0"/>
      <w:marBottom w:val="0"/>
      <w:divBdr>
        <w:top w:val="none" w:sz="0" w:space="0" w:color="auto"/>
        <w:left w:val="none" w:sz="0" w:space="0" w:color="auto"/>
        <w:bottom w:val="none" w:sz="0" w:space="0" w:color="auto"/>
        <w:right w:val="none" w:sz="0" w:space="0" w:color="auto"/>
      </w:divBdr>
    </w:div>
    <w:div w:id="1990671486">
      <w:bodyDiv w:val="1"/>
      <w:marLeft w:val="0"/>
      <w:marRight w:val="0"/>
      <w:marTop w:val="0"/>
      <w:marBottom w:val="0"/>
      <w:divBdr>
        <w:top w:val="none" w:sz="0" w:space="0" w:color="auto"/>
        <w:left w:val="none" w:sz="0" w:space="0" w:color="auto"/>
        <w:bottom w:val="none" w:sz="0" w:space="0" w:color="auto"/>
        <w:right w:val="none" w:sz="0" w:space="0" w:color="auto"/>
      </w:divBdr>
      <w:divsChild>
        <w:div w:id="2101951498">
          <w:marLeft w:val="0"/>
          <w:marRight w:val="0"/>
          <w:marTop w:val="0"/>
          <w:marBottom w:val="0"/>
          <w:divBdr>
            <w:top w:val="none" w:sz="0" w:space="0" w:color="auto"/>
            <w:left w:val="none" w:sz="0" w:space="0" w:color="auto"/>
            <w:bottom w:val="none" w:sz="0" w:space="0" w:color="auto"/>
            <w:right w:val="none" w:sz="0" w:space="0" w:color="auto"/>
          </w:divBdr>
          <w:divsChild>
            <w:div w:id="303463503">
              <w:marLeft w:val="0"/>
              <w:marRight w:val="0"/>
              <w:marTop w:val="0"/>
              <w:marBottom w:val="0"/>
              <w:divBdr>
                <w:top w:val="none" w:sz="0" w:space="0" w:color="auto"/>
                <w:left w:val="none" w:sz="0" w:space="0" w:color="auto"/>
                <w:bottom w:val="none" w:sz="0" w:space="0" w:color="auto"/>
                <w:right w:val="none" w:sz="0" w:space="0" w:color="auto"/>
              </w:divBdr>
              <w:divsChild>
                <w:div w:id="1557233296">
                  <w:marLeft w:val="0"/>
                  <w:marRight w:val="0"/>
                  <w:marTop w:val="0"/>
                  <w:marBottom w:val="0"/>
                  <w:divBdr>
                    <w:top w:val="none" w:sz="0" w:space="0" w:color="auto"/>
                    <w:left w:val="none" w:sz="0" w:space="0" w:color="auto"/>
                    <w:bottom w:val="none" w:sz="0" w:space="0" w:color="auto"/>
                    <w:right w:val="none" w:sz="0" w:space="0" w:color="auto"/>
                  </w:divBdr>
                  <w:divsChild>
                    <w:div w:id="11291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684708">
      <w:bodyDiv w:val="1"/>
      <w:marLeft w:val="0"/>
      <w:marRight w:val="0"/>
      <w:marTop w:val="0"/>
      <w:marBottom w:val="0"/>
      <w:divBdr>
        <w:top w:val="none" w:sz="0" w:space="0" w:color="auto"/>
        <w:left w:val="none" w:sz="0" w:space="0" w:color="auto"/>
        <w:bottom w:val="none" w:sz="0" w:space="0" w:color="auto"/>
        <w:right w:val="none" w:sz="0" w:space="0" w:color="auto"/>
      </w:divBdr>
    </w:div>
    <w:div w:id="2004431219">
      <w:bodyDiv w:val="1"/>
      <w:marLeft w:val="0"/>
      <w:marRight w:val="0"/>
      <w:marTop w:val="0"/>
      <w:marBottom w:val="0"/>
      <w:divBdr>
        <w:top w:val="none" w:sz="0" w:space="0" w:color="auto"/>
        <w:left w:val="none" w:sz="0" w:space="0" w:color="auto"/>
        <w:bottom w:val="none" w:sz="0" w:space="0" w:color="auto"/>
        <w:right w:val="none" w:sz="0" w:space="0" w:color="auto"/>
      </w:divBdr>
    </w:div>
    <w:div w:id="2004550560">
      <w:bodyDiv w:val="1"/>
      <w:marLeft w:val="0"/>
      <w:marRight w:val="0"/>
      <w:marTop w:val="0"/>
      <w:marBottom w:val="0"/>
      <w:divBdr>
        <w:top w:val="none" w:sz="0" w:space="0" w:color="auto"/>
        <w:left w:val="none" w:sz="0" w:space="0" w:color="auto"/>
        <w:bottom w:val="none" w:sz="0" w:space="0" w:color="auto"/>
        <w:right w:val="none" w:sz="0" w:space="0" w:color="auto"/>
      </w:divBdr>
    </w:div>
    <w:div w:id="2013726735">
      <w:bodyDiv w:val="1"/>
      <w:marLeft w:val="0"/>
      <w:marRight w:val="0"/>
      <w:marTop w:val="0"/>
      <w:marBottom w:val="0"/>
      <w:divBdr>
        <w:top w:val="none" w:sz="0" w:space="0" w:color="auto"/>
        <w:left w:val="none" w:sz="0" w:space="0" w:color="auto"/>
        <w:bottom w:val="none" w:sz="0" w:space="0" w:color="auto"/>
        <w:right w:val="none" w:sz="0" w:space="0" w:color="auto"/>
      </w:divBdr>
    </w:div>
    <w:div w:id="2024626419">
      <w:bodyDiv w:val="1"/>
      <w:marLeft w:val="0"/>
      <w:marRight w:val="0"/>
      <w:marTop w:val="0"/>
      <w:marBottom w:val="0"/>
      <w:divBdr>
        <w:top w:val="none" w:sz="0" w:space="0" w:color="auto"/>
        <w:left w:val="none" w:sz="0" w:space="0" w:color="auto"/>
        <w:bottom w:val="none" w:sz="0" w:space="0" w:color="auto"/>
        <w:right w:val="none" w:sz="0" w:space="0" w:color="auto"/>
      </w:divBdr>
    </w:div>
    <w:div w:id="2026637017">
      <w:bodyDiv w:val="1"/>
      <w:marLeft w:val="0"/>
      <w:marRight w:val="0"/>
      <w:marTop w:val="0"/>
      <w:marBottom w:val="0"/>
      <w:divBdr>
        <w:top w:val="none" w:sz="0" w:space="0" w:color="auto"/>
        <w:left w:val="none" w:sz="0" w:space="0" w:color="auto"/>
        <w:bottom w:val="none" w:sz="0" w:space="0" w:color="auto"/>
        <w:right w:val="none" w:sz="0" w:space="0" w:color="auto"/>
      </w:divBdr>
    </w:div>
    <w:div w:id="2028865552">
      <w:bodyDiv w:val="1"/>
      <w:marLeft w:val="0"/>
      <w:marRight w:val="0"/>
      <w:marTop w:val="0"/>
      <w:marBottom w:val="0"/>
      <w:divBdr>
        <w:top w:val="none" w:sz="0" w:space="0" w:color="auto"/>
        <w:left w:val="none" w:sz="0" w:space="0" w:color="auto"/>
        <w:bottom w:val="none" w:sz="0" w:space="0" w:color="auto"/>
        <w:right w:val="none" w:sz="0" w:space="0" w:color="auto"/>
      </w:divBdr>
    </w:div>
    <w:div w:id="2048289033">
      <w:bodyDiv w:val="1"/>
      <w:marLeft w:val="0"/>
      <w:marRight w:val="0"/>
      <w:marTop w:val="0"/>
      <w:marBottom w:val="0"/>
      <w:divBdr>
        <w:top w:val="none" w:sz="0" w:space="0" w:color="auto"/>
        <w:left w:val="none" w:sz="0" w:space="0" w:color="auto"/>
        <w:bottom w:val="none" w:sz="0" w:space="0" w:color="auto"/>
        <w:right w:val="none" w:sz="0" w:space="0" w:color="auto"/>
      </w:divBdr>
    </w:div>
    <w:div w:id="2048597538">
      <w:bodyDiv w:val="1"/>
      <w:marLeft w:val="0"/>
      <w:marRight w:val="0"/>
      <w:marTop w:val="0"/>
      <w:marBottom w:val="0"/>
      <w:divBdr>
        <w:top w:val="none" w:sz="0" w:space="0" w:color="auto"/>
        <w:left w:val="none" w:sz="0" w:space="0" w:color="auto"/>
        <w:bottom w:val="none" w:sz="0" w:space="0" w:color="auto"/>
        <w:right w:val="none" w:sz="0" w:space="0" w:color="auto"/>
      </w:divBdr>
    </w:div>
    <w:div w:id="2066752424">
      <w:bodyDiv w:val="1"/>
      <w:marLeft w:val="0"/>
      <w:marRight w:val="0"/>
      <w:marTop w:val="0"/>
      <w:marBottom w:val="0"/>
      <w:divBdr>
        <w:top w:val="none" w:sz="0" w:space="0" w:color="auto"/>
        <w:left w:val="none" w:sz="0" w:space="0" w:color="auto"/>
        <w:bottom w:val="none" w:sz="0" w:space="0" w:color="auto"/>
        <w:right w:val="none" w:sz="0" w:space="0" w:color="auto"/>
      </w:divBdr>
    </w:div>
    <w:div w:id="2082438882">
      <w:bodyDiv w:val="1"/>
      <w:marLeft w:val="0"/>
      <w:marRight w:val="0"/>
      <w:marTop w:val="0"/>
      <w:marBottom w:val="0"/>
      <w:divBdr>
        <w:top w:val="none" w:sz="0" w:space="0" w:color="auto"/>
        <w:left w:val="none" w:sz="0" w:space="0" w:color="auto"/>
        <w:bottom w:val="none" w:sz="0" w:space="0" w:color="auto"/>
        <w:right w:val="none" w:sz="0" w:space="0" w:color="auto"/>
      </w:divBdr>
    </w:div>
    <w:div w:id="2099447633">
      <w:bodyDiv w:val="1"/>
      <w:marLeft w:val="0"/>
      <w:marRight w:val="0"/>
      <w:marTop w:val="0"/>
      <w:marBottom w:val="0"/>
      <w:divBdr>
        <w:top w:val="none" w:sz="0" w:space="0" w:color="auto"/>
        <w:left w:val="none" w:sz="0" w:space="0" w:color="auto"/>
        <w:bottom w:val="none" w:sz="0" w:space="0" w:color="auto"/>
        <w:right w:val="none" w:sz="0" w:space="0" w:color="auto"/>
      </w:divBdr>
    </w:div>
    <w:div w:id="2101363302">
      <w:bodyDiv w:val="1"/>
      <w:marLeft w:val="0"/>
      <w:marRight w:val="0"/>
      <w:marTop w:val="0"/>
      <w:marBottom w:val="0"/>
      <w:divBdr>
        <w:top w:val="none" w:sz="0" w:space="0" w:color="auto"/>
        <w:left w:val="none" w:sz="0" w:space="0" w:color="auto"/>
        <w:bottom w:val="none" w:sz="0" w:space="0" w:color="auto"/>
        <w:right w:val="none" w:sz="0" w:space="0" w:color="auto"/>
      </w:divBdr>
    </w:div>
    <w:div w:id="2103986044">
      <w:bodyDiv w:val="1"/>
      <w:marLeft w:val="0"/>
      <w:marRight w:val="0"/>
      <w:marTop w:val="0"/>
      <w:marBottom w:val="0"/>
      <w:divBdr>
        <w:top w:val="none" w:sz="0" w:space="0" w:color="auto"/>
        <w:left w:val="none" w:sz="0" w:space="0" w:color="auto"/>
        <w:bottom w:val="none" w:sz="0" w:space="0" w:color="auto"/>
        <w:right w:val="none" w:sz="0" w:space="0" w:color="auto"/>
      </w:divBdr>
    </w:div>
    <w:div w:id="2104186167">
      <w:bodyDiv w:val="1"/>
      <w:marLeft w:val="0"/>
      <w:marRight w:val="0"/>
      <w:marTop w:val="0"/>
      <w:marBottom w:val="0"/>
      <w:divBdr>
        <w:top w:val="none" w:sz="0" w:space="0" w:color="auto"/>
        <w:left w:val="none" w:sz="0" w:space="0" w:color="auto"/>
        <w:bottom w:val="none" w:sz="0" w:space="0" w:color="auto"/>
        <w:right w:val="none" w:sz="0" w:space="0" w:color="auto"/>
      </w:divBdr>
    </w:div>
    <w:div w:id="2117947512">
      <w:bodyDiv w:val="1"/>
      <w:marLeft w:val="0"/>
      <w:marRight w:val="0"/>
      <w:marTop w:val="0"/>
      <w:marBottom w:val="0"/>
      <w:divBdr>
        <w:top w:val="none" w:sz="0" w:space="0" w:color="auto"/>
        <w:left w:val="none" w:sz="0" w:space="0" w:color="auto"/>
        <w:bottom w:val="none" w:sz="0" w:space="0" w:color="auto"/>
        <w:right w:val="none" w:sz="0" w:space="0" w:color="auto"/>
      </w:divBdr>
    </w:div>
    <w:div w:id="2141722903">
      <w:bodyDiv w:val="1"/>
      <w:marLeft w:val="0"/>
      <w:marRight w:val="0"/>
      <w:marTop w:val="0"/>
      <w:marBottom w:val="0"/>
      <w:divBdr>
        <w:top w:val="none" w:sz="0" w:space="0" w:color="auto"/>
        <w:left w:val="none" w:sz="0" w:space="0" w:color="auto"/>
        <w:bottom w:val="none" w:sz="0" w:space="0" w:color="auto"/>
        <w:right w:val="none" w:sz="0" w:space="0" w:color="auto"/>
      </w:divBdr>
    </w:div>
    <w:div w:id="2144274737">
      <w:bodyDiv w:val="1"/>
      <w:marLeft w:val="0"/>
      <w:marRight w:val="0"/>
      <w:marTop w:val="0"/>
      <w:marBottom w:val="0"/>
      <w:divBdr>
        <w:top w:val="none" w:sz="0" w:space="0" w:color="auto"/>
        <w:left w:val="none" w:sz="0" w:space="0" w:color="auto"/>
        <w:bottom w:val="none" w:sz="0" w:space="0" w:color="auto"/>
        <w:right w:val="none" w:sz="0" w:space="0" w:color="auto"/>
      </w:divBdr>
    </w:div>
    <w:div w:id="214581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ia.europa.eu/juris/document/document.jsf?text=%2522CONSUMIDORES%2522&amp;docid=266107&amp;pageIndex=0&amp;doclang=es&amp;mode=req&amp;dir=&amp;occ=first&amp;part=1&amp;cid=319625" TargetMode="External"/><Relationship Id="rId18" Type="http://schemas.openxmlformats.org/officeDocument/2006/relationships/hyperlink" Target="https://www.poderjudicial.es/search/AN/openDocument/2efcf92136d3d22aa0a8778d75e36f0d/20220727" TargetMode="External"/><Relationship Id="rId26" Type="http://schemas.openxmlformats.org/officeDocument/2006/relationships/hyperlink" Target="https://www.poderjudicial.es/search/AN/openDocument/f58a17eba7c2565ca0a8778d75e36f0d/20220727" TargetMode="External"/><Relationship Id="rId39" Type="http://schemas.openxmlformats.org/officeDocument/2006/relationships/hyperlink" Target="https://www.poderjudicial.es/search/AN/openDocument/816de39a1d7db6f4a0a8778d75e36f0d/20220727" TargetMode="External"/><Relationship Id="rId21" Type="http://schemas.openxmlformats.org/officeDocument/2006/relationships/hyperlink" Target="https://www.poderjudicial.es/search/AN/openDocument/c78d0df53a2d970da0a8778d75e36f0d/20220808" TargetMode="External"/><Relationship Id="rId34" Type="http://schemas.openxmlformats.org/officeDocument/2006/relationships/hyperlink" Target="https://www.poderjudicial.es/search/AN/openDocument/8bee73b72b2c4ae3a0a8778d75e36f0d/20220727" TargetMode="External"/><Relationship Id="rId42" Type="http://schemas.openxmlformats.org/officeDocument/2006/relationships/hyperlink" Target="https://www.poderjudicial.es/search/AN/openDocument/3f9c5775df53913aa0a8778d75e36f0d/20221003" TargetMode="External"/><Relationship Id="rId47" Type="http://schemas.openxmlformats.org/officeDocument/2006/relationships/hyperlink" Target="https://www.poderjudicial.es/search/AN/openDocument/3cf560b67334bce6a0a8778d75e36f0d/20220928" TargetMode="External"/><Relationship Id="rId50" Type="http://schemas.openxmlformats.org/officeDocument/2006/relationships/hyperlink" Target="https://www.poderjudicial.es/search/AN/openDocument/3af4d90454cdf517a0a8778d75e36f0d/20220726" TargetMode="External"/><Relationship Id="rId55" Type="http://schemas.openxmlformats.org/officeDocument/2006/relationships/hyperlink" Target="https://www.poderjudicial.es/search/AN/openDocument/f1de8d44a8b5bb21a0a8778d75e36f0d/20221014"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ia.europa.eu/juris/document/document.jsf?text=%2522CONSUMIDORES%2522&amp;docid=266741&amp;pageIndex=0&amp;doclang=es&amp;mode=req&amp;dir=&amp;occ=first&amp;part=1&amp;cid=319625" TargetMode="External"/><Relationship Id="rId29" Type="http://schemas.openxmlformats.org/officeDocument/2006/relationships/hyperlink" Target="https://www.poderjudicial.es/search/contenidos.action" TargetMode="External"/><Relationship Id="rId11" Type="http://schemas.openxmlformats.org/officeDocument/2006/relationships/hyperlink" Target="https://curia.europa.eu/juris/document/document.jsf?text=%2522CONSUMIDORES%2522&amp;docid=265064&amp;pageIndex=0&amp;doclang=es&amp;mode=req&amp;dir=&amp;occ=first&amp;part=1&amp;cid=319625" TargetMode="External"/><Relationship Id="rId24" Type="http://schemas.openxmlformats.org/officeDocument/2006/relationships/hyperlink" Target="https://www.poderjudicial.es/search/AN/openDocument/96cf594bda8e437aa0a8778d75e36f0d/20221003" TargetMode="External"/><Relationship Id="rId32" Type="http://schemas.openxmlformats.org/officeDocument/2006/relationships/hyperlink" Target="https://www.poderjudicial.es/search/AN/openDocument/8d772611cd22f8e9a0a8778d75e36f0d/20220718" TargetMode="External"/><Relationship Id="rId37" Type="http://schemas.openxmlformats.org/officeDocument/2006/relationships/hyperlink" Target="https://www.poderjudicial.es/search/AN/openDocument/e967e09ffeb8c44aa0a8778d75e36f0d/20220808" TargetMode="External"/><Relationship Id="rId40" Type="http://schemas.openxmlformats.org/officeDocument/2006/relationships/hyperlink" Target="https://www.poderjudicial.es/search/AN/openDocument/24e137f4ae482806a0a8778d75e36f0d/20220727" TargetMode="External"/><Relationship Id="rId45" Type="http://schemas.openxmlformats.org/officeDocument/2006/relationships/hyperlink" Target="https://www.poderjudicial.es/search/AN/openDocument/f0661bce6dd35f85a0a8778d75e36f0d/20220926" TargetMode="External"/><Relationship Id="rId53" Type="http://schemas.openxmlformats.org/officeDocument/2006/relationships/hyperlink" Target="https://www.poderjudicial.es/search/AN/openDocument/762c0dbd99af23c2a0a8778d75e36f0d/20221019" TargetMode="External"/><Relationship Id="rId58" Type="http://schemas.openxmlformats.org/officeDocument/2006/relationships/hyperlink" Target="https://www.boe.es/boe/dias/2022/08/01/pdfs/BOE-A-2022-12862.pdf" TargetMode="External"/><Relationship Id="rId5" Type="http://schemas.openxmlformats.org/officeDocument/2006/relationships/webSettings" Target="webSettings.xml"/><Relationship Id="rId61" Type="http://schemas.openxmlformats.org/officeDocument/2006/relationships/hyperlink" Target="https://www.notariosyregistradores.com/web/resoluciones/por-meses/julio-2022-direccion-general-seguridad-juridica-y-fe-publica/" TargetMode="External"/><Relationship Id="rId19" Type="http://schemas.openxmlformats.org/officeDocument/2006/relationships/hyperlink" Target="https://www.poderjudicial.es/search/AN/openDocument/dc28d8e25fb30af6a0a8778d75e36f0d/20220808" TargetMode="External"/><Relationship Id="rId14" Type="http://schemas.openxmlformats.org/officeDocument/2006/relationships/hyperlink" Target="https://curia.europa.eu/juris/document/document.jsf?text=%2522CONSUMIDORES%2522&amp;docid=266563&amp;pageIndex=0&amp;doclang=es&amp;mode=req&amp;dir=&amp;occ=first&amp;part=1&amp;cid=319625" TargetMode="External"/><Relationship Id="rId22" Type="http://schemas.openxmlformats.org/officeDocument/2006/relationships/hyperlink" Target="https://www.poderjudicial.es/search/AN/openDocument/2b5a468963bf42b0a0a8778d75e36f0d/20220808" TargetMode="External"/><Relationship Id="rId27" Type="http://schemas.openxmlformats.org/officeDocument/2006/relationships/hyperlink" Target="https://www.poderjudicial.es/search/AN/openDocument/48bbec44c133409fa0a8778d75e36f0d/20220727" TargetMode="External"/><Relationship Id="rId30" Type="http://schemas.openxmlformats.org/officeDocument/2006/relationships/hyperlink" Target="https://www.poderjudicial.es/search/AN/openDocument/750c7715ddd45f05a0a8778d75e36f0d/20220727" TargetMode="External"/><Relationship Id="rId35" Type="http://schemas.openxmlformats.org/officeDocument/2006/relationships/hyperlink" Target="https://www.poderjudicial.es/search/AN/openDocument/7a7831b691845e01a0a8778d75e36f0d/20220808" TargetMode="External"/><Relationship Id="rId43" Type="http://schemas.openxmlformats.org/officeDocument/2006/relationships/hyperlink" Target="https://www.poderjudicial.es/search/AN/openDocument/39fa650b339bc87ea0a8778d75e36f0d/20221010" TargetMode="External"/><Relationship Id="rId48" Type="http://schemas.openxmlformats.org/officeDocument/2006/relationships/hyperlink" Target="https://www.poderjudicial.es/search/AN/openDocument/df049c34f5409e41a0a8778d75e36f0d/20220726" TargetMode="External"/><Relationship Id="rId56" Type="http://schemas.openxmlformats.org/officeDocument/2006/relationships/hyperlink" Target="https://www.poderjudicial.es/search/AN/openDocument/3f4483e7b9f7a74fa0a8778d75e36f0d/20221017"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poderjudicial.es/search/AN/openDocument/cf2ad615ba25602ea0a8778d75e36f0d/20221007" TargetMode="External"/><Relationship Id="rId3" Type="http://schemas.openxmlformats.org/officeDocument/2006/relationships/styles" Target="styles.xml"/><Relationship Id="rId12" Type="http://schemas.openxmlformats.org/officeDocument/2006/relationships/hyperlink" Target="https://curia.europa.eu/juris/document/document.jsf?text=%2522CONSUMIDORES%2522&amp;docid=266110&amp;pageIndex=0&amp;doclang=es&amp;mode=req&amp;dir=&amp;occ=first&amp;part=1&amp;cid=319625" TargetMode="External"/><Relationship Id="rId17" Type="http://schemas.openxmlformats.org/officeDocument/2006/relationships/hyperlink" Target="https://hj.tribunalconstitucional.es/es/Resolucion/Show/29068" TargetMode="External"/><Relationship Id="rId25" Type="http://schemas.openxmlformats.org/officeDocument/2006/relationships/hyperlink" Target="https://www.poderjudicial.es/search/AN/openDocument/5915eb97b6706d46a0a8778d75e36f0d/20220727" TargetMode="External"/><Relationship Id="rId33" Type="http://schemas.openxmlformats.org/officeDocument/2006/relationships/hyperlink" Target="https://www.poderjudicial.es/search/AN/openDocument/bb95634d16ed31b4a0a8778d75e36f0d/20220727" TargetMode="External"/><Relationship Id="rId38" Type="http://schemas.openxmlformats.org/officeDocument/2006/relationships/hyperlink" Target="https://www.poderjudicial.es/search/AN/openDocument/fa92554614c2d296a0a8778d75e36f0d/20221003" TargetMode="External"/><Relationship Id="rId46" Type="http://schemas.openxmlformats.org/officeDocument/2006/relationships/hyperlink" Target="https://www.poderjudicial.es/search/AN/openDocument/025e261cc1c6d0cca0a8778d75e36f0d/20220928" TargetMode="External"/><Relationship Id="rId59" Type="http://schemas.openxmlformats.org/officeDocument/2006/relationships/hyperlink" Target="https://www.notariosyregistradores.com/web/resoluciones/por-meses/julio-2022-direccion-general-seguridad-juridica-y-fe-publica/" TargetMode="External"/><Relationship Id="rId20" Type="http://schemas.openxmlformats.org/officeDocument/2006/relationships/hyperlink" Target="https://www.poderjudicial.es/search/AN/openDocument/9a0d072ceb0e832ea0a8778d75e36f0d/20220718" TargetMode="External"/><Relationship Id="rId41" Type="http://schemas.openxmlformats.org/officeDocument/2006/relationships/hyperlink" Target="https://www.poderjudicial.es/search/AN/openDocument/f2b5f64bb27ce557a0a8778d75e36f0d/20221003" TargetMode="External"/><Relationship Id="rId54" Type="http://schemas.openxmlformats.org/officeDocument/2006/relationships/hyperlink" Target="https://www.poderjudicial.es/search/AN/openDocument/c5a3ce1d9fd221faa0a8778d75e36f0d/20221019"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ia.europa.eu/juris/document/document.jsf?text=%2522CONSUMIDORES%2522&amp;docid=266561&amp;pageIndex=0&amp;doclang=es&amp;mode=req&amp;dir=&amp;occ=first&amp;part=1&amp;cid=319625" TargetMode="External"/><Relationship Id="rId23" Type="http://schemas.openxmlformats.org/officeDocument/2006/relationships/hyperlink" Target="https://www.poderjudicial.es/search/AN/openDocument/9c3c33a20ee1ea3ba0a8778d75e36f0d/20221003" TargetMode="External"/><Relationship Id="rId28" Type="http://schemas.openxmlformats.org/officeDocument/2006/relationships/hyperlink" Target="https://www.poderjudicial.es/search/AN/openDocument/3ab71dc3716bfa7ba0a8778d75e36f0d/20220727" TargetMode="External"/><Relationship Id="rId36" Type="http://schemas.openxmlformats.org/officeDocument/2006/relationships/hyperlink" Target="https://www.poderjudicial.es/search/AN/openDocument/721d7a57ea3d1ef4a0a8778d75e36f0d/20220808" TargetMode="External"/><Relationship Id="rId49" Type="http://schemas.openxmlformats.org/officeDocument/2006/relationships/hyperlink" Target="https://www.poderjudicial.es/search/AN/openDocument/2e70d53d082527aca0a8778d75e36f0d/20220726" TargetMode="External"/><Relationship Id="rId57" Type="http://schemas.openxmlformats.org/officeDocument/2006/relationships/hyperlink" Target="https://www.poderjudicial.es/search/AN/openDocument/477a632e7f86c623a0a8778d75e36f0d/20221014" TargetMode="External"/><Relationship Id="rId10" Type="http://schemas.openxmlformats.org/officeDocument/2006/relationships/hyperlink" Target="https://curia.europa.eu/juris/document/document.jsf?text=%2522CONSUMIDORES%2522&amp;docid=262935&amp;pageIndex=0&amp;doclang=ES&amp;mode=req&amp;dir=&amp;occ=first&amp;part=1&amp;cid=319625" TargetMode="External"/><Relationship Id="rId31" Type="http://schemas.openxmlformats.org/officeDocument/2006/relationships/hyperlink" Target="https://www.poderjudicial.es/search/AN/openDocument/794ec17f1ae2a577a0a8778d75e36f0d/20220727" TargetMode="External"/><Relationship Id="rId44" Type="http://schemas.openxmlformats.org/officeDocument/2006/relationships/hyperlink" Target="https://www.poderjudicial.es/search/AN/openDocument/3374cc3fc03e2364a0a8778d75e36f0d/20221010" TargetMode="External"/><Relationship Id="rId52" Type="http://schemas.openxmlformats.org/officeDocument/2006/relationships/hyperlink" Target="https://www.poderjudicial.es/search/AN/openDocument/49bc85841d1419fba0a8778d75e36f0d/20220929" TargetMode="External"/><Relationship Id="rId60" Type="http://schemas.openxmlformats.org/officeDocument/2006/relationships/hyperlink" Target="https://www.boe.es/boe/dias/2022/07/26/pdfs/BOE-A-2022-12443.pdf" TargetMode="External"/><Relationship Id="rId4" Type="http://schemas.openxmlformats.org/officeDocument/2006/relationships/settings" Target="settings.xml"/><Relationship Id="rId9" Type="http://schemas.openxmlformats.org/officeDocument/2006/relationships/hyperlink" Target="https://curia.europa.eu/juris/document/document.jsf?text=%2522CONSUMIDORES%2522&amp;docid=262431&amp;pageIndex=0&amp;doclang=es&amp;mode=req&amp;dir=&amp;occ=first&amp;part=1&amp;cid=31962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2B697-58E4-7442-BD9E-AA75D07CE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8</Pages>
  <Words>3835</Words>
  <Characters>21093</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Lucía Moreno García</cp:lastModifiedBy>
  <cp:revision>27</cp:revision>
  <cp:lastPrinted>2021-04-08T11:14:00Z</cp:lastPrinted>
  <dcterms:created xsi:type="dcterms:W3CDTF">2022-10-17T15:57:00Z</dcterms:created>
  <dcterms:modified xsi:type="dcterms:W3CDTF">2022-10-20T11:42:00Z</dcterms:modified>
</cp:coreProperties>
</file>