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5E329" w14:textId="77777777" w:rsidR="00656A1A" w:rsidRDefault="00DA30E6" w:rsidP="00656A1A">
      <w:pPr>
        <w:spacing w:beforeLines="100" w:before="240" w:afterLines="100" w:after="240"/>
        <w:jc w:val="center"/>
        <w:rPr>
          <w:noProof/>
          <w:lang w:eastAsia="es-ES"/>
        </w:rPr>
      </w:pPr>
      <w:r>
        <w:rPr>
          <w:noProof/>
          <w:lang w:eastAsia="es-ES"/>
        </w:rPr>
        <w:drawing>
          <wp:anchor distT="0" distB="0" distL="114300" distR="114300" simplePos="0" relativeHeight="251666432" behindDoc="1" locked="0" layoutInCell="1" allowOverlap="1" wp14:anchorId="471A90E6" wp14:editId="09F0C43D">
            <wp:simplePos x="0" y="0"/>
            <wp:positionH relativeFrom="column">
              <wp:posOffset>-1080135</wp:posOffset>
            </wp:positionH>
            <wp:positionV relativeFrom="paragraph">
              <wp:posOffset>-899795</wp:posOffset>
            </wp:positionV>
            <wp:extent cx="7560860" cy="10708052"/>
            <wp:effectExtent l="0" t="0" r="2540" b="0"/>
            <wp:wrapNone/>
            <wp:docPr id="2" name="Imagen 2" descr="C:\Users\Jesus\Downloads\Red and Grayscale Corporate Company Annual Re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Red and Grayscale Corporate Company Annual Report (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860" cy="107080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86F4B" w14:textId="77777777" w:rsidR="00D37249" w:rsidRDefault="00D37249" w:rsidP="00656A1A">
      <w:pPr>
        <w:spacing w:beforeLines="100" w:before="240" w:afterLines="100" w:after="240"/>
        <w:jc w:val="center"/>
        <w:rPr>
          <w:noProof/>
          <w:lang w:eastAsia="es-ES"/>
        </w:rPr>
      </w:pPr>
    </w:p>
    <w:p w14:paraId="5E524A17" w14:textId="77777777" w:rsidR="00D37249" w:rsidRDefault="00D37249" w:rsidP="00656A1A">
      <w:pPr>
        <w:spacing w:beforeLines="100" w:before="240" w:afterLines="100" w:after="240"/>
        <w:jc w:val="center"/>
        <w:rPr>
          <w:noProof/>
          <w:lang w:eastAsia="es-ES"/>
        </w:rPr>
      </w:pPr>
    </w:p>
    <w:p w14:paraId="15F136E4" w14:textId="77777777" w:rsidR="00D37249" w:rsidRDefault="00D37249" w:rsidP="00656A1A">
      <w:pPr>
        <w:spacing w:beforeLines="100" w:before="240" w:afterLines="100" w:after="240"/>
        <w:jc w:val="center"/>
        <w:rPr>
          <w:noProof/>
          <w:lang w:eastAsia="es-ES"/>
        </w:rPr>
      </w:pPr>
    </w:p>
    <w:p w14:paraId="61D376D5" w14:textId="77777777" w:rsidR="00D37249" w:rsidRDefault="00D37249" w:rsidP="00656A1A">
      <w:pPr>
        <w:spacing w:beforeLines="100" w:before="240" w:afterLines="100" w:after="240"/>
        <w:jc w:val="center"/>
        <w:rPr>
          <w:noProof/>
          <w:lang w:eastAsia="es-ES"/>
        </w:rPr>
      </w:pPr>
    </w:p>
    <w:p w14:paraId="0882B774" w14:textId="77777777" w:rsidR="00D37249" w:rsidRDefault="00D37249" w:rsidP="00656A1A">
      <w:pPr>
        <w:spacing w:beforeLines="100" w:before="240" w:afterLines="100" w:after="240"/>
        <w:jc w:val="center"/>
        <w:rPr>
          <w:noProof/>
          <w:lang w:eastAsia="es-ES"/>
        </w:rPr>
      </w:pPr>
    </w:p>
    <w:p w14:paraId="19C48A1A" w14:textId="77777777" w:rsidR="00D37249" w:rsidRDefault="00D37249" w:rsidP="00656A1A">
      <w:pPr>
        <w:spacing w:beforeLines="100" w:before="240" w:afterLines="100" w:after="240"/>
        <w:jc w:val="center"/>
        <w:rPr>
          <w:noProof/>
          <w:lang w:eastAsia="es-ES"/>
        </w:rPr>
      </w:pPr>
    </w:p>
    <w:p w14:paraId="23F2BA53" w14:textId="2997C5E5" w:rsidR="00D37249" w:rsidRDefault="000E1594"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59264" behindDoc="0" locked="0" layoutInCell="1" allowOverlap="1" wp14:anchorId="617D715D" wp14:editId="7F0903D5">
                <wp:simplePos x="0" y="0"/>
                <wp:positionH relativeFrom="column">
                  <wp:posOffset>-697865</wp:posOffset>
                </wp:positionH>
                <wp:positionV relativeFrom="paragraph">
                  <wp:posOffset>432958</wp:posOffset>
                </wp:positionV>
                <wp:extent cx="6236970" cy="5117465"/>
                <wp:effectExtent l="0" t="0" r="0" b="0"/>
                <wp:wrapNone/>
                <wp:docPr id="4" name="4 Cuadro de texto"/>
                <wp:cNvGraphicFramePr/>
                <a:graphic xmlns:a="http://schemas.openxmlformats.org/drawingml/2006/main">
                  <a:graphicData uri="http://schemas.microsoft.com/office/word/2010/wordprocessingShape">
                    <wps:wsp>
                      <wps:cNvSpPr txBox="1"/>
                      <wps:spPr>
                        <a:xfrm>
                          <a:off x="0" y="0"/>
                          <a:ext cx="6236970" cy="5117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6CF4" w14:textId="62BFB8FD" w:rsidR="00101C22" w:rsidRPr="0085768E" w:rsidRDefault="00C12370">
                            <w:pPr>
                              <w:rPr>
                                <w:b/>
                                <w:color w:val="FFFFFF" w:themeColor="background1"/>
                                <w:sz w:val="36"/>
                                <w:szCs w:val="36"/>
                              </w:rPr>
                            </w:pPr>
                            <w:r>
                              <w:rPr>
                                <w:b/>
                                <w:color w:val="FFFFFF" w:themeColor="background1"/>
                                <w:sz w:val="36"/>
                                <w:szCs w:val="36"/>
                              </w:rPr>
                              <w:t>Octubre a diciembre</w:t>
                            </w:r>
                            <w:r w:rsidR="007831A3">
                              <w:rPr>
                                <w:b/>
                                <w:color w:val="FFFFFF" w:themeColor="background1"/>
                                <w:sz w:val="36"/>
                                <w:szCs w:val="36"/>
                              </w:rPr>
                              <w:t xml:space="preserve"> de 2022</w:t>
                            </w:r>
                          </w:p>
                          <w:p w14:paraId="2EB7BD8F" w14:textId="77777777" w:rsidR="00101C22" w:rsidRPr="0085768E" w:rsidRDefault="00101C22">
                            <w:pPr>
                              <w:rPr>
                                <w:b/>
                                <w:color w:val="FFFFFF" w:themeColor="background1"/>
                                <w:sz w:val="36"/>
                                <w:szCs w:val="36"/>
                              </w:rPr>
                            </w:pPr>
                          </w:p>
                          <w:p w14:paraId="59EFE686" w14:textId="652795AA"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r>
                              <w:rPr>
                                <w:b/>
                                <w:color w:val="FFFFFF" w:themeColor="background1"/>
                                <w:sz w:val="72"/>
                                <w:szCs w:val="72"/>
                              </w:rPr>
                              <w:t>N</w:t>
                            </w:r>
                            <w:r w:rsidR="00944EC3">
                              <w:rPr>
                                <w:b/>
                                <w:color w:val="FFFFFF" w:themeColor="background1"/>
                                <w:sz w:val="72"/>
                                <w:szCs w:val="72"/>
                              </w:rPr>
                              <w:t>.</w:t>
                            </w:r>
                            <w:r>
                              <w:rPr>
                                <w:b/>
                                <w:color w:val="FFFFFF" w:themeColor="background1"/>
                                <w:sz w:val="72"/>
                                <w:szCs w:val="72"/>
                              </w:rPr>
                              <w:t xml:space="preserve">º </w:t>
                            </w:r>
                            <w:r w:rsidR="00C12370">
                              <w:rPr>
                                <w:b/>
                                <w:color w:val="FFFFFF" w:themeColor="background1"/>
                                <w:sz w:val="72"/>
                                <w:szCs w:val="72"/>
                              </w:rPr>
                              <w:t>8</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37BA1259" w14:textId="785EBEF7" w:rsidR="00101C22" w:rsidRDefault="00101C22" w:rsidP="005F1DFB">
                            <w:pPr>
                              <w:rPr>
                                <w:b/>
                              </w:rPr>
                            </w:pPr>
                          </w:p>
                          <w:p w14:paraId="65D0F361" w14:textId="77777777" w:rsidR="00101C22" w:rsidRPr="0085768E"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45479B29" w:rsidR="00101C22" w:rsidRPr="0085768E" w:rsidRDefault="00101C22" w:rsidP="005F1DFB">
                            <w:pPr>
                              <w:rPr>
                                <w:sz w:val="20"/>
                                <w:szCs w:val="20"/>
                              </w:rPr>
                            </w:pPr>
                            <w:r w:rsidRPr="0085768E">
                              <w:rPr>
                                <w:sz w:val="20"/>
                                <w:szCs w:val="20"/>
                              </w:rPr>
                              <w:t>Prof</w:t>
                            </w:r>
                            <w:r>
                              <w:rPr>
                                <w:sz w:val="20"/>
                                <w:szCs w:val="20"/>
                              </w:rPr>
                              <w:t>.ª</w:t>
                            </w:r>
                            <w:r w:rsidRPr="0085768E">
                              <w:rPr>
                                <w:sz w:val="20"/>
                                <w:szCs w:val="20"/>
                              </w:rPr>
                              <w:t xml:space="preserve"> Ayudante Doctor</w:t>
                            </w:r>
                            <w:r>
                              <w:rPr>
                                <w:sz w:val="20"/>
                                <w:szCs w:val="20"/>
                              </w:rPr>
                              <w:t>a</w:t>
                            </w:r>
                            <w:r w:rsidR="005B57B6">
                              <w:rPr>
                                <w:sz w:val="20"/>
                                <w:szCs w:val="20"/>
                              </w:rPr>
                              <w:t xml:space="preserve"> (Contratada Doctora </w:t>
                            </w:r>
                            <w:proofErr w:type="spellStart"/>
                            <w:r w:rsidR="005B57B6">
                              <w:rPr>
                                <w:sz w:val="20"/>
                                <w:szCs w:val="20"/>
                              </w:rPr>
                              <w:t>acred</w:t>
                            </w:r>
                            <w:proofErr w:type="spellEnd"/>
                            <w:r w:rsidR="005B57B6">
                              <w:rPr>
                                <w:sz w:val="20"/>
                                <w:szCs w:val="20"/>
                              </w:rPr>
                              <w:t>.)</w:t>
                            </w:r>
                            <w:r>
                              <w:rPr>
                                <w:sz w:val="20"/>
                                <w:szCs w:val="20"/>
                              </w:rPr>
                              <w:t xml:space="preserve"> </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D715D" id="_x0000_t202" coordsize="21600,21600" o:spt="202" path="m,l,21600r21600,l21600,xe">
                <v:stroke joinstyle="miter"/>
                <v:path gradientshapeok="t" o:connecttype="rect"/>
              </v:shapetype>
              <v:shape id="4 Cuadro de texto" o:spid="_x0000_s1026" type="#_x0000_t202" style="position:absolute;left:0;text-align:left;margin-left:-54.95pt;margin-top:34.1pt;width:491.1pt;height:40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" filled="f" stroked="f" strokeweight=".5pt">
                <v:textbox>
                  <w:txbxContent>
                    <w:p w14:paraId="4D436CF4" w14:textId="62BFB8FD" w:rsidR="00101C22" w:rsidRPr="0085768E" w:rsidRDefault="00C12370">
                      <w:pPr>
                        <w:rPr>
                          <w:b/>
                          <w:color w:val="FFFFFF" w:themeColor="background1"/>
                          <w:sz w:val="36"/>
                          <w:szCs w:val="36"/>
                        </w:rPr>
                      </w:pPr>
                      <w:r>
                        <w:rPr>
                          <w:b/>
                          <w:color w:val="FFFFFF" w:themeColor="background1"/>
                          <w:sz w:val="36"/>
                          <w:szCs w:val="36"/>
                        </w:rPr>
                        <w:t>Octubre a diciembre</w:t>
                      </w:r>
                      <w:r w:rsidR="007831A3">
                        <w:rPr>
                          <w:b/>
                          <w:color w:val="FFFFFF" w:themeColor="background1"/>
                          <w:sz w:val="36"/>
                          <w:szCs w:val="36"/>
                        </w:rPr>
                        <w:t xml:space="preserve"> de 2022</w:t>
                      </w:r>
                    </w:p>
                    <w:p w14:paraId="2EB7BD8F" w14:textId="77777777" w:rsidR="00101C22" w:rsidRPr="0085768E" w:rsidRDefault="00101C22">
                      <w:pPr>
                        <w:rPr>
                          <w:b/>
                          <w:color w:val="FFFFFF" w:themeColor="background1"/>
                          <w:sz w:val="36"/>
                          <w:szCs w:val="36"/>
                        </w:rPr>
                      </w:pPr>
                    </w:p>
                    <w:p w14:paraId="59EFE686" w14:textId="652795AA"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r>
                        <w:rPr>
                          <w:b/>
                          <w:color w:val="FFFFFF" w:themeColor="background1"/>
                          <w:sz w:val="72"/>
                          <w:szCs w:val="72"/>
                        </w:rPr>
                        <w:t>N</w:t>
                      </w:r>
                      <w:r w:rsidR="00944EC3">
                        <w:rPr>
                          <w:b/>
                          <w:color w:val="FFFFFF" w:themeColor="background1"/>
                          <w:sz w:val="72"/>
                          <w:szCs w:val="72"/>
                        </w:rPr>
                        <w:t>.</w:t>
                      </w:r>
                      <w:r>
                        <w:rPr>
                          <w:b/>
                          <w:color w:val="FFFFFF" w:themeColor="background1"/>
                          <w:sz w:val="72"/>
                          <w:szCs w:val="72"/>
                        </w:rPr>
                        <w:t xml:space="preserve">º </w:t>
                      </w:r>
                      <w:r w:rsidR="00C12370">
                        <w:rPr>
                          <w:b/>
                          <w:color w:val="FFFFFF" w:themeColor="background1"/>
                          <w:sz w:val="72"/>
                          <w:szCs w:val="72"/>
                        </w:rPr>
                        <w:t>8</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37BA1259" w14:textId="785EBEF7" w:rsidR="00101C22" w:rsidRDefault="00101C22" w:rsidP="005F1DFB">
                      <w:pPr>
                        <w:rPr>
                          <w:b/>
                        </w:rPr>
                      </w:pPr>
                    </w:p>
                    <w:p w14:paraId="65D0F361" w14:textId="77777777" w:rsidR="00101C22" w:rsidRPr="0085768E"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45479B29" w:rsidR="00101C22" w:rsidRPr="0085768E" w:rsidRDefault="00101C22" w:rsidP="005F1DFB">
                      <w:pPr>
                        <w:rPr>
                          <w:sz w:val="20"/>
                          <w:szCs w:val="20"/>
                        </w:rPr>
                      </w:pPr>
                      <w:r w:rsidRPr="0085768E">
                        <w:rPr>
                          <w:sz w:val="20"/>
                          <w:szCs w:val="20"/>
                        </w:rPr>
                        <w:t>Prof</w:t>
                      </w:r>
                      <w:r>
                        <w:rPr>
                          <w:sz w:val="20"/>
                          <w:szCs w:val="20"/>
                        </w:rPr>
                        <w:t>.ª</w:t>
                      </w:r>
                      <w:r w:rsidRPr="0085768E">
                        <w:rPr>
                          <w:sz w:val="20"/>
                          <w:szCs w:val="20"/>
                        </w:rPr>
                        <w:t xml:space="preserve"> Ayudante Doctor</w:t>
                      </w:r>
                      <w:r>
                        <w:rPr>
                          <w:sz w:val="20"/>
                          <w:szCs w:val="20"/>
                        </w:rPr>
                        <w:t>a</w:t>
                      </w:r>
                      <w:r w:rsidR="005B57B6">
                        <w:rPr>
                          <w:sz w:val="20"/>
                          <w:szCs w:val="20"/>
                        </w:rPr>
                        <w:t xml:space="preserve"> (Contratada Doctora </w:t>
                      </w:r>
                      <w:proofErr w:type="spellStart"/>
                      <w:r w:rsidR="005B57B6">
                        <w:rPr>
                          <w:sz w:val="20"/>
                          <w:szCs w:val="20"/>
                        </w:rPr>
                        <w:t>acred</w:t>
                      </w:r>
                      <w:proofErr w:type="spellEnd"/>
                      <w:r w:rsidR="005B57B6">
                        <w:rPr>
                          <w:sz w:val="20"/>
                          <w:szCs w:val="20"/>
                        </w:rPr>
                        <w:t>.)</w:t>
                      </w:r>
                      <w:r>
                        <w:rPr>
                          <w:sz w:val="20"/>
                          <w:szCs w:val="20"/>
                        </w:rPr>
                        <w:t xml:space="preserve"> </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v:textbox>
              </v:shape>
            </w:pict>
          </mc:Fallback>
        </mc:AlternateContent>
      </w:r>
    </w:p>
    <w:p w14:paraId="31E2C271" w14:textId="30D2FF45" w:rsidR="00D37249" w:rsidRDefault="00D37249" w:rsidP="00656A1A">
      <w:pPr>
        <w:spacing w:beforeLines="100" w:before="240" w:afterLines="100" w:after="240"/>
        <w:jc w:val="center"/>
        <w:rPr>
          <w:noProof/>
          <w:lang w:eastAsia="es-ES"/>
        </w:rPr>
      </w:pPr>
    </w:p>
    <w:p w14:paraId="634A3D0B" w14:textId="77777777" w:rsidR="00D37249" w:rsidRDefault="00D37249" w:rsidP="00656A1A">
      <w:pPr>
        <w:spacing w:beforeLines="100" w:before="240" w:afterLines="100" w:after="240"/>
        <w:jc w:val="center"/>
        <w:rPr>
          <w:noProof/>
          <w:lang w:eastAsia="es-ES"/>
        </w:rPr>
      </w:pPr>
    </w:p>
    <w:p w14:paraId="3214C097" w14:textId="77777777" w:rsidR="00D37249" w:rsidRDefault="00D37249" w:rsidP="00656A1A">
      <w:pPr>
        <w:spacing w:beforeLines="100" w:before="240" w:afterLines="100" w:after="240"/>
        <w:jc w:val="center"/>
        <w:rPr>
          <w:noProof/>
          <w:lang w:eastAsia="es-ES"/>
        </w:rPr>
      </w:pPr>
    </w:p>
    <w:p w14:paraId="612D226B" w14:textId="77777777" w:rsidR="00D37249" w:rsidRDefault="00D37249" w:rsidP="00656A1A">
      <w:pPr>
        <w:spacing w:beforeLines="100" w:before="240" w:afterLines="100" w:after="240"/>
        <w:jc w:val="center"/>
        <w:rPr>
          <w:noProof/>
          <w:lang w:eastAsia="es-ES"/>
        </w:rPr>
      </w:pPr>
    </w:p>
    <w:p w14:paraId="1B8E3A3D" w14:textId="77777777" w:rsidR="00D37249" w:rsidRDefault="00D37249" w:rsidP="00656A1A">
      <w:pPr>
        <w:spacing w:beforeLines="100" w:before="240" w:afterLines="100" w:after="240"/>
        <w:jc w:val="center"/>
        <w:rPr>
          <w:noProof/>
          <w:lang w:eastAsia="es-ES"/>
        </w:rPr>
      </w:pPr>
    </w:p>
    <w:p w14:paraId="3A5D080F" w14:textId="77777777" w:rsidR="00D37249" w:rsidRDefault="00D37249" w:rsidP="00656A1A">
      <w:pPr>
        <w:spacing w:beforeLines="100" w:before="240" w:afterLines="100" w:after="240"/>
        <w:jc w:val="center"/>
        <w:rPr>
          <w:noProof/>
          <w:lang w:eastAsia="es-ES"/>
        </w:rPr>
      </w:pPr>
    </w:p>
    <w:p w14:paraId="1E0AEF62" w14:textId="77777777" w:rsidR="00D37249" w:rsidRDefault="00D37249" w:rsidP="00656A1A">
      <w:pPr>
        <w:spacing w:beforeLines="100" w:before="240" w:afterLines="100" w:after="240"/>
        <w:jc w:val="center"/>
        <w:rPr>
          <w:noProof/>
          <w:lang w:eastAsia="es-ES"/>
        </w:rPr>
      </w:pPr>
    </w:p>
    <w:p w14:paraId="248E4477" w14:textId="77777777" w:rsidR="00D37249" w:rsidRDefault="00D37249" w:rsidP="00656A1A">
      <w:pPr>
        <w:spacing w:beforeLines="100" w:before="240" w:afterLines="100" w:after="240"/>
        <w:jc w:val="center"/>
        <w:rPr>
          <w:noProof/>
          <w:lang w:eastAsia="es-ES"/>
        </w:rPr>
      </w:pPr>
    </w:p>
    <w:p w14:paraId="00E5561C" w14:textId="77777777" w:rsidR="00D37249" w:rsidRDefault="00D37249" w:rsidP="00656A1A">
      <w:pPr>
        <w:spacing w:beforeLines="100" w:before="240" w:afterLines="100" w:after="240"/>
        <w:jc w:val="center"/>
        <w:rPr>
          <w:noProof/>
          <w:lang w:eastAsia="es-ES"/>
        </w:rPr>
      </w:pPr>
    </w:p>
    <w:p w14:paraId="79253195" w14:textId="77777777" w:rsidR="00D37249" w:rsidRDefault="00D37249" w:rsidP="00656A1A">
      <w:pPr>
        <w:spacing w:beforeLines="100" w:before="240" w:afterLines="100" w:after="240"/>
        <w:jc w:val="center"/>
        <w:rPr>
          <w:noProof/>
          <w:lang w:eastAsia="es-ES"/>
        </w:rPr>
      </w:pPr>
    </w:p>
    <w:p w14:paraId="22EC10ED" w14:textId="77777777" w:rsidR="00D37249" w:rsidRDefault="00D37249" w:rsidP="00656A1A">
      <w:pPr>
        <w:spacing w:beforeLines="100" w:before="240" w:afterLines="100" w:after="240"/>
        <w:jc w:val="center"/>
        <w:rPr>
          <w:noProof/>
          <w:lang w:eastAsia="es-ES"/>
        </w:rPr>
      </w:pPr>
    </w:p>
    <w:p w14:paraId="55521369" w14:textId="77777777" w:rsidR="00D37249" w:rsidRDefault="00D37249" w:rsidP="00656A1A">
      <w:pPr>
        <w:spacing w:beforeLines="100" w:before="240" w:afterLines="100" w:after="240"/>
        <w:jc w:val="center"/>
        <w:rPr>
          <w:noProof/>
          <w:lang w:eastAsia="es-ES"/>
        </w:rPr>
      </w:pPr>
    </w:p>
    <w:p w14:paraId="48BF8FA4" w14:textId="77777777" w:rsidR="00D37249" w:rsidRDefault="00D37249" w:rsidP="00656A1A">
      <w:pPr>
        <w:spacing w:beforeLines="100" w:before="240" w:afterLines="100" w:after="240"/>
        <w:jc w:val="center"/>
        <w:rPr>
          <w:noProof/>
          <w:lang w:eastAsia="es-ES"/>
        </w:rPr>
      </w:pPr>
    </w:p>
    <w:p w14:paraId="77F66103" w14:textId="77777777" w:rsidR="00D37249" w:rsidRDefault="00D37249" w:rsidP="00656A1A">
      <w:pPr>
        <w:spacing w:beforeLines="100" w:before="240" w:afterLines="100" w:after="240"/>
        <w:jc w:val="center"/>
        <w:rPr>
          <w:noProof/>
          <w:lang w:eastAsia="es-ES"/>
        </w:rPr>
      </w:pPr>
    </w:p>
    <w:p w14:paraId="41F4B982" w14:textId="77777777" w:rsidR="00D37249" w:rsidRDefault="00D37249" w:rsidP="00656A1A">
      <w:pPr>
        <w:spacing w:beforeLines="100" w:before="240" w:afterLines="100" w:after="240"/>
        <w:jc w:val="center"/>
        <w:rPr>
          <w:noProof/>
          <w:lang w:eastAsia="es-ES"/>
        </w:rPr>
      </w:pPr>
    </w:p>
    <w:p w14:paraId="647D8F29" w14:textId="77777777" w:rsidR="00D37249" w:rsidRDefault="00D37249" w:rsidP="00656A1A">
      <w:pPr>
        <w:spacing w:beforeLines="100" w:before="240" w:afterLines="100" w:after="240"/>
        <w:jc w:val="center"/>
        <w:rPr>
          <w:noProof/>
          <w:lang w:eastAsia="es-ES"/>
        </w:rPr>
      </w:pPr>
    </w:p>
    <w:p w14:paraId="3FE9F70E" w14:textId="77777777" w:rsidR="00D37249" w:rsidRDefault="005F0DEC"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60288" behindDoc="0" locked="0" layoutInCell="1" allowOverlap="1" wp14:anchorId="648F4A92" wp14:editId="682CB527">
                <wp:simplePos x="0" y="0"/>
                <wp:positionH relativeFrom="column">
                  <wp:posOffset>5288354</wp:posOffset>
                </wp:positionH>
                <wp:positionV relativeFrom="paragraph">
                  <wp:posOffset>504175</wp:posOffset>
                </wp:positionV>
                <wp:extent cx="1190360" cy="786396"/>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190360" cy="786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130AB" w14:textId="77777777" w:rsidR="00101C22" w:rsidRPr="005F0DEC" w:rsidRDefault="00101C22">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F4A92" id="1 Cuadro de texto" o:spid="_x0000_s1027" type="#_x0000_t202" style="position:absolute;left:0;text-align:left;margin-left:416.4pt;margin-top:39.7pt;width:93.75pt;height: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" filled="f" stroked="f" strokeweight=".5pt">
                <v:textbox>
                  <w:txbxContent>
                    <w:p w14:paraId="320130AB" w14:textId="77777777" w:rsidR="00101C22" w:rsidRPr="005F0DEC" w:rsidRDefault="00101C22">
                      <w:pPr>
                        <w:rPr>
                          <w:rFonts w:ascii="Monotype Corsiva" w:hAnsi="Monotype Corsiva"/>
                          <w:b/>
                          <w:color w:val="FFFFFF" w:themeColor="background1"/>
                          <w:sz w:val="72"/>
                          <w:szCs w:val="72"/>
                        </w:rPr>
                      </w:pPr>
                      <w:r w:rsidRPr="005F0DEC">
                        <w:rPr>
                          <w:rFonts w:ascii="Monotype Corsiva" w:hAnsi="Monotype Corsiva"/>
                          <w:b/>
                          <w:color w:val="FFFFFF" w:themeColor="background1"/>
                          <w:sz w:val="72"/>
                          <w:szCs w:val="72"/>
                        </w:rPr>
                        <w:t>NyR</w:t>
                      </w:r>
                    </w:p>
                  </w:txbxContent>
                </v:textbox>
              </v:shape>
            </w:pict>
          </mc:Fallback>
        </mc:AlternateContent>
      </w:r>
    </w:p>
    <w:p w14:paraId="58C683B8" w14:textId="77777777" w:rsidR="00226C2F" w:rsidRDefault="00226C2F" w:rsidP="00226C2F">
      <w:pPr>
        <w:jc w:val="center"/>
        <w:rPr>
          <w:rFonts w:cstheme="minorHAnsi"/>
          <w:b/>
          <w:color w:val="FFFFFF" w:themeColor="background1"/>
          <w:sz w:val="32"/>
          <w:szCs w:val="32"/>
        </w:rPr>
      </w:pPr>
    </w:p>
    <w:p w14:paraId="3B0F142E" w14:textId="77777777" w:rsidR="00653C35" w:rsidRDefault="00653C35" w:rsidP="00226C2F">
      <w:pPr>
        <w:jc w:val="center"/>
        <w:rPr>
          <w:b/>
          <w:color w:val="000000" w:themeColor="text1"/>
          <w:sz w:val="28"/>
          <w:szCs w:val="28"/>
        </w:rPr>
      </w:pPr>
    </w:p>
    <w:p w14:paraId="30F08C11" w14:textId="77777777" w:rsidR="00440EC2" w:rsidRDefault="00440EC2" w:rsidP="00226C2F">
      <w:pPr>
        <w:jc w:val="center"/>
        <w:rPr>
          <w:b/>
          <w:color w:val="000000" w:themeColor="text1"/>
          <w:sz w:val="28"/>
          <w:szCs w:val="28"/>
        </w:rPr>
      </w:pPr>
    </w:p>
    <w:p w14:paraId="52B812AB" w14:textId="795E47AC" w:rsidR="00226C2F" w:rsidRPr="008A254E" w:rsidRDefault="008A254E" w:rsidP="00226C2F">
      <w:pPr>
        <w:jc w:val="center"/>
        <w:rPr>
          <w:b/>
          <w:color w:val="000000" w:themeColor="text1"/>
          <w:sz w:val="28"/>
          <w:szCs w:val="28"/>
        </w:rPr>
      </w:pPr>
      <w:r w:rsidRPr="008A254E">
        <w:rPr>
          <w:b/>
          <w:color w:val="000000" w:themeColor="text1"/>
          <w:sz w:val="28"/>
          <w:szCs w:val="28"/>
        </w:rPr>
        <w:t>JURISPRUDENCIA (Selección)</w:t>
      </w:r>
    </w:p>
    <w:p w14:paraId="411ED0DB" w14:textId="563F3DB8" w:rsidR="008A254E" w:rsidRDefault="008A254E" w:rsidP="00226C2F">
      <w:pPr>
        <w:jc w:val="center"/>
        <w:rPr>
          <w:b/>
          <w:color w:val="000000" w:themeColor="text1"/>
        </w:rPr>
      </w:pPr>
    </w:p>
    <w:p w14:paraId="532FA5B7" w14:textId="0A7A061D" w:rsidR="008A254E" w:rsidRDefault="00FA3DA2" w:rsidP="00226C2F">
      <w:pPr>
        <w:jc w:val="center"/>
        <w:rPr>
          <w:b/>
          <w:color w:val="000000" w:themeColor="text1"/>
        </w:rPr>
      </w:pPr>
      <w:r>
        <w:rPr>
          <w:noProof/>
        </w:rPr>
        <w:pict w14:anchorId="3FBD27C6">
          <v:rect id="_x0000_i1028" alt="" style="width:425.2pt;height:.05pt;mso-width-percent:0;mso-height-percent:0;mso-width-percent:0;mso-height-percent:0" o:hralign="center" o:hrstd="t" o:hr="t" fillcolor="#a0a0a0" stroked="f"/>
        </w:pict>
      </w:r>
    </w:p>
    <w:p w14:paraId="0F20CAE2" w14:textId="7813EB68" w:rsidR="008A254E" w:rsidRDefault="008A254E" w:rsidP="00226C2F">
      <w:pPr>
        <w:jc w:val="center"/>
        <w:rPr>
          <w:b/>
          <w:color w:val="000000" w:themeColor="text1"/>
        </w:rPr>
      </w:pPr>
    </w:p>
    <w:p w14:paraId="31F4DA43" w14:textId="77777777" w:rsidR="00440EC2" w:rsidRDefault="00440EC2" w:rsidP="002B1E17">
      <w:pPr>
        <w:spacing w:after="120"/>
        <w:jc w:val="center"/>
        <w:rPr>
          <w:b/>
          <w:bCs/>
        </w:rPr>
      </w:pPr>
    </w:p>
    <w:p w14:paraId="4EEF1885" w14:textId="196614D5" w:rsidR="002B1E17" w:rsidRPr="00440EC2" w:rsidRDefault="002B1E17" w:rsidP="002B1E17">
      <w:pPr>
        <w:spacing w:after="120"/>
        <w:jc w:val="center"/>
        <w:rPr>
          <w:b/>
          <w:bCs/>
          <w:sz w:val="28"/>
          <w:szCs w:val="28"/>
        </w:rPr>
      </w:pPr>
      <w:r w:rsidRPr="00440EC2">
        <w:rPr>
          <w:b/>
          <w:bCs/>
          <w:sz w:val="28"/>
          <w:szCs w:val="28"/>
        </w:rPr>
        <w:t>TJUE</w:t>
      </w:r>
    </w:p>
    <w:p w14:paraId="7C39F6B5" w14:textId="77777777" w:rsidR="00440EC2" w:rsidRPr="002B1E17" w:rsidRDefault="00440EC2" w:rsidP="002B1E17">
      <w:pPr>
        <w:spacing w:after="120"/>
        <w:jc w:val="center"/>
        <w:rPr>
          <w:b/>
          <w:bCs/>
        </w:rPr>
      </w:pPr>
    </w:p>
    <w:p w14:paraId="6DF6200F" w14:textId="39F8247B" w:rsidR="002B1E17" w:rsidRDefault="002B1E17" w:rsidP="002B1E17">
      <w:pPr>
        <w:spacing w:after="240"/>
        <w:jc w:val="both"/>
        <w:rPr>
          <w:b/>
          <w:bCs/>
        </w:rPr>
      </w:pPr>
      <w:r w:rsidRPr="002B1E17">
        <w:rPr>
          <w:b/>
          <w:bCs/>
        </w:rPr>
        <w:t>Sentencias</w:t>
      </w:r>
    </w:p>
    <w:p w14:paraId="7F9C595F" w14:textId="788DD8FA" w:rsidR="008B5F7C" w:rsidRDefault="00000000" w:rsidP="002B1E17">
      <w:pPr>
        <w:spacing w:after="240"/>
        <w:jc w:val="both"/>
      </w:pPr>
      <w:hyperlink r:id="rId9" w:anchor="ctx1" w:history="1">
        <w:r w:rsidR="008B5F7C" w:rsidRPr="008B5F7C">
          <w:rPr>
            <w:rStyle w:val="Hipervnculo"/>
          </w:rPr>
          <w:t xml:space="preserve">Sentencia del Tribunal de Justicia (Sala Octava), de 6 de octubre de 2022 (asunto C-436/21, </w:t>
        </w:r>
        <w:proofErr w:type="spellStart"/>
        <w:r w:rsidR="008B5F7C" w:rsidRPr="008B5F7C">
          <w:rPr>
            <w:rStyle w:val="Hipervnculo"/>
          </w:rPr>
          <w:t>Flightright</w:t>
        </w:r>
        <w:proofErr w:type="spellEnd"/>
        <w:r w:rsidR="008B5F7C" w:rsidRPr="008B5F7C">
          <w:rPr>
            <w:rStyle w:val="Hipervnculo"/>
          </w:rPr>
          <w:t>)</w:t>
        </w:r>
      </w:hyperlink>
      <w:r w:rsidR="008B5F7C">
        <w:t xml:space="preserve">. </w:t>
      </w:r>
      <w:r w:rsidR="008B5F7C" w:rsidRPr="008B5F7C">
        <w:t xml:space="preserve">«Procedimiento prejudicial — Transportes aéreos — Reglamento (CE) </w:t>
      </w:r>
      <w:proofErr w:type="spellStart"/>
      <w:r w:rsidR="008B5F7C" w:rsidRPr="008B5F7C">
        <w:t>n.o</w:t>
      </w:r>
      <w:proofErr w:type="spellEnd"/>
      <w:r w:rsidR="008B5F7C" w:rsidRPr="008B5F7C">
        <w:t> 261/2004 — Artículo 3, apartado 1, letra a) — Ámbito de aplicación — Artículo 2, letras f) a h) — Concepto de “billete” — Concepto de “reserva” — Concepto de “vuelo con conexión directa” — Reserva a través de una agencia de viajes — Artículo 7 — Compensación a los pasajeros aéreos en caso de gran retraso de un vuelo — Operación de transporte compuesta de varios vuelos que corresponden a distintos transportistas aéreos encargados de efectuarlos — Vuelo con conexión directa procedente de un aeropuerto situado en un Estado miembro, con escala en Suiza y destino final en un tercer país»</w:t>
      </w:r>
      <w:r w:rsidR="008B5F7C">
        <w:t>.</w:t>
      </w:r>
    </w:p>
    <w:p w14:paraId="74C9EBA6" w14:textId="27DED6BD" w:rsidR="008B5F7C" w:rsidRDefault="00000000" w:rsidP="002B1E17">
      <w:pPr>
        <w:spacing w:after="240"/>
        <w:jc w:val="both"/>
      </w:pPr>
      <w:hyperlink r:id="rId10" w:anchor="ctx1" w:history="1">
        <w:r w:rsidR="008B5F7C" w:rsidRPr="008B5F7C">
          <w:rPr>
            <w:rStyle w:val="Hipervnculo"/>
          </w:rPr>
          <w:t xml:space="preserve">Sentencia del Tribunal de Justicia (Sala Décima), de 13 de octubre de 2022 (asunto C-405/21, Nova </w:t>
        </w:r>
        <w:proofErr w:type="spellStart"/>
        <w:r w:rsidR="008B5F7C" w:rsidRPr="008B5F7C">
          <w:rPr>
            <w:rStyle w:val="Hipervnculo"/>
          </w:rPr>
          <w:t>Kreditna</w:t>
        </w:r>
        <w:proofErr w:type="spellEnd"/>
        <w:r w:rsidR="008B5F7C" w:rsidRPr="008B5F7C">
          <w:rPr>
            <w:rStyle w:val="Hipervnculo"/>
          </w:rPr>
          <w:t xml:space="preserve"> </w:t>
        </w:r>
        <w:proofErr w:type="spellStart"/>
        <w:r w:rsidR="008B5F7C" w:rsidRPr="008B5F7C">
          <w:rPr>
            <w:rStyle w:val="Hipervnculo"/>
          </w:rPr>
          <w:t>Banka</w:t>
        </w:r>
        <w:proofErr w:type="spellEnd"/>
        <w:r w:rsidR="008B5F7C" w:rsidRPr="008B5F7C">
          <w:rPr>
            <w:rStyle w:val="Hipervnculo"/>
          </w:rPr>
          <w:t xml:space="preserve"> </w:t>
        </w:r>
        <w:proofErr w:type="spellStart"/>
        <w:r w:rsidR="008B5F7C" w:rsidRPr="008B5F7C">
          <w:rPr>
            <w:rStyle w:val="Hipervnculo"/>
          </w:rPr>
          <w:t>Maribor</w:t>
        </w:r>
        <w:proofErr w:type="spellEnd"/>
        <w:r w:rsidR="008B5F7C" w:rsidRPr="008B5F7C">
          <w:rPr>
            <w:rStyle w:val="Hipervnculo"/>
          </w:rPr>
          <w:t>)</w:t>
        </w:r>
      </w:hyperlink>
      <w:r w:rsidR="008B5F7C">
        <w:t xml:space="preserve">. </w:t>
      </w:r>
      <w:r w:rsidR="008B5F7C" w:rsidRPr="008B5F7C">
        <w:t>«Procedimiento prejudicial — Protección de los consumidores — Directiva 93/13/CEE — Cláusulas abusivas en los contratos celebrados con los consumidores — Artículos 3, apartado 1, y 8 — Criterios de apreciación del carácter abusivo de una cláusula contractual — Desequilibrio importante entre los derechos y obligaciones de las partes que se derivan del contrato — Exigencia de buena fe de los profesionales — Posibilidad de garantizar un mayor nivel de protección que el previsto por la Directiva»</w:t>
      </w:r>
      <w:r w:rsidR="008B5F7C">
        <w:t xml:space="preserve">. </w:t>
      </w:r>
    </w:p>
    <w:p w14:paraId="0EE4B9F0" w14:textId="30BC1180" w:rsidR="004A2D44" w:rsidRPr="004A2D44" w:rsidRDefault="00000000" w:rsidP="002B1E17">
      <w:pPr>
        <w:spacing w:after="240"/>
        <w:jc w:val="both"/>
      </w:pPr>
      <w:hyperlink r:id="rId11" w:anchor="ctx1" w:history="1">
        <w:r w:rsidR="004A2D44" w:rsidRPr="008B5F7C">
          <w:rPr>
            <w:rStyle w:val="Hipervnculo"/>
          </w:rPr>
          <w:t>Sentencia del Tribunal de Justicia (Sala Octava), de 27 de octubre de 2022 (asunto C-485/21, S.V. OOD)</w:t>
        </w:r>
      </w:hyperlink>
      <w:r w:rsidR="004A2D44" w:rsidRPr="008B5F7C">
        <w:t xml:space="preserve">. </w:t>
      </w:r>
      <w:r w:rsidR="008B5F7C" w:rsidRPr="008B5F7C">
        <w:t>«Procedimiento prejudicial — Protección de los consumidores — Directiva 93/13/CEE — Cláusulas abusivas en los contratos celebrados con los consumidores — Artículo 2, letra b) — Concepto de “consumidor” — Artículo 2, letra c) — Concepto de “profesional” — Persona física propietaria de un piso en un inmueble en régimen de propiedad horizontal — Diferentes tipos de relaciones jurídicas relativas a la administración y al mantenimiento de dicho inmueble — Diferencia de trato, en relación con la condición de consumidor, que aplica la legislación de un Estado miembro entre los propietarios que han celebrado un contrato individual para la administración y el mantenimiento de las partes comunes de ese inmueble y aquellos que no han celebrado tal contrato»</w:t>
      </w:r>
      <w:r w:rsidR="008B5F7C">
        <w:t>.</w:t>
      </w:r>
    </w:p>
    <w:p w14:paraId="283783DB" w14:textId="006DF0A4" w:rsidR="004A2D44" w:rsidRPr="004A2D44" w:rsidRDefault="00000000" w:rsidP="002B1E17">
      <w:pPr>
        <w:spacing w:after="240"/>
        <w:jc w:val="both"/>
      </w:pPr>
      <w:hyperlink r:id="rId12" w:anchor="ctx1" w:history="1">
        <w:r w:rsidR="004A2D44" w:rsidRPr="004A2D44">
          <w:rPr>
            <w:rStyle w:val="Hipervnculo"/>
          </w:rPr>
          <w:t xml:space="preserve">Sentencia del Tribunal de Justicia (Sala Octava), de 1 de diciembre de 2022 (asunto C-595/21 (LSI – </w:t>
        </w:r>
        <w:proofErr w:type="spellStart"/>
        <w:r w:rsidR="004A2D44" w:rsidRPr="004A2D44">
          <w:rPr>
            <w:rStyle w:val="Hipervnculo"/>
          </w:rPr>
          <w:t>Germany</w:t>
        </w:r>
        <w:proofErr w:type="spellEnd"/>
        <w:r w:rsidR="004A2D44" w:rsidRPr="004A2D44">
          <w:rPr>
            <w:rStyle w:val="Hipervnculo"/>
          </w:rPr>
          <w:t xml:space="preserve"> </w:t>
        </w:r>
        <w:proofErr w:type="spellStart"/>
        <w:r w:rsidR="004A2D44" w:rsidRPr="004A2D44">
          <w:rPr>
            <w:rStyle w:val="Hipervnculo"/>
          </w:rPr>
          <w:t>GmbH</w:t>
        </w:r>
        <w:proofErr w:type="spellEnd"/>
        <w:r w:rsidR="004A2D44" w:rsidRPr="004A2D44">
          <w:rPr>
            <w:rStyle w:val="Hipervnculo"/>
          </w:rPr>
          <w:t>)</w:t>
        </w:r>
      </w:hyperlink>
      <w:r w:rsidR="004A2D44" w:rsidRPr="004A2D44">
        <w:t xml:space="preserve">. «Procedimiento prejudicial — Protección de los consumidores — Información alimentaria facilitada al consumidor — Reglamento (UE) n.º 1169/2011 — Artículo 17 y anexo VI, parte A, punto 4 — “Denominación del alimento” — “Denominación del producto” — Menciones obligatorias en el etiquetado de los alimentos — Componente o ingrediente utilizado para la sustitución total o parcial </w:t>
      </w:r>
      <w:r w:rsidR="004A2D44" w:rsidRPr="004A2D44">
        <w:lastRenderedPageBreak/>
        <w:t>del que los consumidores esperan que haya sido habitualmente utilizado o esté presente en un alimento».</w:t>
      </w:r>
    </w:p>
    <w:p w14:paraId="4EF9DC9F" w14:textId="7C3CF035" w:rsidR="00425F18" w:rsidRDefault="00000000" w:rsidP="00425F18">
      <w:pPr>
        <w:jc w:val="both"/>
      </w:pPr>
      <w:hyperlink r:id="rId13" w:anchor="ctx1" w:history="1">
        <w:r w:rsidR="004A2D44" w:rsidRPr="004A2D44">
          <w:rPr>
            <w:rStyle w:val="Hipervnculo"/>
          </w:rPr>
          <w:t xml:space="preserve">Sentencia del Tribunal de Justicia (Sala Novena), de 8 de diciembre de 2022 (asunto C-600/21, </w:t>
        </w:r>
        <w:proofErr w:type="spellStart"/>
        <w:r w:rsidR="004A2D44" w:rsidRPr="004A2D44">
          <w:rPr>
            <w:rStyle w:val="Hipervnculo"/>
          </w:rPr>
          <w:t>Caisse</w:t>
        </w:r>
        <w:proofErr w:type="spellEnd"/>
        <w:r w:rsidR="004A2D44" w:rsidRPr="004A2D44">
          <w:rPr>
            <w:rStyle w:val="Hipervnculo"/>
          </w:rPr>
          <w:t xml:space="preserve"> </w:t>
        </w:r>
        <w:proofErr w:type="spellStart"/>
        <w:r w:rsidR="004A2D44" w:rsidRPr="004A2D44">
          <w:rPr>
            <w:rStyle w:val="Hipervnculo"/>
          </w:rPr>
          <w:t>régionale</w:t>
        </w:r>
        <w:proofErr w:type="spellEnd"/>
        <w:r w:rsidR="004A2D44" w:rsidRPr="004A2D44">
          <w:rPr>
            <w:rStyle w:val="Hipervnculo"/>
          </w:rPr>
          <w:t xml:space="preserve"> de </w:t>
        </w:r>
        <w:proofErr w:type="spellStart"/>
        <w:r w:rsidR="004A2D44" w:rsidRPr="004A2D44">
          <w:rPr>
            <w:rStyle w:val="Hipervnculo"/>
          </w:rPr>
          <w:t>Crédit</w:t>
        </w:r>
        <w:proofErr w:type="spellEnd"/>
        <w:r w:rsidR="004A2D44" w:rsidRPr="004A2D44">
          <w:rPr>
            <w:rStyle w:val="Hipervnculo"/>
          </w:rPr>
          <w:t xml:space="preserve"> </w:t>
        </w:r>
        <w:proofErr w:type="spellStart"/>
        <w:r w:rsidR="004A2D44" w:rsidRPr="004A2D44">
          <w:rPr>
            <w:rStyle w:val="Hipervnculo"/>
          </w:rPr>
          <w:t>mutuel</w:t>
        </w:r>
        <w:proofErr w:type="spellEnd"/>
        <w:r w:rsidR="004A2D44" w:rsidRPr="004A2D44">
          <w:rPr>
            <w:rStyle w:val="Hipervnculo"/>
          </w:rPr>
          <w:t xml:space="preserve"> de Loire-Atlantique y du Centre </w:t>
        </w:r>
        <w:proofErr w:type="spellStart"/>
        <w:r w:rsidR="004A2D44" w:rsidRPr="004A2D44">
          <w:rPr>
            <w:rStyle w:val="Hipervnculo"/>
          </w:rPr>
          <w:t>Ouest</w:t>
        </w:r>
        <w:proofErr w:type="spellEnd"/>
        <w:r w:rsidR="004A2D44" w:rsidRPr="004A2D44">
          <w:rPr>
            <w:rStyle w:val="Hipervnculo"/>
          </w:rPr>
          <w:t>)</w:t>
        </w:r>
      </w:hyperlink>
      <w:r w:rsidR="004A2D44">
        <w:t xml:space="preserve">. </w:t>
      </w:r>
      <w:r w:rsidR="004A2D44" w:rsidRPr="004A2D44">
        <w:t>«Procedimiento prejudicial — Protección de los </w:t>
      </w:r>
      <w:bookmarkStart w:id="0" w:name="ctx1"/>
      <w:r w:rsidR="004A2D44" w:rsidRPr="004A2D44">
        <w:t>consumidores</w:t>
      </w:r>
      <w:bookmarkEnd w:id="0"/>
      <w:r w:rsidR="004A2D44" w:rsidRPr="004A2D44">
        <w:t> — Cláusulas abusivas en los contratos celebrados con los </w:t>
      </w:r>
      <w:bookmarkStart w:id="1" w:name="ctx2"/>
      <w:r w:rsidR="004A2D44" w:rsidRPr="004A2D44">
        <w:t>consumidores</w:t>
      </w:r>
      <w:bookmarkEnd w:id="1"/>
      <w:r w:rsidR="004A2D44" w:rsidRPr="004A2D44">
        <w:t> — Directiva 93/13/CEE — Artículo 3, apartado 1 — Artículo 4 — Criterios de apreciación del carácter abusivo de una cláusula — Cláusula relativa al vencimiento anticipado de un contrato de préstamo — Dispensa contractual de efectuar un requerimiento».</w:t>
      </w:r>
      <w:r w:rsidR="004A2D44">
        <w:t xml:space="preserve"> </w:t>
      </w:r>
    </w:p>
    <w:p w14:paraId="669B4C24" w14:textId="77777777" w:rsidR="004A2D44" w:rsidRDefault="004A2D44" w:rsidP="00425F18">
      <w:pPr>
        <w:jc w:val="both"/>
        <w:rPr>
          <w:rFonts w:eastAsiaTheme="minorHAnsi"/>
          <w:bCs/>
          <w:lang w:eastAsia="en-US"/>
        </w:rPr>
      </w:pPr>
    </w:p>
    <w:p w14:paraId="096D7BB6" w14:textId="6D662A07" w:rsidR="00425F18" w:rsidRPr="00425F18" w:rsidRDefault="00425F18" w:rsidP="00425F18">
      <w:pPr>
        <w:jc w:val="both"/>
        <w:rPr>
          <w:rFonts w:eastAsiaTheme="minorHAnsi"/>
          <w:b/>
          <w:lang w:eastAsia="en-US"/>
        </w:rPr>
      </w:pPr>
      <w:r w:rsidRPr="00425F18">
        <w:rPr>
          <w:rFonts w:eastAsiaTheme="minorHAnsi"/>
          <w:b/>
          <w:lang w:eastAsia="en-US"/>
        </w:rPr>
        <w:t>Auto</w:t>
      </w:r>
    </w:p>
    <w:p w14:paraId="5F42C582" w14:textId="1F9FEEE9" w:rsidR="00425F18" w:rsidRDefault="00425F18" w:rsidP="00425F18">
      <w:pPr>
        <w:jc w:val="both"/>
        <w:rPr>
          <w:rFonts w:eastAsiaTheme="minorHAnsi"/>
          <w:bCs/>
          <w:lang w:eastAsia="en-US"/>
        </w:rPr>
      </w:pPr>
    </w:p>
    <w:p w14:paraId="0B91F249" w14:textId="4F7C01A5" w:rsidR="00401E34" w:rsidRPr="00D36C84" w:rsidRDefault="00000000" w:rsidP="009059BB">
      <w:pPr>
        <w:spacing w:after="240"/>
        <w:jc w:val="both"/>
        <w:rPr>
          <w:rFonts w:eastAsiaTheme="minorHAnsi"/>
          <w:bCs/>
          <w:lang w:eastAsia="en-US"/>
        </w:rPr>
      </w:pPr>
      <w:hyperlink r:id="rId14" w:anchor="ctx1" w:history="1">
        <w:r w:rsidR="004A2D44">
          <w:rPr>
            <w:rStyle w:val="Hipervnculo"/>
            <w:rFonts w:eastAsiaTheme="minorHAnsi"/>
            <w:bCs/>
            <w:lang w:eastAsia="en-US"/>
          </w:rPr>
          <w:t xml:space="preserve">Auto del Tribunal de Justicia (Sala Octava), de 2 de diciembre de 2022 (asunto C-229/22, </w:t>
        </w:r>
        <w:proofErr w:type="spellStart"/>
        <w:r w:rsidR="004A2D44">
          <w:rPr>
            <w:rStyle w:val="Hipervnculo"/>
            <w:rFonts w:eastAsiaTheme="minorHAnsi"/>
            <w:bCs/>
            <w:lang w:eastAsia="en-US"/>
          </w:rPr>
          <w:t>Compania</w:t>
        </w:r>
        <w:proofErr w:type="spellEnd"/>
        <w:r w:rsidR="004A2D44">
          <w:rPr>
            <w:rStyle w:val="Hipervnculo"/>
            <w:rFonts w:eastAsiaTheme="minorHAnsi"/>
            <w:bCs/>
            <w:lang w:eastAsia="en-US"/>
          </w:rPr>
          <w:t xml:space="preserve"> </w:t>
        </w:r>
        <w:proofErr w:type="spellStart"/>
        <w:r w:rsidR="004A2D44">
          <w:rPr>
            <w:rStyle w:val="Hipervnculo"/>
            <w:rFonts w:eastAsiaTheme="minorHAnsi"/>
            <w:bCs/>
            <w:lang w:eastAsia="en-US"/>
          </w:rPr>
          <w:t>Naţională</w:t>
        </w:r>
        <w:proofErr w:type="spellEnd"/>
        <w:r w:rsidR="004A2D44">
          <w:rPr>
            <w:rStyle w:val="Hipervnculo"/>
            <w:rFonts w:eastAsiaTheme="minorHAnsi"/>
            <w:bCs/>
            <w:lang w:eastAsia="en-US"/>
          </w:rPr>
          <w:t xml:space="preserve"> de </w:t>
        </w:r>
        <w:proofErr w:type="spellStart"/>
        <w:r w:rsidR="004A2D44">
          <w:rPr>
            <w:rStyle w:val="Hipervnculo"/>
            <w:rFonts w:eastAsiaTheme="minorHAnsi"/>
            <w:bCs/>
            <w:lang w:eastAsia="en-US"/>
          </w:rPr>
          <w:t>Transporturi</w:t>
        </w:r>
        <w:proofErr w:type="spellEnd"/>
        <w:r w:rsidR="004A2D44">
          <w:rPr>
            <w:rStyle w:val="Hipervnculo"/>
            <w:rFonts w:eastAsiaTheme="minorHAnsi"/>
            <w:bCs/>
            <w:lang w:eastAsia="en-US"/>
          </w:rPr>
          <w:t xml:space="preserve"> </w:t>
        </w:r>
        <w:proofErr w:type="spellStart"/>
        <w:r w:rsidR="004A2D44">
          <w:rPr>
            <w:rStyle w:val="Hipervnculo"/>
            <w:rFonts w:eastAsiaTheme="minorHAnsi"/>
            <w:bCs/>
            <w:lang w:eastAsia="en-US"/>
          </w:rPr>
          <w:t>Aeriene</w:t>
        </w:r>
        <w:proofErr w:type="spellEnd"/>
        <w:r w:rsidR="004A2D44">
          <w:rPr>
            <w:rStyle w:val="Hipervnculo"/>
            <w:rFonts w:eastAsiaTheme="minorHAnsi"/>
            <w:bCs/>
            <w:lang w:eastAsia="en-US"/>
          </w:rPr>
          <w:t xml:space="preserve"> </w:t>
        </w:r>
        <w:proofErr w:type="spellStart"/>
        <w:r w:rsidR="004A2D44">
          <w:rPr>
            <w:rStyle w:val="Hipervnculo"/>
            <w:rFonts w:eastAsiaTheme="minorHAnsi"/>
            <w:bCs/>
            <w:lang w:eastAsia="en-US"/>
          </w:rPr>
          <w:t>Tarom</w:t>
        </w:r>
        <w:proofErr w:type="spellEnd"/>
        <w:r w:rsidR="004A2D44">
          <w:rPr>
            <w:rStyle w:val="Hipervnculo"/>
            <w:rFonts w:eastAsiaTheme="minorHAnsi"/>
            <w:bCs/>
            <w:lang w:eastAsia="en-US"/>
          </w:rPr>
          <w:t>)</w:t>
        </w:r>
      </w:hyperlink>
      <w:r w:rsidR="004A2D44">
        <w:rPr>
          <w:rFonts w:eastAsiaTheme="minorHAnsi"/>
          <w:bCs/>
          <w:lang w:eastAsia="en-US"/>
        </w:rPr>
        <w:t xml:space="preserve">. </w:t>
      </w:r>
      <w:r w:rsidR="004A2D44" w:rsidRPr="004A2D44">
        <w:rPr>
          <w:rFonts w:eastAsiaTheme="minorHAnsi"/>
          <w:bCs/>
          <w:lang w:eastAsia="en-US"/>
        </w:rPr>
        <w:t>«Procedimiento prejudicial — Artículo 99 del Reglamento de Procedimiento del Tribunal de Justicia — Transportes aéreos — Reglamento (CE) n.º 261/2004 — Artículo 5, apartado 1, letra c), inciso </w:t>
      </w:r>
      <w:proofErr w:type="spellStart"/>
      <w:r w:rsidR="004A2D44" w:rsidRPr="004A2D44">
        <w:rPr>
          <w:rFonts w:eastAsiaTheme="minorHAnsi"/>
          <w:bCs/>
          <w:lang w:eastAsia="en-US"/>
        </w:rPr>
        <w:t>iii</w:t>
      </w:r>
      <w:proofErr w:type="spellEnd"/>
      <w:r w:rsidR="004A2D44" w:rsidRPr="004A2D44">
        <w:rPr>
          <w:rFonts w:eastAsiaTheme="minorHAnsi"/>
          <w:bCs/>
          <w:lang w:eastAsia="en-US"/>
        </w:rPr>
        <w:t>) — Compensación y asistencia a los pasajeros — Cancelación de un vuelo — Derecho a compensación en caso de oferta de transporte alternativo — Requisitos — Divergencia entre las diferentes versiones lingüísticas de una disposición del Derecho de la Unión — Vuelo alternativo que permite a los pasajeros salir con no más de una hora de antelación con respecto a la hora de salida prevista»</w:t>
      </w:r>
      <w:r w:rsidR="004A2D44">
        <w:rPr>
          <w:rFonts w:eastAsiaTheme="minorHAnsi"/>
          <w:bCs/>
          <w:lang w:eastAsia="en-US"/>
        </w:rPr>
        <w:t xml:space="preserve">. </w:t>
      </w:r>
    </w:p>
    <w:p w14:paraId="2F486A1A" w14:textId="255652A8" w:rsidR="002B1E17" w:rsidRPr="002B1E17" w:rsidRDefault="00FA3DA2" w:rsidP="002B1E17">
      <w:pPr>
        <w:spacing w:after="240"/>
        <w:jc w:val="center"/>
        <w:rPr>
          <w:b/>
          <w:bCs/>
        </w:rPr>
      </w:pPr>
      <w:r>
        <w:rPr>
          <w:noProof/>
        </w:rPr>
        <w:pict w14:anchorId="5ED1CBD8">
          <v:rect id="_x0000_i1027" alt="" style="width:425.2pt;height:.05pt;mso-width-percent:0;mso-height-percent:0;mso-width-percent:0;mso-height-percent:0" o:hralign="center" o:hrstd="t" o:hr="t" fillcolor="#a0a0a0" stroked="f"/>
        </w:pict>
      </w:r>
    </w:p>
    <w:p w14:paraId="128DA054" w14:textId="0A3A49E8" w:rsidR="00C47765" w:rsidRDefault="00C47765" w:rsidP="000D2B7E">
      <w:pPr>
        <w:spacing w:after="240"/>
        <w:rPr>
          <w:b/>
          <w:bCs/>
        </w:rPr>
      </w:pPr>
    </w:p>
    <w:p w14:paraId="101F0A4F" w14:textId="2860ADCD" w:rsidR="00B670BA" w:rsidRPr="002E4D27" w:rsidRDefault="00B670BA" w:rsidP="002B1E17">
      <w:pPr>
        <w:spacing w:after="240"/>
        <w:jc w:val="center"/>
        <w:rPr>
          <w:b/>
          <w:bCs/>
          <w:sz w:val="28"/>
          <w:szCs w:val="28"/>
        </w:rPr>
      </w:pPr>
      <w:r w:rsidRPr="00944EC3">
        <w:rPr>
          <w:b/>
          <w:bCs/>
          <w:sz w:val="28"/>
          <w:szCs w:val="28"/>
        </w:rPr>
        <w:t>TRIBUNAL CONSTITUCIONAL</w:t>
      </w:r>
    </w:p>
    <w:p w14:paraId="1FF85B6E" w14:textId="5AC60316" w:rsidR="00B670BA" w:rsidRDefault="00B670BA" w:rsidP="00B670BA">
      <w:pPr>
        <w:spacing w:after="240"/>
        <w:jc w:val="both"/>
        <w:rPr>
          <w:b/>
          <w:bCs/>
        </w:rPr>
      </w:pPr>
      <w:r w:rsidRPr="00D835ED">
        <w:rPr>
          <w:b/>
          <w:bCs/>
        </w:rPr>
        <w:t>Sentencias</w:t>
      </w:r>
    </w:p>
    <w:p w14:paraId="79714991" w14:textId="61A1077F" w:rsidR="001630E8" w:rsidRPr="001630E8" w:rsidRDefault="00000000" w:rsidP="00B670BA">
      <w:pPr>
        <w:spacing w:after="240"/>
        <w:jc w:val="both"/>
      </w:pPr>
      <w:hyperlink r:id="rId15" w:history="1">
        <w:r w:rsidR="001630E8" w:rsidRPr="00E80417">
          <w:rPr>
            <w:rStyle w:val="Hipervnculo"/>
          </w:rPr>
          <w:t>Sala Segunda. Sentencia 123/2022, de 10 de octubre de 2022</w:t>
        </w:r>
      </w:hyperlink>
      <w:r w:rsidR="001630E8">
        <w:t>. “</w:t>
      </w:r>
      <w:r w:rsidR="001630E8" w:rsidRPr="001630E8">
        <w:t xml:space="preserve">Recurso de amparo 1553-2021. Promovido por </w:t>
      </w:r>
      <w:proofErr w:type="spellStart"/>
      <w:r w:rsidR="001630E8" w:rsidRPr="001630E8">
        <w:t>doña</w:t>
      </w:r>
      <w:proofErr w:type="spellEnd"/>
      <w:r w:rsidR="001630E8" w:rsidRPr="001630E8">
        <w:t xml:space="preserve"> Susana Azucena </w:t>
      </w:r>
      <w:proofErr w:type="spellStart"/>
      <w:r w:rsidR="001630E8" w:rsidRPr="001630E8">
        <w:t>Mejías</w:t>
      </w:r>
      <w:proofErr w:type="spellEnd"/>
      <w:r w:rsidR="001630E8" w:rsidRPr="001630E8">
        <w:t xml:space="preserve"> Benites respecto de las resoluciones dictadas por la Audiencia Provincial y un juzgado de primera instancia de Madrid en procedimiento de </w:t>
      </w:r>
      <w:proofErr w:type="spellStart"/>
      <w:r w:rsidR="001630E8" w:rsidRPr="001630E8">
        <w:t>ejecución</w:t>
      </w:r>
      <w:proofErr w:type="spellEnd"/>
      <w:r w:rsidR="001630E8" w:rsidRPr="001630E8">
        <w:t xml:space="preserve"> hipotecaria. </w:t>
      </w:r>
      <w:proofErr w:type="spellStart"/>
      <w:r w:rsidR="001630E8" w:rsidRPr="001630E8">
        <w:t>Vulneración</w:t>
      </w:r>
      <w:proofErr w:type="spellEnd"/>
      <w:r w:rsidR="001630E8" w:rsidRPr="001630E8">
        <w:t xml:space="preserve"> del derecho a la tutela judicial efectiva (</w:t>
      </w:r>
      <w:proofErr w:type="spellStart"/>
      <w:r w:rsidR="001630E8" w:rsidRPr="001630E8">
        <w:t>motivación</w:t>
      </w:r>
      <w:proofErr w:type="spellEnd"/>
      <w:r w:rsidR="001630E8" w:rsidRPr="001630E8">
        <w:t xml:space="preserve">): STC 31/2019 (ausencia de control judicial de las </w:t>
      </w:r>
      <w:proofErr w:type="spellStart"/>
      <w:r w:rsidR="001630E8" w:rsidRPr="001630E8">
        <w:t>cláusulas</w:t>
      </w:r>
      <w:proofErr w:type="spellEnd"/>
      <w:r w:rsidR="001630E8" w:rsidRPr="001630E8">
        <w:t xml:space="preserve"> abusivas que desconoce la </w:t>
      </w:r>
      <w:proofErr w:type="spellStart"/>
      <w:r w:rsidR="001630E8" w:rsidRPr="001630E8">
        <w:t>primacía</w:t>
      </w:r>
      <w:proofErr w:type="spellEnd"/>
      <w:r w:rsidR="001630E8" w:rsidRPr="001630E8">
        <w:t xml:space="preserve"> del Derecho de la </w:t>
      </w:r>
      <w:proofErr w:type="spellStart"/>
      <w:r w:rsidR="001630E8" w:rsidRPr="001630E8">
        <w:t>Unión</w:t>
      </w:r>
      <w:proofErr w:type="spellEnd"/>
      <w:r w:rsidR="001630E8" w:rsidRPr="001630E8">
        <w:t xml:space="preserve"> </w:t>
      </w:r>
      <w:proofErr w:type="gramStart"/>
      <w:r w:rsidR="001630E8" w:rsidRPr="001630E8">
        <w:t>Europea</w:t>
      </w:r>
      <w:proofErr w:type="gramEnd"/>
      <w:r w:rsidR="001630E8" w:rsidRPr="001630E8">
        <w:t xml:space="preserve"> y la jurisprudencia del Tribunal de Justicia).</w:t>
      </w:r>
    </w:p>
    <w:p w14:paraId="30FC5D41" w14:textId="54E470BE" w:rsidR="001630E8" w:rsidRPr="001630E8" w:rsidRDefault="00000000" w:rsidP="00B670BA">
      <w:pPr>
        <w:spacing w:after="240"/>
        <w:jc w:val="both"/>
      </w:pPr>
      <w:hyperlink r:id="rId16" w:history="1">
        <w:r w:rsidR="001630E8" w:rsidRPr="001630E8">
          <w:rPr>
            <w:rStyle w:val="Hipervnculo"/>
          </w:rPr>
          <w:t>Sala Primera. Sentencia 141/2022, de 14 de noviembre de 2022</w:t>
        </w:r>
      </w:hyperlink>
      <w:r w:rsidR="001630E8">
        <w:t>. “</w:t>
      </w:r>
      <w:r w:rsidR="001630E8" w:rsidRPr="001630E8">
        <w:t xml:space="preserve">Recurso de amparo 5094-2021. Promovido por </w:t>
      </w:r>
      <w:proofErr w:type="spellStart"/>
      <w:r w:rsidR="001630E8" w:rsidRPr="001630E8">
        <w:t>doña</w:t>
      </w:r>
      <w:proofErr w:type="spellEnd"/>
      <w:r w:rsidR="001630E8" w:rsidRPr="001630E8">
        <w:t xml:space="preserve"> </w:t>
      </w:r>
      <w:proofErr w:type="spellStart"/>
      <w:r w:rsidR="001630E8" w:rsidRPr="001630E8">
        <w:t>María</w:t>
      </w:r>
      <w:proofErr w:type="spellEnd"/>
      <w:r w:rsidR="001630E8" w:rsidRPr="001630E8">
        <w:t xml:space="preserve"> Henar </w:t>
      </w:r>
      <w:proofErr w:type="spellStart"/>
      <w:r w:rsidR="001630E8" w:rsidRPr="001630E8">
        <w:t>Castaño</w:t>
      </w:r>
      <w:proofErr w:type="spellEnd"/>
      <w:r w:rsidR="001630E8" w:rsidRPr="001630E8">
        <w:t xml:space="preserve"> Jorge respecto de sendos autos dictados por un juzgado de primera instancia de Fuenlabrada (Madrid) en procedimiento de </w:t>
      </w:r>
      <w:proofErr w:type="spellStart"/>
      <w:r w:rsidR="001630E8" w:rsidRPr="001630E8">
        <w:t>ejecución</w:t>
      </w:r>
      <w:proofErr w:type="spellEnd"/>
      <w:r w:rsidR="001630E8" w:rsidRPr="001630E8">
        <w:t xml:space="preserve"> hipotecaria. </w:t>
      </w:r>
      <w:proofErr w:type="spellStart"/>
      <w:r w:rsidR="001630E8" w:rsidRPr="001630E8">
        <w:t>Vulneración</w:t>
      </w:r>
      <w:proofErr w:type="spellEnd"/>
      <w:r w:rsidR="001630E8" w:rsidRPr="001630E8">
        <w:t xml:space="preserve"> del derecho a la tutela judicial efectiva (</w:t>
      </w:r>
      <w:proofErr w:type="spellStart"/>
      <w:r w:rsidR="001630E8" w:rsidRPr="001630E8">
        <w:t>motivación</w:t>
      </w:r>
      <w:proofErr w:type="spellEnd"/>
      <w:r w:rsidR="001630E8" w:rsidRPr="001630E8">
        <w:t xml:space="preserve">): STC 31/2019 (ausencia de control judicial de las </w:t>
      </w:r>
      <w:proofErr w:type="spellStart"/>
      <w:r w:rsidR="001630E8" w:rsidRPr="001630E8">
        <w:t>cláusulas</w:t>
      </w:r>
      <w:proofErr w:type="spellEnd"/>
      <w:r w:rsidR="001630E8" w:rsidRPr="001630E8">
        <w:t xml:space="preserve"> abusivas que desconoce la </w:t>
      </w:r>
      <w:proofErr w:type="spellStart"/>
      <w:r w:rsidR="001630E8" w:rsidRPr="001630E8">
        <w:t>primacía</w:t>
      </w:r>
      <w:proofErr w:type="spellEnd"/>
      <w:r w:rsidR="001630E8" w:rsidRPr="001630E8">
        <w:t xml:space="preserve"> del Derecho de la </w:t>
      </w:r>
      <w:proofErr w:type="spellStart"/>
      <w:r w:rsidR="001630E8" w:rsidRPr="001630E8">
        <w:t>Unión</w:t>
      </w:r>
      <w:proofErr w:type="spellEnd"/>
      <w:r w:rsidR="001630E8" w:rsidRPr="001630E8">
        <w:t xml:space="preserve"> </w:t>
      </w:r>
      <w:proofErr w:type="gramStart"/>
      <w:r w:rsidR="001630E8" w:rsidRPr="001630E8">
        <w:t>Europea</w:t>
      </w:r>
      <w:proofErr w:type="gramEnd"/>
      <w:r w:rsidR="001630E8" w:rsidRPr="001630E8">
        <w:t xml:space="preserve"> y la jurisprudencia del Tribunal de Justicia). Voto particular</w:t>
      </w:r>
      <w:r w:rsidR="001630E8">
        <w:t xml:space="preserve">”. </w:t>
      </w:r>
    </w:p>
    <w:p w14:paraId="5B0CB543" w14:textId="540C425C" w:rsidR="00B1119A" w:rsidRPr="00B1119A" w:rsidRDefault="00000000" w:rsidP="001630E8">
      <w:pPr>
        <w:spacing w:after="240"/>
        <w:jc w:val="both"/>
      </w:pPr>
      <w:hyperlink r:id="rId17" w:history="1">
        <w:r w:rsidR="00B1119A" w:rsidRPr="001630E8">
          <w:rPr>
            <w:rStyle w:val="Hipervnculo"/>
          </w:rPr>
          <w:t>Pleno. Sentencia 151/2022, de 30 de noviembre de 2022</w:t>
        </w:r>
      </w:hyperlink>
      <w:r w:rsidR="00B1119A">
        <w:t xml:space="preserve">. “Recurso de amparo 6684-2019, promovido por </w:t>
      </w:r>
      <w:r w:rsidR="001630E8">
        <w:t xml:space="preserve">don Francisco José Sánchez de la Peña y doña María Isabel Santiago </w:t>
      </w:r>
      <w:proofErr w:type="spellStart"/>
      <w:r w:rsidR="001630E8">
        <w:t>Irus</w:t>
      </w:r>
      <w:proofErr w:type="spellEnd"/>
      <w:r w:rsidR="001630E8">
        <w:t xml:space="preserve"> respecto de las resoluciones dictadas por la Sección Primera de la Audiencia Provincial de Toledo sobre declaración de cláusulas abusivas en contrato de préstamo con garantía </w:t>
      </w:r>
      <w:r w:rsidR="001630E8">
        <w:lastRenderedPageBreak/>
        <w:t>hipotecaria. Supuesta vulneración de los derechos a la igualdad y a la tutela judicial efectiva (acceso al recurso legal y motivación): extemporaneidad de la nulidad interesada transcurridos veinte días desde la publicación de la sentencia dictada por el Tribunal de Justicia de la Unión Europea en el asunto Gutiérrez Naranjo y otros en el Diario Oficial de la Unión Europea. Votos particulares”.</w:t>
      </w:r>
    </w:p>
    <w:p w14:paraId="237386E8" w14:textId="1A7D90F3" w:rsidR="00B670BA" w:rsidRDefault="00FA3DA2" w:rsidP="002B1E17">
      <w:pPr>
        <w:spacing w:after="240"/>
        <w:jc w:val="center"/>
        <w:rPr>
          <w:b/>
          <w:bCs/>
          <w:sz w:val="28"/>
          <w:szCs w:val="28"/>
          <w:highlight w:val="yellow"/>
        </w:rPr>
      </w:pPr>
      <w:r>
        <w:rPr>
          <w:noProof/>
        </w:rPr>
        <w:pict w14:anchorId="0C334BEC">
          <v:rect id="_x0000_i1026" alt="" style="width:425.2pt;height:.05pt;mso-width-percent:0;mso-height-percent:0;mso-width-percent:0;mso-height-percent:0" o:hralign="center" o:hrstd="t" o:hr="t" fillcolor="#a0a0a0" stroked="f"/>
        </w:pict>
      </w:r>
    </w:p>
    <w:p w14:paraId="219D2AAD" w14:textId="4BC1925C" w:rsidR="00B670BA" w:rsidRDefault="00B670BA" w:rsidP="002B1E17">
      <w:pPr>
        <w:spacing w:after="240"/>
        <w:jc w:val="center"/>
        <w:rPr>
          <w:b/>
          <w:bCs/>
          <w:sz w:val="28"/>
          <w:szCs w:val="28"/>
          <w:highlight w:val="yellow"/>
        </w:rPr>
      </w:pPr>
    </w:p>
    <w:p w14:paraId="6CD7E1B6" w14:textId="220B2BD4" w:rsidR="002B1E17" w:rsidRPr="00440EC2" w:rsidRDefault="002B1E17" w:rsidP="002B1E17">
      <w:pPr>
        <w:spacing w:after="240"/>
        <w:jc w:val="center"/>
        <w:rPr>
          <w:b/>
          <w:bCs/>
          <w:sz w:val="28"/>
          <w:szCs w:val="28"/>
        </w:rPr>
      </w:pPr>
      <w:r w:rsidRPr="00D22E2A">
        <w:rPr>
          <w:b/>
          <w:bCs/>
          <w:sz w:val="28"/>
          <w:szCs w:val="28"/>
        </w:rPr>
        <w:t>TRIBUNAL SUPREMO</w:t>
      </w:r>
      <w:r w:rsidR="00C47765" w:rsidRPr="00D22E2A">
        <w:rPr>
          <w:b/>
          <w:bCs/>
          <w:sz w:val="28"/>
          <w:szCs w:val="28"/>
        </w:rPr>
        <w:t xml:space="preserve"> (CENDOJ – Selección)</w:t>
      </w:r>
    </w:p>
    <w:p w14:paraId="20C1650F" w14:textId="6B911769" w:rsidR="00C87AA6" w:rsidRPr="00274E63" w:rsidRDefault="00C87AA6" w:rsidP="008D4ACD">
      <w:pPr>
        <w:spacing w:after="240"/>
        <w:jc w:val="both"/>
        <w:rPr>
          <w:b/>
          <w:bCs/>
        </w:rPr>
      </w:pPr>
    </w:p>
    <w:p w14:paraId="3D06F382" w14:textId="4392F847" w:rsidR="004165FA" w:rsidRDefault="00707164" w:rsidP="00D637F0">
      <w:pPr>
        <w:spacing w:after="240"/>
        <w:jc w:val="both"/>
        <w:rPr>
          <w:b/>
          <w:bCs/>
        </w:rPr>
      </w:pPr>
      <w:r>
        <w:rPr>
          <w:b/>
          <w:bCs/>
        </w:rPr>
        <w:t>C</w:t>
      </w:r>
      <w:r w:rsidR="007002AC">
        <w:rPr>
          <w:b/>
          <w:bCs/>
        </w:rPr>
        <w:t>ondición legal</w:t>
      </w:r>
      <w:r>
        <w:rPr>
          <w:b/>
          <w:bCs/>
        </w:rPr>
        <w:t xml:space="preserve"> de consumidor </w:t>
      </w:r>
    </w:p>
    <w:p w14:paraId="784BA0A5" w14:textId="00D00DAF" w:rsidR="00A0441B" w:rsidRPr="00A0441B" w:rsidRDefault="00A0441B" w:rsidP="00D637F0">
      <w:pPr>
        <w:spacing w:after="240"/>
        <w:jc w:val="both"/>
      </w:pPr>
      <w:hyperlink r:id="rId18" w:history="1">
        <w:r w:rsidRPr="00A0441B">
          <w:rPr>
            <w:rStyle w:val="Hipervnculo"/>
          </w:rPr>
          <w:t>STS, Sala Primera, 711/2022, de 26 de octubre de 2022</w:t>
        </w:r>
      </w:hyperlink>
      <w:r>
        <w:t>. “</w:t>
      </w:r>
      <w:r w:rsidRPr="00A0441B">
        <w:t>Préstamo hipotecario con cláusula suelo. Fiadora que no tiene relación orgánica ni de gerencia, ni participación en el capital social de la sociedad mercantil prestataria; tampoco responde de las deudas de su cónyuge. Inoponibilidad de la cláusula suelo</w:t>
      </w:r>
      <w:r>
        <w:t xml:space="preserve">”. </w:t>
      </w:r>
    </w:p>
    <w:p w14:paraId="39A1278F" w14:textId="4B02C02A" w:rsidR="00A0441B" w:rsidRPr="00A0441B" w:rsidRDefault="00A0441B" w:rsidP="00D637F0">
      <w:pPr>
        <w:spacing w:after="240"/>
        <w:jc w:val="both"/>
      </w:pPr>
      <w:hyperlink r:id="rId19" w:history="1">
        <w:r w:rsidRPr="00A0441B">
          <w:rPr>
            <w:rStyle w:val="Hipervnculo"/>
          </w:rPr>
          <w:t>STS, Sala Primera, 712/2022, de 26 de octubre de 2022</w:t>
        </w:r>
      </w:hyperlink>
      <w:r>
        <w:t>. “</w:t>
      </w:r>
      <w:r w:rsidRPr="00A0441B">
        <w:t>Préstamo con garantía hipotecaria (varios prestatarios que integran una comunidad de bienes). Carácter de consumidor. La comunidad de bienes y su posible carácter de consumidor. Ánimo de lucro. Ámbito ajeno a la actividad empresarial</w:t>
      </w:r>
      <w:r>
        <w:t xml:space="preserve">”. </w:t>
      </w:r>
    </w:p>
    <w:p w14:paraId="16D23738" w14:textId="42B904AF" w:rsidR="007002AC" w:rsidRPr="007002AC" w:rsidRDefault="007002AC" w:rsidP="00D637F0">
      <w:pPr>
        <w:spacing w:after="240"/>
        <w:jc w:val="both"/>
      </w:pPr>
      <w:hyperlink r:id="rId20" w:history="1">
        <w:r w:rsidRPr="007002AC">
          <w:rPr>
            <w:rStyle w:val="Hipervnculo"/>
          </w:rPr>
          <w:t>STS, Sala Primera, 804/2022, de 22 de noviembre de 2022</w:t>
        </w:r>
      </w:hyperlink>
      <w:r>
        <w:t>. “</w:t>
      </w:r>
      <w:r w:rsidRPr="007002AC">
        <w:t>Condiciones generales de la contratación. No aplicación de la normativa protectora de consumidores al carecer de esta condición la prestataria</w:t>
      </w:r>
      <w:r>
        <w:t xml:space="preserve">”. </w:t>
      </w:r>
    </w:p>
    <w:p w14:paraId="674F0517" w14:textId="7E3C8F0B" w:rsidR="00707164" w:rsidRPr="00707164" w:rsidRDefault="00707164" w:rsidP="00D637F0">
      <w:pPr>
        <w:spacing w:after="240"/>
        <w:jc w:val="both"/>
      </w:pPr>
      <w:hyperlink r:id="rId21" w:history="1">
        <w:r w:rsidRPr="00707164">
          <w:rPr>
            <w:rStyle w:val="Hipervnculo"/>
          </w:rPr>
          <w:t>STS, Sala Primera, 873/2022, de 9 de diciembre de 2022</w:t>
        </w:r>
      </w:hyperlink>
      <w:r>
        <w:t>. “</w:t>
      </w:r>
      <w:r w:rsidRPr="00707164">
        <w:t>Préstamo hipotecario con doble finalidad comercial o profesional y personal. Condición legal de consumidor del prestatario. Finalidad preponderante del préstamo y criterio del objeto empresarial mínimo o insignificante. Reiteración de doctrina</w:t>
      </w:r>
      <w:r>
        <w:t xml:space="preserve">”. </w:t>
      </w:r>
    </w:p>
    <w:p w14:paraId="5DD43A8E" w14:textId="77777777" w:rsidR="00274E63" w:rsidRDefault="00274E63" w:rsidP="00D637F0">
      <w:pPr>
        <w:spacing w:after="240"/>
        <w:jc w:val="both"/>
        <w:rPr>
          <w:b/>
          <w:bCs/>
        </w:rPr>
      </w:pPr>
    </w:p>
    <w:p w14:paraId="09FB3988" w14:textId="6AC9E146" w:rsidR="0055152E" w:rsidRDefault="00CD66C6" w:rsidP="00D637F0">
      <w:pPr>
        <w:spacing w:after="240"/>
        <w:jc w:val="both"/>
        <w:rPr>
          <w:b/>
          <w:bCs/>
        </w:rPr>
      </w:pPr>
      <w:r>
        <w:rPr>
          <w:b/>
          <w:bCs/>
        </w:rPr>
        <w:t xml:space="preserve">Cláusulas abusivas </w:t>
      </w:r>
    </w:p>
    <w:p w14:paraId="2D7407FF" w14:textId="5C411B90" w:rsidR="00A0441B" w:rsidRDefault="00A0441B" w:rsidP="00D637F0">
      <w:pPr>
        <w:pStyle w:val="Prrafodelista"/>
        <w:numPr>
          <w:ilvl w:val="0"/>
          <w:numId w:val="16"/>
        </w:numPr>
        <w:spacing w:after="240"/>
        <w:jc w:val="both"/>
        <w:rPr>
          <w:rFonts w:ascii="Times New Roman" w:hAnsi="Times New Roman" w:cs="Times New Roman"/>
          <w:b/>
          <w:bCs/>
          <w:sz w:val="24"/>
          <w:szCs w:val="24"/>
        </w:rPr>
      </w:pPr>
      <w:r>
        <w:rPr>
          <w:rFonts w:ascii="Times New Roman" w:hAnsi="Times New Roman" w:cs="Times New Roman"/>
          <w:b/>
          <w:bCs/>
          <w:sz w:val="24"/>
          <w:szCs w:val="24"/>
        </w:rPr>
        <w:t xml:space="preserve">Cláusula de afianzamiento solidario </w:t>
      </w:r>
    </w:p>
    <w:p w14:paraId="48CB5A26" w14:textId="5B9F08C8" w:rsidR="00A0441B" w:rsidRPr="00A0441B" w:rsidRDefault="002C1D4A" w:rsidP="00A0441B">
      <w:pPr>
        <w:spacing w:after="240"/>
        <w:jc w:val="both"/>
      </w:pPr>
      <w:hyperlink r:id="rId22" w:history="1">
        <w:r w:rsidR="00A0441B" w:rsidRPr="002C1D4A">
          <w:rPr>
            <w:rStyle w:val="Hipervnculo"/>
          </w:rPr>
          <w:t xml:space="preserve">STS, Sala Primera, </w:t>
        </w:r>
        <w:r w:rsidRPr="002C1D4A">
          <w:rPr>
            <w:rStyle w:val="Hipervnculo"/>
          </w:rPr>
          <w:t>684/2022, de 19 de octubre de 2022</w:t>
        </w:r>
      </w:hyperlink>
      <w:r>
        <w:t>. “</w:t>
      </w:r>
      <w:r w:rsidRPr="002C1D4A">
        <w:t xml:space="preserve">Condiciones generales de la contratación. Legitimación activa del prestatario para instar la nulidad de la cláusula de afianzamiento solidario por falta de transparencia. Carencia de efecto </w:t>
      </w:r>
      <w:proofErr w:type="spellStart"/>
      <w:r w:rsidRPr="002C1D4A">
        <w:t>util</w:t>
      </w:r>
      <w:proofErr w:type="spellEnd"/>
      <w:r w:rsidRPr="002C1D4A">
        <w:t xml:space="preserve"> del recurso. La cláusula supera el control de transparencia</w:t>
      </w:r>
      <w:r>
        <w:t xml:space="preserve">”. </w:t>
      </w:r>
    </w:p>
    <w:p w14:paraId="1FA3E8CC" w14:textId="48A99989" w:rsidR="00D637F0" w:rsidRDefault="00D637F0" w:rsidP="00D637F0">
      <w:pPr>
        <w:pStyle w:val="Prrafodelista"/>
        <w:numPr>
          <w:ilvl w:val="0"/>
          <w:numId w:val="16"/>
        </w:numPr>
        <w:spacing w:after="240"/>
        <w:jc w:val="both"/>
        <w:rPr>
          <w:rFonts w:ascii="Times New Roman" w:hAnsi="Times New Roman" w:cs="Times New Roman"/>
          <w:b/>
          <w:bCs/>
          <w:sz w:val="24"/>
          <w:szCs w:val="24"/>
        </w:rPr>
      </w:pPr>
      <w:r w:rsidRPr="00D637F0">
        <w:rPr>
          <w:rFonts w:ascii="Times New Roman" w:hAnsi="Times New Roman" w:cs="Times New Roman"/>
          <w:b/>
          <w:bCs/>
          <w:sz w:val="24"/>
          <w:szCs w:val="24"/>
        </w:rPr>
        <w:t>Cláusula suelo</w:t>
      </w:r>
      <w:r w:rsidR="00CD66C6">
        <w:rPr>
          <w:rFonts w:ascii="Times New Roman" w:hAnsi="Times New Roman" w:cs="Times New Roman"/>
          <w:b/>
          <w:bCs/>
          <w:sz w:val="24"/>
          <w:szCs w:val="24"/>
        </w:rPr>
        <w:t xml:space="preserve">, control de incorporación y </w:t>
      </w:r>
      <w:r w:rsidR="008613A0">
        <w:rPr>
          <w:rFonts w:ascii="Times New Roman" w:hAnsi="Times New Roman" w:cs="Times New Roman"/>
          <w:b/>
          <w:bCs/>
          <w:sz w:val="24"/>
          <w:szCs w:val="24"/>
        </w:rPr>
        <w:t xml:space="preserve">de </w:t>
      </w:r>
      <w:r w:rsidR="00450241">
        <w:rPr>
          <w:rFonts w:ascii="Times New Roman" w:hAnsi="Times New Roman" w:cs="Times New Roman"/>
          <w:b/>
          <w:bCs/>
          <w:sz w:val="24"/>
          <w:szCs w:val="24"/>
        </w:rPr>
        <w:t>transparencia</w:t>
      </w:r>
    </w:p>
    <w:p w14:paraId="0DFAFE66" w14:textId="59E322B0" w:rsidR="00080E3E" w:rsidRDefault="002C1D4A" w:rsidP="00080E3E">
      <w:pPr>
        <w:spacing w:after="240"/>
        <w:jc w:val="both"/>
      </w:pPr>
      <w:hyperlink r:id="rId23" w:history="1">
        <w:r w:rsidRPr="002C1D4A">
          <w:rPr>
            <w:rStyle w:val="Hipervnculo"/>
          </w:rPr>
          <w:t>STS, Sala Primera, 638/2022, de 4 de octubre de 2022</w:t>
        </w:r>
      </w:hyperlink>
      <w:r>
        <w:t>. “</w:t>
      </w:r>
      <w:r w:rsidRPr="002C1D4A">
        <w:t>Condiciones generales de la contratación Cláusulas abusivas. Cláusula que establece un límite inferior a la variabilidad del interés. Suficiencia de la información precontractual</w:t>
      </w:r>
      <w:r>
        <w:t xml:space="preserve">”. </w:t>
      </w:r>
    </w:p>
    <w:p w14:paraId="42381660" w14:textId="72D14917" w:rsidR="002C1D4A" w:rsidRDefault="002C1D4A" w:rsidP="00080E3E">
      <w:pPr>
        <w:spacing w:after="240"/>
        <w:jc w:val="both"/>
      </w:pPr>
      <w:hyperlink r:id="rId24" w:history="1">
        <w:r w:rsidRPr="002C1D4A">
          <w:rPr>
            <w:rStyle w:val="Hipervnculo"/>
          </w:rPr>
          <w:t>STS, Sala Primera, 651/2022, de 11 de octubre de 2022</w:t>
        </w:r>
      </w:hyperlink>
      <w:r>
        <w:t>. “</w:t>
      </w:r>
      <w:r w:rsidRPr="002C1D4A">
        <w:t>Cláusula suelo en préstamo con consumidores. Control de transparencia. Información precontractual insuficiente</w:t>
      </w:r>
      <w:r>
        <w:t xml:space="preserve">”. </w:t>
      </w:r>
    </w:p>
    <w:p w14:paraId="4D8AD035" w14:textId="72AFA30F" w:rsidR="008F0C15" w:rsidRDefault="008F0C15" w:rsidP="00080E3E">
      <w:pPr>
        <w:spacing w:after="240"/>
        <w:jc w:val="both"/>
      </w:pPr>
      <w:hyperlink r:id="rId25" w:history="1">
        <w:r w:rsidRPr="008F0C15">
          <w:rPr>
            <w:rStyle w:val="Hipervnculo"/>
          </w:rPr>
          <w:t>STS, Sala Primera, 856/2022, de 30 de noviembre de 2022</w:t>
        </w:r>
      </w:hyperlink>
      <w:r>
        <w:t>. “</w:t>
      </w:r>
      <w:r w:rsidRPr="008F0C15">
        <w:t>Cláusula suelo. Compraventa con subrogación en préstamo hipotecario. El comprador era el consejero delegado de la promotora que vendió la vivienda y que había concertado el préstamo con la cláusula suelo</w:t>
      </w:r>
      <w:r>
        <w:t>”.</w:t>
      </w:r>
    </w:p>
    <w:p w14:paraId="4494A0C4" w14:textId="30201FAE" w:rsidR="00E35225" w:rsidRDefault="00E35225" w:rsidP="00080E3E">
      <w:pPr>
        <w:spacing w:after="240"/>
        <w:jc w:val="both"/>
      </w:pPr>
      <w:hyperlink r:id="rId26" w:history="1">
        <w:r w:rsidRPr="00E35225">
          <w:rPr>
            <w:rStyle w:val="Hipervnculo"/>
          </w:rPr>
          <w:t>STS, Sala Primera, 935/2022, de 19 de diciembre de 2022</w:t>
        </w:r>
      </w:hyperlink>
      <w:r>
        <w:t>. “</w:t>
      </w:r>
      <w:r w:rsidRPr="00E35225">
        <w:t>Préstamo hipotecario con consumidores. Cláusula suelo. Control de transparencia</w:t>
      </w:r>
      <w:r>
        <w:t xml:space="preserve">”. </w:t>
      </w:r>
    </w:p>
    <w:p w14:paraId="4CCAFA8E" w14:textId="5F83F388" w:rsidR="00C23D6B" w:rsidRDefault="00C23D6B" w:rsidP="00080E3E">
      <w:pPr>
        <w:spacing w:after="240"/>
        <w:jc w:val="both"/>
      </w:pPr>
      <w:hyperlink r:id="rId27" w:history="1">
        <w:r w:rsidRPr="00C23D6B">
          <w:rPr>
            <w:rStyle w:val="Hipervnculo"/>
          </w:rPr>
          <w:t>STS, Sala Primera, 979/2022, de 21 de diciembre de 2022</w:t>
        </w:r>
      </w:hyperlink>
      <w:r>
        <w:t>. “</w:t>
      </w:r>
      <w:r w:rsidRPr="00C23D6B">
        <w:t xml:space="preserve">Cláusula suelo. Nulidad de la condición general de la contratación relativa al límite del tipo de interés variable de un préstamo con garantía hipotecaria. Control de transparencia. </w:t>
      </w:r>
      <w:r w:rsidRPr="00C23D6B">
        <w:t>Cláusula</w:t>
      </w:r>
      <w:r w:rsidRPr="00C23D6B">
        <w:t xml:space="preserve"> abusiva</w:t>
      </w:r>
      <w:r>
        <w:t xml:space="preserve">”. </w:t>
      </w:r>
    </w:p>
    <w:p w14:paraId="64229C78" w14:textId="0B98C45A" w:rsidR="00C23D6B" w:rsidRDefault="00C23D6B" w:rsidP="00080E3E">
      <w:pPr>
        <w:spacing w:after="240"/>
        <w:jc w:val="both"/>
      </w:pPr>
      <w:hyperlink r:id="rId28" w:history="1">
        <w:r w:rsidRPr="00C23D6B">
          <w:rPr>
            <w:rStyle w:val="Hipervnculo"/>
          </w:rPr>
          <w:t>STS, Sala Primera, 980/2022, de 21 de diciembre de 2022</w:t>
        </w:r>
      </w:hyperlink>
      <w:r>
        <w:t>. “</w:t>
      </w:r>
      <w:r w:rsidRPr="00C23D6B">
        <w:t>Condiciones generales. Acción de nulidad de cláusula suelo en préstamo hipotecario. Control de transparencia: insuficiente información precontractual que no puede suplirse por la intervención del notario</w:t>
      </w:r>
      <w:r>
        <w:t xml:space="preserve">”. </w:t>
      </w:r>
    </w:p>
    <w:p w14:paraId="7EB17567" w14:textId="20D20653" w:rsidR="00E35225" w:rsidRDefault="00E35225" w:rsidP="00080E3E">
      <w:pPr>
        <w:spacing w:after="240"/>
        <w:jc w:val="both"/>
      </w:pPr>
      <w:hyperlink r:id="rId29" w:history="1">
        <w:r w:rsidRPr="00E35225">
          <w:rPr>
            <w:rStyle w:val="Hipervnculo"/>
          </w:rPr>
          <w:t>STS, Sala Primera, 982/2022, de 21 de diciembre de 2022</w:t>
        </w:r>
      </w:hyperlink>
      <w:r>
        <w:t>. “</w:t>
      </w:r>
      <w:r w:rsidRPr="00E35225">
        <w:t>Condiciones generales de la contratación. Nulidad de cláusula suelo por falta de transparencia. Jurisprudencia sobre el control de transparencia formal y material. Ausencia de información precontractual</w:t>
      </w:r>
      <w:r>
        <w:t xml:space="preserve">”. </w:t>
      </w:r>
    </w:p>
    <w:p w14:paraId="4B1D4E46" w14:textId="4833A2BF" w:rsidR="00C23D6B" w:rsidRDefault="00C23D6B" w:rsidP="00080E3E">
      <w:pPr>
        <w:spacing w:after="240"/>
        <w:jc w:val="both"/>
      </w:pPr>
      <w:hyperlink r:id="rId30" w:history="1">
        <w:r w:rsidRPr="00C23D6B">
          <w:rPr>
            <w:rStyle w:val="Hipervnculo"/>
          </w:rPr>
          <w:t>STS, Sala Primera, 986/2022, de 21 de diciembre de 2022</w:t>
        </w:r>
      </w:hyperlink>
      <w:r>
        <w:t>. “</w:t>
      </w:r>
      <w:r w:rsidRPr="00C23D6B">
        <w:t>Cláusula suelo. Control de transparencia de cláusulas contenidas en contratos celebrados con consumidores. Reiteración de doctrina de la Sala sobre la información precontractual necesaria</w:t>
      </w:r>
      <w:r>
        <w:t xml:space="preserve">”. </w:t>
      </w:r>
    </w:p>
    <w:p w14:paraId="4E5F661C" w14:textId="176C0197" w:rsidR="00080E3E" w:rsidRDefault="00C23D6B" w:rsidP="00080E3E">
      <w:pPr>
        <w:spacing w:after="240"/>
        <w:jc w:val="both"/>
      </w:pPr>
      <w:hyperlink r:id="rId31" w:history="1">
        <w:r w:rsidR="00080E3E" w:rsidRPr="00C23D6B">
          <w:rPr>
            <w:rStyle w:val="Hipervnculo"/>
          </w:rPr>
          <w:t>STS, Sala Primera, 988/2022, de 21 de diciembre de 2022</w:t>
        </w:r>
      </w:hyperlink>
      <w:r w:rsidR="00080E3E">
        <w:t>. “</w:t>
      </w:r>
      <w:r w:rsidR="00080E3E" w:rsidRPr="00080E3E">
        <w:t>Préstamo hipotecario con consumidores. Nulidad de la cláusula suelo. El control de transparencia de las cláusulas contenidas en contratos con consumidores. Reiteración de doctrina jurisprudencial. Relevancia de la información precontractual</w:t>
      </w:r>
      <w:r w:rsidR="00080E3E">
        <w:t xml:space="preserve">”. </w:t>
      </w:r>
    </w:p>
    <w:p w14:paraId="2585B41B" w14:textId="0FFAABA8" w:rsidR="00C23D6B" w:rsidRPr="00080E3E" w:rsidRDefault="00C23D6B" w:rsidP="00080E3E">
      <w:pPr>
        <w:spacing w:after="240"/>
        <w:jc w:val="both"/>
      </w:pPr>
      <w:hyperlink r:id="rId32" w:history="1">
        <w:r w:rsidRPr="00C23D6B">
          <w:rPr>
            <w:rStyle w:val="Hipervnculo"/>
          </w:rPr>
          <w:t>STS, Sala Primera, 989/2022, de 21 de diciembre de 2022</w:t>
        </w:r>
      </w:hyperlink>
      <w:r>
        <w:t>. “</w:t>
      </w:r>
      <w:r w:rsidRPr="00C23D6B">
        <w:t>Cláusula suelo. Control de transparencia. Ausencia de información precontractual suficiente. La intervención notarial no suple la obligación de información por parte de la entidad predisponente. Reiteración de la jurisprudencia</w:t>
      </w:r>
      <w:r>
        <w:t xml:space="preserve">”. </w:t>
      </w:r>
    </w:p>
    <w:p w14:paraId="780DB337" w14:textId="22A9DDB9" w:rsidR="00E80417" w:rsidRPr="00E80417" w:rsidRDefault="00000000" w:rsidP="00E80417">
      <w:pPr>
        <w:spacing w:after="240"/>
        <w:jc w:val="both"/>
      </w:pPr>
      <w:hyperlink r:id="rId33" w:history="1">
        <w:r w:rsidR="00E80417" w:rsidRPr="00E80417">
          <w:rPr>
            <w:rStyle w:val="Hipervnculo"/>
          </w:rPr>
          <w:t>STS, Sala Primera, 1035/2022, de 23 de diciembre de 2022</w:t>
        </w:r>
      </w:hyperlink>
      <w:r w:rsidR="00E80417">
        <w:t>. “</w:t>
      </w:r>
      <w:r w:rsidR="00E80417" w:rsidRPr="00E80417">
        <w:t xml:space="preserve">Condiciones generales de la contratación. </w:t>
      </w:r>
      <w:r w:rsidR="00E80417">
        <w:t>N</w:t>
      </w:r>
      <w:r w:rsidR="00E80417" w:rsidRPr="00E80417">
        <w:t xml:space="preserve">ulidad de cláusula suelo. </w:t>
      </w:r>
      <w:r w:rsidR="00E80417">
        <w:t>C</w:t>
      </w:r>
      <w:r w:rsidR="00E80417" w:rsidRPr="00E80417">
        <w:t xml:space="preserve">ontrol de incorporación y transparencia en la contratación con consumidores. </w:t>
      </w:r>
      <w:r w:rsidR="00E80417">
        <w:t>I</w:t>
      </w:r>
      <w:r w:rsidR="00E80417" w:rsidRPr="00E80417">
        <w:t>nexistencia de terminación del proceso satisfacción extraprocesal</w:t>
      </w:r>
      <w:r w:rsidR="00E80417">
        <w:t xml:space="preserve">”. </w:t>
      </w:r>
    </w:p>
    <w:p w14:paraId="5366383E" w14:textId="68349722" w:rsidR="00080E3E" w:rsidRPr="00274E63" w:rsidRDefault="00D637F0" w:rsidP="00080E3E">
      <w:pPr>
        <w:pStyle w:val="Prrafodelista"/>
        <w:numPr>
          <w:ilvl w:val="0"/>
          <w:numId w:val="16"/>
        </w:numPr>
        <w:spacing w:after="240"/>
        <w:jc w:val="both"/>
        <w:rPr>
          <w:rFonts w:ascii="Times New Roman" w:hAnsi="Times New Roman" w:cs="Times New Roman"/>
          <w:b/>
          <w:bCs/>
          <w:sz w:val="24"/>
          <w:szCs w:val="24"/>
        </w:rPr>
      </w:pPr>
      <w:r>
        <w:rPr>
          <w:rFonts w:ascii="Times New Roman" w:hAnsi="Times New Roman" w:cs="Times New Roman"/>
          <w:b/>
          <w:bCs/>
          <w:sz w:val="24"/>
          <w:szCs w:val="24"/>
        </w:rPr>
        <w:t>Cláusula suelo</w:t>
      </w:r>
      <w:r w:rsidR="00726A56">
        <w:rPr>
          <w:rFonts w:ascii="Times New Roman" w:hAnsi="Times New Roman" w:cs="Times New Roman"/>
          <w:b/>
          <w:bCs/>
          <w:sz w:val="24"/>
          <w:szCs w:val="24"/>
        </w:rPr>
        <w:t>, novación y renuncia de acciones</w:t>
      </w:r>
    </w:p>
    <w:p w14:paraId="2CE55610" w14:textId="2122C8C8" w:rsidR="00A0441B" w:rsidRDefault="00A0441B" w:rsidP="00080E3E">
      <w:pPr>
        <w:spacing w:after="240"/>
        <w:jc w:val="both"/>
      </w:pPr>
      <w:hyperlink r:id="rId34" w:history="1">
        <w:r w:rsidRPr="00A0441B">
          <w:rPr>
            <w:rStyle w:val="Hipervnculo"/>
          </w:rPr>
          <w:t>STS, Sala Primera, 741/2022, de 2 de noviembre de 2022</w:t>
        </w:r>
      </w:hyperlink>
      <w:r>
        <w:t>. “</w:t>
      </w:r>
      <w:r w:rsidRPr="00A0441B">
        <w:t>Novación de cláusula suelo inserta en contrato de préstamo hipotecario y renuncia de acciones. Control de transparencia y abusividad. Reiteración de jurisprudencia</w:t>
      </w:r>
      <w:r>
        <w:t xml:space="preserve">”. </w:t>
      </w:r>
    </w:p>
    <w:p w14:paraId="625E4416" w14:textId="431C554C" w:rsidR="00A0441B" w:rsidRDefault="00A0441B" w:rsidP="00080E3E">
      <w:pPr>
        <w:spacing w:after="240"/>
        <w:jc w:val="both"/>
      </w:pPr>
      <w:hyperlink r:id="rId35" w:history="1">
        <w:r w:rsidRPr="00A0441B">
          <w:rPr>
            <w:rStyle w:val="Hipervnculo"/>
          </w:rPr>
          <w:t>STS, Sala Primera, 764/2022, de 8 de noviembre de 2022</w:t>
        </w:r>
      </w:hyperlink>
      <w:r>
        <w:t>. “</w:t>
      </w:r>
      <w:r w:rsidRPr="00A0441B">
        <w:t xml:space="preserve">Cláusula suelo. Acuerdo posterior que elimina la cláusula suelo y modifica el interés remuneratorio, con cláusula </w:t>
      </w:r>
      <w:r w:rsidRPr="00A0441B">
        <w:lastRenderedPageBreak/>
        <w:t>de renuncia de acciones. Nulidad de la renuncia: control de transparencia y abusividad. Reiteración de jurisprudencia</w:t>
      </w:r>
      <w:r>
        <w:t xml:space="preserve">”. </w:t>
      </w:r>
    </w:p>
    <w:p w14:paraId="2E15588D" w14:textId="22D3455C" w:rsidR="009728E7" w:rsidRDefault="009728E7" w:rsidP="00080E3E">
      <w:pPr>
        <w:spacing w:after="240"/>
        <w:jc w:val="both"/>
      </w:pPr>
      <w:hyperlink r:id="rId36" w:history="1">
        <w:r w:rsidRPr="009728E7">
          <w:rPr>
            <w:rStyle w:val="Hipervnculo"/>
          </w:rPr>
          <w:t>STS, Sala Primera, 810/2022, de 22 de noviembre de 2022</w:t>
        </w:r>
      </w:hyperlink>
      <w:r>
        <w:t>. “</w:t>
      </w:r>
      <w:r w:rsidRPr="009728E7">
        <w:t>Cláusula suelo. Acuerdo posterior que reduce la cláusula suelo, con cláusula de renuncia de acciones. Nulidad de la renuncia por su carácter genérico. Nulidad de la novación porque no contiene declaración manuscrita del prestatario</w:t>
      </w:r>
      <w:r>
        <w:t xml:space="preserve">”. </w:t>
      </w:r>
    </w:p>
    <w:p w14:paraId="3820F8BA" w14:textId="2DBC95FD" w:rsidR="008F0C15" w:rsidRDefault="008F0C15" w:rsidP="00080E3E">
      <w:pPr>
        <w:spacing w:after="240"/>
        <w:jc w:val="both"/>
      </w:pPr>
      <w:hyperlink r:id="rId37" w:history="1">
        <w:r w:rsidRPr="008F0C15">
          <w:rPr>
            <w:rStyle w:val="Hipervnculo"/>
          </w:rPr>
          <w:t>STS, Sala Primera, 853/2022, de 29 de noviembre de 2022</w:t>
        </w:r>
      </w:hyperlink>
      <w:r>
        <w:t>. “</w:t>
      </w:r>
      <w:r w:rsidRPr="008F0C15">
        <w:t>Condiciones generales. Novación modificativa de cláusula suelo. Controles de incorporación y de transparencia. Importancia de la información precontractual</w:t>
      </w:r>
      <w:r>
        <w:t xml:space="preserve">”. </w:t>
      </w:r>
    </w:p>
    <w:p w14:paraId="041CDAF4" w14:textId="77777777" w:rsidR="00707164" w:rsidRDefault="00707164" w:rsidP="00707164">
      <w:pPr>
        <w:spacing w:after="240"/>
        <w:jc w:val="both"/>
      </w:pPr>
      <w:hyperlink r:id="rId38" w:history="1">
        <w:r w:rsidRPr="00707164">
          <w:rPr>
            <w:rStyle w:val="Hipervnculo"/>
          </w:rPr>
          <w:t>STS, Sala Primera, 860/2022, de 1 de diciembre de 2022</w:t>
        </w:r>
      </w:hyperlink>
      <w:r>
        <w:t>. “</w:t>
      </w:r>
      <w:r w:rsidRPr="00707164">
        <w:t>Cláusula suelo. Acuerdo posterior que modifica la cláusula suelo, con cláusula de renuncia de acciones. Nulidad de la renuncia por su carácter genérico. Reiteración de jurisprudencia</w:t>
      </w:r>
      <w:r>
        <w:t xml:space="preserve">”. </w:t>
      </w:r>
    </w:p>
    <w:p w14:paraId="3F09F18C" w14:textId="6529EBB5" w:rsidR="00707164" w:rsidRDefault="00707164" w:rsidP="00080E3E">
      <w:pPr>
        <w:spacing w:after="240"/>
        <w:jc w:val="both"/>
      </w:pPr>
      <w:hyperlink r:id="rId39" w:history="1">
        <w:r w:rsidRPr="00707164">
          <w:rPr>
            <w:rStyle w:val="Hipervnculo"/>
          </w:rPr>
          <w:t>STS, Sala Primera, 875/2022, de 12 de diciembre de 2022</w:t>
        </w:r>
      </w:hyperlink>
      <w:r>
        <w:t>. “</w:t>
      </w:r>
      <w:r w:rsidRPr="00707164">
        <w:t>Reiteración de jurisprudencia sobre novación de cláusula suelo abusiva y renuncia genérica de acciones en acuerdo transaccional respecto de un préstamo hipotecario concertado con consumidores</w:t>
      </w:r>
      <w:r>
        <w:t xml:space="preserve">”. </w:t>
      </w:r>
    </w:p>
    <w:p w14:paraId="14447A8A" w14:textId="037245A7" w:rsidR="00707164" w:rsidRDefault="00707164" w:rsidP="00080E3E">
      <w:pPr>
        <w:spacing w:after="240"/>
        <w:jc w:val="both"/>
      </w:pPr>
      <w:hyperlink r:id="rId40" w:history="1">
        <w:r w:rsidRPr="00707164">
          <w:rPr>
            <w:rStyle w:val="Hipervnculo"/>
          </w:rPr>
          <w:t>STS, Sala Primera, 876/2022, de 12 de diciembre de 2022</w:t>
        </w:r>
      </w:hyperlink>
      <w:r>
        <w:t>. “</w:t>
      </w:r>
      <w:r w:rsidRPr="00707164">
        <w:t>Novación modificativa (Liberbank). Sustitución de interés variable con cláusula suelo por interés fijo en una primera fase y variable sin suelo después. No contiene cláusula de renuncia de acciones. Control de transparencia. Costas</w:t>
      </w:r>
      <w:r>
        <w:t xml:space="preserve">”. </w:t>
      </w:r>
    </w:p>
    <w:p w14:paraId="5F2D85F9" w14:textId="4D6B8D35" w:rsidR="00F01CAD" w:rsidRDefault="00F01CAD" w:rsidP="00080E3E">
      <w:pPr>
        <w:spacing w:after="240"/>
        <w:jc w:val="both"/>
      </w:pPr>
      <w:hyperlink r:id="rId41" w:history="1">
        <w:r w:rsidRPr="00F01CAD">
          <w:rPr>
            <w:rStyle w:val="Hipervnculo"/>
          </w:rPr>
          <w:t>STS, Sala Primera, 892/2022, de 13 de diciembre de 2022</w:t>
        </w:r>
      </w:hyperlink>
      <w:r>
        <w:t>. “</w:t>
      </w:r>
      <w:r w:rsidRPr="00F01CAD">
        <w:t>Cláusula suelo. Acuerdo posterior que modifica la cláusula suelo, con cláusula de renuncia de acciones. Nulidad de la renuncia por su carácter genérico. Reiteración de jurisprudencia</w:t>
      </w:r>
      <w:r>
        <w:t xml:space="preserve">”. </w:t>
      </w:r>
    </w:p>
    <w:p w14:paraId="40DEA2C6" w14:textId="5451219F" w:rsidR="00E35225" w:rsidRDefault="00E35225" w:rsidP="00080E3E">
      <w:pPr>
        <w:spacing w:after="240"/>
        <w:jc w:val="both"/>
      </w:pPr>
      <w:hyperlink r:id="rId42" w:history="1">
        <w:r w:rsidRPr="00E35225">
          <w:rPr>
            <w:rStyle w:val="Hipervnculo"/>
          </w:rPr>
          <w:t>STS, Sala Primera, 913/2022, de 14 de diciembre de 2022</w:t>
        </w:r>
      </w:hyperlink>
      <w:r>
        <w:t>. “</w:t>
      </w:r>
      <w:r w:rsidRPr="00E35225">
        <w:t>Nulidad de cláusula suelo. Acuerdo privado en el que se suprime y los prestatarios manifiestan su conformidad con lo abonado. Control de transparencia</w:t>
      </w:r>
      <w:r>
        <w:t xml:space="preserve">”. </w:t>
      </w:r>
    </w:p>
    <w:p w14:paraId="708E6DB3" w14:textId="6F334417" w:rsidR="00E35225" w:rsidRDefault="00E35225" w:rsidP="00080E3E">
      <w:pPr>
        <w:spacing w:after="240"/>
        <w:jc w:val="both"/>
      </w:pPr>
      <w:hyperlink r:id="rId43" w:history="1">
        <w:r w:rsidRPr="00E35225">
          <w:rPr>
            <w:rStyle w:val="Hipervnculo"/>
          </w:rPr>
          <w:t>STS, Sala Primera, 917/2022, de 16 de diciembre de 2022</w:t>
        </w:r>
      </w:hyperlink>
      <w:r>
        <w:t>. “</w:t>
      </w:r>
      <w:r w:rsidRPr="00E35225">
        <w:t>Cláusula suelo. Acuerdo posterior que modifica a la baja la cláusula e incluye una renuncia de acciones genérica. Validez del acuerdo novatorio porque supera el control de transparencia. Nulidad de la cláusula de renuncia de acciones. Costas</w:t>
      </w:r>
      <w:r>
        <w:t xml:space="preserve">”. </w:t>
      </w:r>
    </w:p>
    <w:p w14:paraId="5F991E9C" w14:textId="1CD20E84" w:rsidR="00E35225" w:rsidRDefault="00E35225" w:rsidP="00080E3E">
      <w:pPr>
        <w:spacing w:after="240"/>
        <w:jc w:val="both"/>
      </w:pPr>
      <w:hyperlink r:id="rId44" w:history="1">
        <w:r w:rsidRPr="00E35225">
          <w:rPr>
            <w:rStyle w:val="Hipervnculo"/>
          </w:rPr>
          <w:t>STS, Sala Primera, 937/2022, de 19 de diciembre de 2022</w:t>
        </w:r>
      </w:hyperlink>
      <w:r>
        <w:t>. “</w:t>
      </w:r>
      <w:r w:rsidRPr="00E35225">
        <w:t>Novación cláusula suelo de préstamos hipotecarios y renuncia de acciones. Valoración de su transparencia y abusividad. Reiteración de jurisprudencia</w:t>
      </w:r>
      <w:r>
        <w:t xml:space="preserve">”. </w:t>
      </w:r>
    </w:p>
    <w:p w14:paraId="079C75C1" w14:textId="038DF8ED" w:rsidR="00E35225" w:rsidRDefault="00E35225" w:rsidP="00080E3E">
      <w:pPr>
        <w:spacing w:after="240"/>
        <w:jc w:val="both"/>
      </w:pPr>
      <w:hyperlink r:id="rId45" w:history="1">
        <w:r w:rsidRPr="00E35225">
          <w:rPr>
            <w:rStyle w:val="Hipervnculo"/>
          </w:rPr>
          <w:t>STS, Sala Primera, 957/2022, de 20 de diciembre de 2022</w:t>
        </w:r>
      </w:hyperlink>
      <w:r>
        <w:t>. “</w:t>
      </w:r>
      <w:r w:rsidRPr="00E35225">
        <w:t>Cláusula suelo. Acuerdo posterior que elimina la cláusula suelo, con cláusula de renuncia de acciones. Validez de la estipulación que suprime la cláusula suelo y nulidad de la de renuncia por falta de transparencia. Reiteración de jurisprudencia</w:t>
      </w:r>
      <w:r>
        <w:t xml:space="preserve">”. </w:t>
      </w:r>
    </w:p>
    <w:p w14:paraId="60D98530" w14:textId="62D2E285" w:rsidR="00080E3E" w:rsidRPr="00080E3E" w:rsidRDefault="00080E3E" w:rsidP="00080E3E">
      <w:pPr>
        <w:spacing w:after="240"/>
        <w:jc w:val="both"/>
      </w:pPr>
      <w:hyperlink r:id="rId46" w:history="1">
        <w:r w:rsidRPr="00080E3E">
          <w:rPr>
            <w:rStyle w:val="Hipervnculo"/>
          </w:rPr>
          <w:t>STS, Sala Primera, 1008/2022, de 22 de diciembre de 2022</w:t>
        </w:r>
      </w:hyperlink>
      <w:r>
        <w:t>. “</w:t>
      </w:r>
      <w:r w:rsidRPr="00080E3E">
        <w:t>Préstamo hipotecario con consumidores. Cláusula suelo. Acuerdo posterior que elimina la cláusula suelo. Renuncia de acciones: no se acredita. Nulidad de la renuncia de acciones: control de transparencia y abusividad. Reiteración de jurisprudencia. Costas</w:t>
      </w:r>
      <w:r>
        <w:t xml:space="preserve">”. </w:t>
      </w:r>
    </w:p>
    <w:p w14:paraId="58DD75A8" w14:textId="77777777" w:rsidR="00080E3E" w:rsidRDefault="00080E3E" w:rsidP="00080E3E">
      <w:pPr>
        <w:spacing w:after="240"/>
        <w:jc w:val="both"/>
      </w:pPr>
      <w:hyperlink r:id="rId47" w:history="1">
        <w:r w:rsidRPr="00080E3E">
          <w:rPr>
            <w:rStyle w:val="Hipervnculo"/>
          </w:rPr>
          <w:t>STS, Sala Primera, 1013/2022, de 22 de diciembre de 2022</w:t>
        </w:r>
      </w:hyperlink>
      <w:r>
        <w:t>. “</w:t>
      </w:r>
      <w:r w:rsidRPr="00080E3E">
        <w:t>Cláusula suelo. Acuerdo posterior que modifica a la baja la cláusula e incluye una renuncia de acciones genérica. Validez del acuerdo novatorio porque supera el control de transparencia. Nulidad de la cláusula de renuncia de acciones. Costas</w:t>
      </w:r>
      <w:r>
        <w:t xml:space="preserve">”. </w:t>
      </w:r>
    </w:p>
    <w:p w14:paraId="22069752" w14:textId="0726F50F" w:rsidR="00C32AE8" w:rsidRDefault="00080E3E" w:rsidP="00C32AE8">
      <w:pPr>
        <w:spacing w:after="240"/>
        <w:jc w:val="both"/>
      </w:pPr>
      <w:hyperlink r:id="rId48" w:history="1">
        <w:r w:rsidRPr="00080E3E">
          <w:rPr>
            <w:rStyle w:val="Hipervnculo"/>
          </w:rPr>
          <w:t>STS, Sala Primera, 1014/2022, de 22 de diciembre de 2022</w:t>
        </w:r>
      </w:hyperlink>
      <w:r>
        <w:t>. “</w:t>
      </w:r>
      <w:r w:rsidRPr="00080E3E">
        <w:t>Novación cláusula suelo de préstamos hipotecarios y renuncia de acciones. Valoración de su transparencia y abusividad. Reiteración de jurisprudencia</w:t>
      </w:r>
      <w:r>
        <w:t xml:space="preserve">”. </w:t>
      </w:r>
    </w:p>
    <w:p w14:paraId="64E3C1DA" w14:textId="56802448" w:rsidR="00C32AE8" w:rsidRPr="00C32AE8" w:rsidRDefault="00000000" w:rsidP="00C32AE8">
      <w:pPr>
        <w:spacing w:after="240"/>
        <w:jc w:val="both"/>
      </w:pPr>
      <w:hyperlink r:id="rId49" w:history="1">
        <w:r w:rsidR="00C32AE8" w:rsidRPr="00C32AE8">
          <w:rPr>
            <w:rStyle w:val="Hipervnculo"/>
          </w:rPr>
          <w:t>STS, Sala Primera, 1017/2022, de 22 de diciembre de 2022</w:t>
        </w:r>
      </w:hyperlink>
      <w:r w:rsidR="00C32AE8">
        <w:t>. “</w:t>
      </w:r>
      <w:r w:rsidR="00C32AE8" w:rsidRPr="00C32AE8">
        <w:t>Novación cláusula suelo de préstamos hipotecarios y renuncia de acciones. Valoración de su transparencia y abusividad. Reiteración de jurisprudencia</w:t>
      </w:r>
      <w:r w:rsidR="00C32AE8">
        <w:t xml:space="preserve">”. </w:t>
      </w:r>
    </w:p>
    <w:p w14:paraId="0EC2AFC9" w14:textId="68E932CC" w:rsidR="00C32AE8" w:rsidRDefault="00000000" w:rsidP="00C32AE8">
      <w:pPr>
        <w:spacing w:after="240"/>
        <w:jc w:val="both"/>
      </w:pPr>
      <w:hyperlink r:id="rId50" w:history="1">
        <w:r w:rsidR="00C32AE8" w:rsidRPr="00C32AE8">
          <w:rPr>
            <w:rStyle w:val="Hipervnculo"/>
          </w:rPr>
          <w:t>STS, Sala Primera, 1033/2022, de 23 de diciembre de 2022</w:t>
        </w:r>
      </w:hyperlink>
      <w:r w:rsidR="00C32AE8">
        <w:t>. “</w:t>
      </w:r>
      <w:r w:rsidR="00C32AE8" w:rsidRPr="00C32AE8">
        <w:t>Cláusula suelo. Acuerdo posterior que elimina el suelo e incluye una renuncia de acciones genérica. Validez del acuerdo novatorio porque supera el control de transparencia. Nulidad de la cláusula de renuncia de acciones</w:t>
      </w:r>
      <w:r w:rsidR="00C32AE8">
        <w:t xml:space="preserve">”. </w:t>
      </w:r>
    </w:p>
    <w:p w14:paraId="554EBE55" w14:textId="635CB2F6" w:rsidR="00C32AE8" w:rsidRPr="00C32AE8" w:rsidRDefault="00000000" w:rsidP="00C32AE8">
      <w:pPr>
        <w:spacing w:after="240"/>
        <w:jc w:val="both"/>
      </w:pPr>
      <w:hyperlink r:id="rId51" w:history="1">
        <w:r w:rsidR="00C32AE8" w:rsidRPr="00C32AE8">
          <w:rPr>
            <w:rStyle w:val="Hipervnculo"/>
          </w:rPr>
          <w:t>STS, Sala Primera, 1037/2022, de 23 de diciembre de 2022.</w:t>
        </w:r>
      </w:hyperlink>
      <w:r w:rsidR="00C32AE8">
        <w:t xml:space="preserve"> “</w:t>
      </w:r>
      <w:r w:rsidR="00C32AE8" w:rsidRPr="00C32AE8">
        <w:t>Reiteración de jurisprudencia sobre novación de cláusula suelo abusiva y renuncia genérica de acciones en acuerdo transaccional respecto de un préstamo hipotecario concertado con consumidores</w:t>
      </w:r>
      <w:r w:rsidR="00C32AE8">
        <w:t xml:space="preserve">”. </w:t>
      </w:r>
    </w:p>
    <w:p w14:paraId="6DA8B04D" w14:textId="3AE3E172" w:rsidR="00080E3E" w:rsidRPr="00274E63" w:rsidRDefault="00CD66C6" w:rsidP="00080E3E">
      <w:pPr>
        <w:pStyle w:val="Prrafodelista"/>
        <w:numPr>
          <w:ilvl w:val="0"/>
          <w:numId w:val="16"/>
        </w:numPr>
        <w:spacing w:after="240"/>
        <w:jc w:val="both"/>
        <w:rPr>
          <w:rFonts w:ascii="Times New Roman" w:hAnsi="Times New Roman" w:cs="Times New Roman"/>
          <w:b/>
          <w:bCs/>
          <w:sz w:val="24"/>
          <w:szCs w:val="24"/>
        </w:rPr>
      </w:pPr>
      <w:r>
        <w:rPr>
          <w:rFonts w:ascii="Times New Roman" w:hAnsi="Times New Roman" w:cs="Times New Roman"/>
          <w:b/>
          <w:bCs/>
          <w:sz w:val="24"/>
          <w:szCs w:val="24"/>
        </w:rPr>
        <w:t>Cláusula suelo y restitución patrimonial</w:t>
      </w:r>
    </w:p>
    <w:p w14:paraId="141F2643" w14:textId="3296FCF1" w:rsidR="00A0441B" w:rsidRDefault="00A0441B" w:rsidP="00080E3E">
      <w:pPr>
        <w:spacing w:after="240"/>
        <w:jc w:val="both"/>
      </w:pPr>
      <w:hyperlink r:id="rId52" w:history="1">
        <w:r w:rsidRPr="00A0441B">
          <w:rPr>
            <w:rStyle w:val="Hipervnculo"/>
          </w:rPr>
          <w:t>STS, Sala Primera, 756/2022, de 4 de noviembre de 2022</w:t>
        </w:r>
      </w:hyperlink>
      <w:r>
        <w:t>. “</w:t>
      </w:r>
      <w:r w:rsidRPr="00A0441B">
        <w:t xml:space="preserve">Cláusula suelo. Nulidad. Aplicación de la doctrina jurisprudencial del TJUE sobre la no limitación de los efectos restitutorios, sin que lo impidan los principios de justicia rogada, congruencia y prohibición de la </w:t>
      </w:r>
      <w:proofErr w:type="spellStart"/>
      <w:r w:rsidRPr="00A0441B">
        <w:t>reformatio</w:t>
      </w:r>
      <w:proofErr w:type="spellEnd"/>
      <w:r w:rsidRPr="00A0441B">
        <w:t xml:space="preserve"> in </w:t>
      </w:r>
      <w:proofErr w:type="spellStart"/>
      <w:r w:rsidRPr="00A0441B">
        <w:t>peius</w:t>
      </w:r>
      <w:proofErr w:type="spellEnd"/>
      <w:r>
        <w:t xml:space="preserve">”. </w:t>
      </w:r>
    </w:p>
    <w:p w14:paraId="4D3C3029" w14:textId="28746FEC" w:rsidR="008F0C15" w:rsidRDefault="008F0C15" w:rsidP="00080E3E">
      <w:pPr>
        <w:spacing w:after="240"/>
        <w:jc w:val="both"/>
      </w:pPr>
      <w:hyperlink r:id="rId53" w:history="1">
        <w:r w:rsidRPr="008F0C15">
          <w:rPr>
            <w:rStyle w:val="Hipervnculo"/>
          </w:rPr>
          <w:t>STS, Sala Primera, 813/2022, de 22 de noviembre de 2022</w:t>
        </w:r>
      </w:hyperlink>
      <w:r>
        <w:t>. “</w:t>
      </w:r>
      <w:r w:rsidRPr="008F0C15">
        <w:t>Efectos restitutorios. Cláusula suelo. Aplicación de la STJUE de 17 de mayo de 2022 y de la sentencia del pleno de esta sala 579/2022, de 26 de julio</w:t>
      </w:r>
      <w:r>
        <w:t xml:space="preserve">”. </w:t>
      </w:r>
    </w:p>
    <w:p w14:paraId="5428F39C" w14:textId="570F5BFA" w:rsidR="008F0C15" w:rsidRDefault="008F0C15" w:rsidP="00080E3E">
      <w:pPr>
        <w:spacing w:after="240"/>
        <w:jc w:val="both"/>
      </w:pPr>
      <w:hyperlink r:id="rId54" w:history="1">
        <w:r w:rsidRPr="008F0C15">
          <w:rPr>
            <w:rStyle w:val="Hipervnculo"/>
          </w:rPr>
          <w:t>STS, Sala Primera, 854/2022, de 30 de noviembre de 2022</w:t>
        </w:r>
      </w:hyperlink>
      <w:r>
        <w:t>. “</w:t>
      </w:r>
      <w:r w:rsidRPr="008F0C15">
        <w:t>Cláusula suelo abusiva. Efectos restitutorios. Principios de congruencia y prohibición de la reforma peyorativa: no son óbice para que opere la restitución desde que se aplicó la cláusula declarada nula. Reiteración de jurisprudencia</w:t>
      </w:r>
      <w:r>
        <w:t xml:space="preserve">”. </w:t>
      </w:r>
    </w:p>
    <w:p w14:paraId="03486475" w14:textId="343E87B1" w:rsidR="008F0C15" w:rsidRDefault="008F0C15" w:rsidP="00080E3E">
      <w:pPr>
        <w:spacing w:after="240"/>
        <w:jc w:val="both"/>
      </w:pPr>
      <w:hyperlink r:id="rId55" w:history="1">
        <w:r w:rsidRPr="008F0C15">
          <w:rPr>
            <w:rStyle w:val="Hipervnculo"/>
          </w:rPr>
          <w:t>STS, Sala Primera, 855/2022, de 30 de noviembre de 2022</w:t>
        </w:r>
      </w:hyperlink>
      <w:r>
        <w:t>. “</w:t>
      </w:r>
      <w:r w:rsidRPr="008F0C15">
        <w:t>Cláusula suelo abusiva. Efectos restitutorios. Principios de justicia rogada, congruencia y prohibición de la reforma peyorativa: no son óbice para que opere la restitución desde que se aplicó la cláusula declarada nula. Reiteración de jurisprudencia</w:t>
      </w:r>
      <w:r>
        <w:t xml:space="preserve">”. </w:t>
      </w:r>
    </w:p>
    <w:p w14:paraId="6549F094" w14:textId="23BE4FA6" w:rsidR="00C23D6B" w:rsidRPr="00080E3E" w:rsidRDefault="00C23D6B" w:rsidP="00080E3E">
      <w:pPr>
        <w:spacing w:after="240"/>
        <w:jc w:val="both"/>
      </w:pPr>
      <w:hyperlink r:id="rId56" w:history="1">
        <w:r w:rsidRPr="00C23D6B">
          <w:rPr>
            <w:rStyle w:val="Hipervnculo"/>
          </w:rPr>
          <w:t>STS, Sala Primera, 976/2022, de 21 de diciembre de 2022</w:t>
        </w:r>
      </w:hyperlink>
      <w:r>
        <w:t>. “</w:t>
      </w:r>
      <w:r w:rsidRPr="00C23D6B">
        <w:t>Restitución de cantidades cobradas por la aplicación de una cláusula abusiva. Reiteración de la jurisprudencia de la sala</w:t>
      </w:r>
      <w:r>
        <w:t xml:space="preserve">”. </w:t>
      </w:r>
    </w:p>
    <w:p w14:paraId="3F518E11" w14:textId="33289AF0" w:rsidR="00080E3E" w:rsidRDefault="00080E3E" w:rsidP="00D637F0">
      <w:pPr>
        <w:pStyle w:val="Prrafodelista"/>
        <w:numPr>
          <w:ilvl w:val="0"/>
          <w:numId w:val="16"/>
        </w:numPr>
        <w:spacing w:after="240"/>
        <w:jc w:val="both"/>
        <w:rPr>
          <w:rFonts w:ascii="Times New Roman" w:hAnsi="Times New Roman" w:cs="Times New Roman"/>
          <w:b/>
          <w:bCs/>
          <w:sz w:val="24"/>
          <w:szCs w:val="24"/>
        </w:rPr>
      </w:pPr>
      <w:r>
        <w:rPr>
          <w:rFonts w:ascii="Times New Roman" w:hAnsi="Times New Roman" w:cs="Times New Roman"/>
          <w:b/>
          <w:bCs/>
          <w:sz w:val="24"/>
          <w:szCs w:val="24"/>
        </w:rPr>
        <w:t xml:space="preserve">Cláusula de impuestos y gastos hipotecarios </w:t>
      </w:r>
    </w:p>
    <w:p w14:paraId="70985981" w14:textId="29470592" w:rsidR="00A0441B" w:rsidRDefault="00A0441B" w:rsidP="00080E3E">
      <w:pPr>
        <w:spacing w:after="240"/>
        <w:jc w:val="both"/>
      </w:pPr>
      <w:hyperlink r:id="rId57" w:history="1">
        <w:r w:rsidRPr="00A0441B">
          <w:rPr>
            <w:rStyle w:val="Hipervnculo"/>
          </w:rPr>
          <w:t>STS, Sala Primera, 746/2022, de 2 de noviembre de 2022</w:t>
        </w:r>
      </w:hyperlink>
      <w:r>
        <w:t>. “</w:t>
      </w:r>
      <w:r w:rsidRPr="00A0441B">
        <w:t>Préstamo hipotecario con consumidores (anterior a la Ley 5/2019). Distribución de los gastos hipotecarios tras la declaración de abusividad de la cláusula en un proceso judicial anterior</w:t>
      </w:r>
      <w:r>
        <w:t xml:space="preserve">”. </w:t>
      </w:r>
    </w:p>
    <w:p w14:paraId="16B8F79C" w14:textId="1837F2D4" w:rsidR="007002AC" w:rsidRDefault="007002AC" w:rsidP="00080E3E">
      <w:pPr>
        <w:spacing w:after="240"/>
        <w:jc w:val="both"/>
      </w:pPr>
      <w:hyperlink r:id="rId58" w:history="1">
        <w:r w:rsidRPr="007002AC">
          <w:rPr>
            <w:rStyle w:val="Hipervnculo"/>
          </w:rPr>
          <w:t>STS, Sala Primera, 766/2022, de 8 de noviembre de 2022</w:t>
        </w:r>
      </w:hyperlink>
      <w:r>
        <w:t>. “</w:t>
      </w:r>
      <w:r w:rsidRPr="007002AC">
        <w:t xml:space="preserve">Préstamo hipotecario con consumidores (anterior a la Ley 5/2019). Nulidad de la cláusula de imposición de gastos e impuestos al consumidor. Distribución de los gastos tras la declaración de abusividad. </w:t>
      </w:r>
      <w:r w:rsidRPr="007002AC">
        <w:t>Cláusula</w:t>
      </w:r>
      <w:r w:rsidRPr="007002AC">
        <w:t xml:space="preserve"> de sumisión expresa</w:t>
      </w:r>
      <w:r>
        <w:t xml:space="preserve">”. </w:t>
      </w:r>
    </w:p>
    <w:p w14:paraId="5C9E7F81" w14:textId="722040CB" w:rsidR="007002AC" w:rsidRDefault="007002AC" w:rsidP="00080E3E">
      <w:pPr>
        <w:spacing w:after="240"/>
        <w:jc w:val="both"/>
      </w:pPr>
      <w:hyperlink r:id="rId59" w:history="1">
        <w:r w:rsidRPr="007002AC">
          <w:rPr>
            <w:rStyle w:val="Hipervnculo"/>
          </w:rPr>
          <w:t>STS, Sala Primera, 782/2022, de 16 de noviembre de 2022</w:t>
        </w:r>
      </w:hyperlink>
      <w:r>
        <w:t>. “</w:t>
      </w:r>
      <w:r w:rsidRPr="007002AC">
        <w:t>Préstamo hipotecario con consumidores (anterior a la Ley 5/2019). Nulidad de la cláusula de imposición de gastos e impuestos al consumidor. Distribución de los gastos tras la declaración de abusividad</w:t>
      </w:r>
      <w:r>
        <w:t xml:space="preserve">”. </w:t>
      </w:r>
    </w:p>
    <w:p w14:paraId="6E615AD3" w14:textId="1BA9E181" w:rsidR="00F01CAD" w:rsidRDefault="00F01CAD" w:rsidP="00080E3E">
      <w:pPr>
        <w:spacing w:after="240"/>
        <w:jc w:val="both"/>
      </w:pPr>
      <w:hyperlink r:id="rId60" w:history="1">
        <w:r w:rsidRPr="00F01CAD">
          <w:rPr>
            <w:rStyle w:val="Hipervnculo"/>
          </w:rPr>
          <w:t>STS, Sala Primera, 901/2022, de 13 de diciembre de 2022</w:t>
        </w:r>
      </w:hyperlink>
      <w:r>
        <w:t>. “</w:t>
      </w:r>
      <w:r w:rsidRPr="00F01CAD">
        <w:t>Gastos hipotecarios. Reiteración de la jurisprudencia de la sala</w:t>
      </w:r>
      <w:r>
        <w:t xml:space="preserve">”. </w:t>
      </w:r>
    </w:p>
    <w:p w14:paraId="0EFDBC42" w14:textId="37097AF2" w:rsidR="00F01CAD" w:rsidRDefault="00F01CAD" w:rsidP="00080E3E">
      <w:pPr>
        <w:spacing w:after="240"/>
        <w:jc w:val="both"/>
      </w:pPr>
      <w:hyperlink r:id="rId61" w:history="1">
        <w:r w:rsidRPr="00F01CAD">
          <w:rPr>
            <w:rStyle w:val="Hipervnculo"/>
          </w:rPr>
          <w:t>STS, Sala Primera, 906/2022, de 13 de diciembre de 2022</w:t>
        </w:r>
      </w:hyperlink>
      <w:r>
        <w:t>. “</w:t>
      </w:r>
      <w:r w:rsidRPr="00F01CAD">
        <w:t xml:space="preserve">Nulidad de clausulado </w:t>
      </w:r>
      <w:proofErr w:type="spellStart"/>
      <w:r w:rsidRPr="00F01CAD">
        <w:t>multidivisa</w:t>
      </w:r>
      <w:proofErr w:type="spellEnd"/>
      <w:r w:rsidRPr="00F01CAD">
        <w:t xml:space="preserve"> y de cláusula de gastos en préstamo hipotecario con consumidores. Falta de pronunciamiento en las instancias sobre la cláusula de gastos</w:t>
      </w:r>
      <w:r>
        <w:t xml:space="preserve">”. </w:t>
      </w:r>
    </w:p>
    <w:p w14:paraId="5FE804E0" w14:textId="3817EBBD" w:rsidR="00080E3E" w:rsidRDefault="00080E3E" w:rsidP="00080E3E">
      <w:pPr>
        <w:spacing w:after="240"/>
        <w:jc w:val="both"/>
      </w:pPr>
      <w:hyperlink r:id="rId62" w:history="1">
        <w:r w:rsidRPr="00080E3E">
          <w:rPr>
            <w:rStyle w:val="Hipervnculo"/>
          </w:rPr>
          <w:t>STS, Sala Primera, 1018/2022, de 22 de diciembre de 2022</w:t>
        </w:r>
      </w:hyperlink>
      <w:r>
        <w:t>. “</w:t>
      </w:r>
      <w:r w:rsidRPr="00080E3E">
        <w:t>Gastos hipotecarios en préstamos con consumidores. Reiteración de la jurisprudencia de la sala</w:t>
      </w:r>
      <w:r>
        <w:t xml:space="preserve">”. </w:t>
      </w:r>
    </w:p>
    <w:p w14:paraId="08BB8B94" w14:textId="64A56FF5" w:rsidR="00080E3E" w:rsidRPr="00080E3E" w:rsidRDefault="00080E3E" w:rsidP="00080E3E">
      <w:pPr>
        <w:spacing w:after="240"/>
        <w:jc w:val="both"/>
      </w:pPr>
      <w:hyperlink r:id="rId63" w:history="1">
        <w:r w:rsidRPr="00080E3E">
          <w:rPr>
            <w:rStyle w:val="Hipervnculo"/>
          </w:rPr>
          <w:t>STS, Sala Primera, 1022/2022, de 22 de diciembre de 2022</w:t>
        </w:r>
      </w:hyperlink>
      <w:r>
        <w:t>. “</w:t>
      </w:r>
      <w:r w:rsidRPr="00080E3E">
        <w:t>Préstamo hipotecario con consumidores (anterior a la Ley 5/2019). Nulidad de la cláusula de imposición de gastos e impuestos al consumidor. Distribución de los gastos tras la declaración de abusividad</w:t>
      </w:r>
      <w:r>
        <w:t xml:space="preserve">”. </w:t>
      </w:r>
    </w:p>
    <w:p w14:paraId="2BAA5C98" w14:textId="51DAE3EC" w:rsidR="00080E3E" w:rsidRPr="00080E3E" w:rsidRDefault="00080E3E" w:rsidP="00080E3E">
      <w:pPr>
        <w:spacing w:after="240"/>
        <w:jc w:val="both"/>
      </w:pPr>
      <w:hyperlink r:id="rId64" w:history="1">
        <w:r w:rsidRPr="00080E3E">
          <w:rPr>
            <w:rStyle w:val="Hipervnculo"/>
          </w:rPr>
          <w:t>STS, Sala Primera, 1023/2022, de 22 de diciembre de 2022</w:t>
        </w:r>
      </w:hyperlink>
      <w:r>
        <w:t>. “</w:t>
      </w:r>
      <w:r w:rsidRPr="00080E3E">
        <w:t>Préstamo hipotecario con consumidores (anterior a la Ley 5/2019). Nulidad de la cláusula de imposición de gastos e impuestos al consumidor. Distribución de los gastos tras la declaración de abusividad</w:t>
      </w:r>
      <w:r>
        <w:t xml:space="preserve">”. </w:t>
      </w:r>
    </w:p>
    <w:p w14:paraId="2B5D85EC" w14:textId="77777777" w:rsidR="00274E63" w:rsidRDefault="00274E63" w:rsidP="006B6B86">
      <w:pPr>
        <w:spacing w:after="240"/>
        <w:jc w:val="both"/>
        <w:rPr>
          <w:b/>
          <w:bCs/>
        </w:rPr>
      </w:pPr>
    </w:p>
    <w:p w14:paraId="6C6A4EBC" w14:textId="31D74ACE" w:rsidR="007C6552" w:rsidRDefault="007C6552" w:rsidP="006B6B86">
      <w:pPr>
        <w:spacing w:after="240"/>
        <w:jc w:val="both"/>
        <w:rPr>
          <w:b/>
          <w:bCs/>
        </w:rPr>
      </w:pPr>
      <w:r w:rsidRPr="006B6B86">
        <w:rPr>
          <w:b/>
          <w:bCs/>
        </w:rPr>
        <w:t>Cláusulas abusivas y costas procesales</w:t>
      </w:r>
    </w:p>
    <w:p w14:paraId="4A3BCB9E" w14:textId="2A2824EA" w:rsidR="007002AC" w:rsidRDefault="007002AC" w:rsidP="006B6B86">
      <w:pPr>
        <w:spacing w:after="240"/>
        <w:jc w:val="both"/>
      </w:pPr>
      <w:hyperlink r:id="rId65" w:history="1">
        <w:r w:rsidRPr="007002AC">
          <w:rPr>
            <w:rStyle w:val="Hipervnculo"/>
          </w:rPr>
          <w:t>STS, Sala Primera, 780/2022, de 16 de noviembre de 2022</w:t>
        </w:r>
      </w:hyperlink>
      <w:r>
        <w:t>. “</w:t>
      </w:r>
      <w:r w:rsidRPr="007002AC">
        <w:t>Costas. Principio de efectividad de la no vinculación del consumidor a las cláusulas abusivas (art.6.1 Directiva 93/13/CEE). Inconstitucionalidad del art. 4.2 del Real Decreto-ley 1/2007. Allanamiento del banco. Aplicación del art. 395.1 LEC</w:t>
      </w:r>
      <w:r>
        <w:t xml:space="preserve">”. </w:t>
      </w:r>
    </w:p>
    <w:p w14:paraId="22EF7DE3" w14:textId="5466ABEA" w:rsidR="00707164" w:rsidRDefault="00707164" w:rsidP="006B6B86">
      <w:pPr>
        <w:spacing w:after="240"/>
        <w:jc w:val="both"/>
      </w:pPr>
      <w:hyperlink r:id="rId66" w:history="1">
        <w:r w:rsidRPr="00707164">
          <w:rPr>
            <w:rStyle w:val="Hipervnculo"/>
          </w:rPr>
          <w:t>STS, Sala Primera, 885/2022, de 12 de diciembre de 2022</w:t>
        </w:r>
      </w:hyperlink>
      <w:r>
        <w:t>. “</w:t>
      </w:r>
      <w:r w:rsidRPr="00707164">
        <w:t>Improcedencia de la aplicación del art. 4.2 a) del Real Decreto-ley 1/2017, de 20 de enero, de medidas urgentes de protección de consumidores en materia de cláusula suelo, por haber sido declarado inconstitucional</w:t>
      </w:r>
      <w:r>
        <w:t xml:space="preserve">”. </w:t>
      </w:r>
    </w:p>
    <w:p w14:paraId="25551545" w14:textId="099AC836" w:rsidR="00F01CAD" w:rsidRDefault="00F01CAD" w:rsidP="006B6B86">
      <w:pPr>
        <w:spacing w:after="240"/>
        <w:jc w:val="both"/>
      </w:pPr>
      <w:hyperlink r:id="rId67" w:history="1">
        <w:r w:rsidRPr="00F01CAD">
          <w:rPr>
            <w:rStyle w:val="Hipervnculo"/>
          </w:rPr>
          <w:t>STS, Sala Primera, 900/2022, de 13 de diciembre de 2022</w:t>
        </w:r>
      </w:hyperlink>
      <w:r>
        <w:t>. “</w:t>
      </w:r>
      <w:r w:rsidRPr="00F01CAD">
        <w:t>Préstamo hipotecario. Nulidad de cláusula de limitación de variación del tipo de interés. Allanamiento de la entidad bancaria. Imposición de las costas</w:t>
      </w:r>
      <w:r>
        <w:t>”</w:t>
      </w:r>
    </w:p>
    <w:p w14:paraId="2073F699" w14:textId="26F6FE89" w:rsidR="00F01CAD" w:rsidRDefault="00F01CAD" w:rsidP="00F01CAD">
      <w:pPr>
        <w:spacing w:after="240"/>
        <w:jc w:val="both"/>
      </w:pPr>
      <w:hyperlink r:id="rId68" w:history="1">
        <w:r w:rsidRPr="00F01CAD">
          <w:rPr>
            <w:rStyle w:val="Hipervnculo"/>
          </w:rPr>
          <w:t>STS, Sala Primera, 903/2022, de 13 de diciembre de 2022</w:t>
        </w:r>
      </w:hyperlink>
      <w:r>
        <w:t>. “</w:t>
      </w:r>
      <w:r w:rsidRPr="00F01CAD">
        <w:t>Procesos con consumidores. Costas. Allanamiento del demandado. Conciliación previa. RDL 1/2017</w:t>
      </w:r>
      <w:r>
        <w:t xml:space="preserve">”. </w:t>
      </w:r>
    </w:p>
    <w:p w14:paraId="6C8F9433" w14:textId="77E481AF" w:rsidR="00F01CAD" w:rsidRDefault="00F01CAD" w:rsidP="00F01CAD">
      <w:pPr>
        <w:spacing w:after="240"/>
        <w:jc w:val="both"/>
      </w:pPr>
      <w:hyperlink r:id="rId69" w:history="1">
        <w:r w:rsidRPr="00F01CAD">
          <w:rPr>
            <w:rStyle w:val="Hipervnculo"/>
          </w:rPr>
          <w:t>STS, Sala Primera, 909/2022, de 13 de diciembre de 2022</w:t>
        </w:r>
      </w:hyperlink>
      <w:r>
        <w:t>. “</w:t>
      </w:r>
      <w:r w:rsidRPr="00F01CAD">
        <w:t xml:space="preserve">Préstamo hipotecario con consumidores. Nulidad de las cláusulas </w:t>
      </w:r>
      <w:proofErr w:type="spellStart"/>
      <w:r w:rsidRPr="00F01CAD">
        <w:t>multidivisa</w:t>
      </w:r>
      <w:proofErr w:type="spellEnd"/>
      <w:r w:rsidRPr="00F01CAD">
        <w:t>. Costas procesales: exclusión de la excepción de serias dudas de hecho o de derecho. Principios de no vinculación y efectividad del Derecho UE</w:t>
      </w:r>
      <w:r>
        <w:t xml:space="preserve">”. </w:t>
      </w:r>
    </w:p>
    <w:p w14:paraId="4DDF117B" w14:textId="3863A311" w:rsidR="00C23D6B" w:rsidRPr="00C23D6B" w:rsidRDefault="00C23D6B" w:rsidP="006B6B86">
      <w:pPr>
        <w:spacing w:after="240"/>
        <w:jc w:val="both"/>
      </w:pPr>
      <w:hyperlink r:id="rId70" w:history="1">
        <w:r w:rsidRPr="00C23D6B">
          <w:rPr>
            <w:rStyle w:val="Hipervnculo"/>
          </w:rPr>
          <w:t>STS, Sala Primera, 968/2022, de 21 de diciembre de 2022</w:t>
        </w:r>
      </w:hyperlink>
      <w:r>
        <w:t>. “</w:t>
      </w:r>
      <w:r w:rsidRPr="00C23D6B">
        <w:t>Costas en procesos con consumidores. Allanamiento en casación</w:t>
      </w:r>
      <w:r>
        <w:t xml:space="preserve">”. </w:t>
      </w:r>
    </w:p>
    <w:p w14:paraId="35AA0D19" w14:textId="760C9471" w:rsidR="00C32AE8" w:rsidRDefault="00C23D6B" w:rsidP="006B6B86">
      <w:pPr>
        <w:spacing w:after="240"/>
        <w:jc w:val="both"/>
      </w:pPr>
      <w:hyperlink r:id="rId71" w:history="1">
        <w:r w:rsidRPr="00C23D6B">
          <w:rPr>
            <w:rStyle w:val="Hipervnculo"/>
          </w:rPr>
          <w:t>STS, Sala Primera, 965/2022, de 21 de diciembre de 2022</w:t>
        </w:r>
      </w:hyperlink>
      <w:r>
        <w:t>. “</w:t>
      </w:r>
      <w:r w:rsidRPr="00C23D6B">
        <w:t>Consumidores. Condena en costas. Estimación no íntegra de la demanda. Principios de efectividad y no vinculación. Reiteración de jurisprudencia</w:t>
      </w:r>
      <w:r>
        <w:t xml:space="preserve">”. </w:t>
      </w:r>
    </w:p>
    <w:p w14:paraId="0BBE58F1" w14:textId="61739A04" w:rsidR="00C23D6B" w:rsidRDefault="00C23D6B" w:rsidP="006B6B86">
      <w:pPr>
        <w:spacing w:after="240"/>
        <w:jc w:val="both"/>
      </w:pPr>
      <w:hyperlink r:id="rId72" w:history="1">
        <w:r w:rsidRPr="00C23D6B">
          <w:rPr>
            <w:rStyle w:val="Hipervnculo"/>
          </w:rPr>
          <w:t>STS, Sala Primera, 967/2022, de 21 de diciembre de 2022</w:t>
        </w:r>
      </w:hyperlink>
      <w:r>
        <w:t xml:space="preserve">. “Costas en procesos con consumidores”. </w:t>
      </w:r>
    </w:p>
    <w:p w14:paraId="2AE8794D" w14:textId="0BBA525F" w:rsidR="00C23D6B" w:rsidRDefault="00C23D6B" w:rsidP="006B6B86">
      <w:pPr>
        <w:spacing w:after="240"/>
        <w:jc w:val="both"/>
      </w:pPr>
      <w:hyperlink r:id="rId73" w:history="1">
        <w:r w:rsidRPr="00C23D6B">
          <w:rPr>
            <w:rStyle w:val="Hipervnculo"/>
          </w:rPr>
          <w:t>STS, Sala Primera, 977/2022, de 21 de diciembre de 2022</w:t>
        </w:r>
      </w:hyperlink>
      <w:r>
        <w:t>. “</w:t>
      </w:r>
      <w:r w:rsidRPr="00C23D6B">
        <w:t>Préstamo hipotecario con consumidores. Cláusulas abusivas. Costas procesales cuando no hay estimación de la totalidad de las pretensiones restitutorias. Principios de no vinculación y efectividad del Derecho UE</w:t>
      </w:r>
      <w:r>
        <w:t xml:space="preserve">”. </w:t>
      </w:r>
    </w:p>
    <w:p w14:paraId="498F2DA3" w14:textId="650B39A4" w:rsidR="00C23D6B" w:rsidRDefault="00C23D6B" w:rsidP="006B6B86">
      <w:pPr>
        <w:spacing w:after="240"/>
        <w:jc w:val="both"/>
      </w:pPr>
      <w:hyperlink r:id="rId74" w:history="1">
        <w:r w:rsidRPr="00C23D6B">
          <w:rPr>
            <w:rStyle w:val="Hipervnculo"/>
          </w:rPr>
          <w:t>STS, Sala Primera, 978/2022, de 21 de diciembre de 2022</w:t>
        </w:r>
      </w:hyperlink>
      <w:r>
        <w:t>. “</w:t>
      </w:r>
      <w:r w:rsidRPr="00C23D6B">
        <w:t>Costas. Principio de efectividad. Allanamiento en casación y sus efectos</w:t>
      </w:r>
      <w:r>
        <w:t xml:space="preserve">”. </w:t>
      </w:r>
    </w:p>
    <w:p w14:paraId="48AB8D7C" w14:textId="42F7A192" w:rsidR="00C32AE8" w:rsidRDefault="00080E3E" w:rsidP="006B6B86">
      <w:pPr>
        <w:spacing w:after="240"/>
        <w:jc w:val="both"/>
      </w:pPr>
      <w:hyperlink r:id="rId75" w:history="1">
        <w:r w:rsidR="00C32AE8" w:rsidRPr="00080E3E">
          <w:rPr>
            <w:rStyle w:val="Hipervnculo"/>
          </w:rPr>
          <w:t>STS, Sala Primera, 10</w:t>
        </w:r>
        <w:r w:rsidRPr="00080E3E">
          <w:rPr>
            <w:rStyle w:val="Hipervnculo"/>
          </w:rPr>
          <w:t>19</w:t>
        </w:r>
        <w:r w:rsidR="00C32AE8" w:rsidRPr="00080E3E">
          <w:rPr>
            <w:rStyle w:val="Hipervnculo"/>
          </w:rPr>
          <w:t>/2022, de 22 de diciembre de 2022</w:t>
        </w:r>
      </w:hyperlink>
      <w:r w:rsidR="00C32AE8">
        <w:t xml:space="preserve">. “Costas en procesos con consumidores”. </w:t>
      </w:r>
    </w:p>
    <w:p w14:paraId="30FE3B53" w14:textId="4ADD9EF9" w:rsidR="00080E3E" w:rsidRPr="00C32AE8" w:rsidRDefault="00080E3E" w:rsidP="006B6B86">
      <w:pPr>
        <w:spacing w:after="240"/>
        <w:jc w:val="both"/>
      </w:pPr>
      <w:hyperlink r:id="rId76" w:history="1">
        <w:r w:rsidRPr="00080E3E">
          <w:rPr>
            <w:rStyle w:val="Hipervnculo"/>
          </w:rPr>
          <w:t>STS, Sala Primera, 1021/2022, de 22 de diciembre de 2022</w:t>
        </w:r>
      </w:hyperlink>
      <w:r>
        <w:t>. “</w:t>
      </w:r>
      <w:r w:rsidRPr="00080E3E">
        <w:t>Costas en procesos con consumidores. Principios de no vinculación y de efectividad del Derecho de la UE. Imposición de las costas de segunda instancia al banco, sin que proceda apreciar serias dudas de hecho o de derecho</w:t>
      </w:r>
      <w:r>
        <w:t xml:space="preserve">”. </w:t>
      </w:r>
    </w:p>
    <w:p w14:paraId="402ED0D2" w14:textId="11AF267F" w:rsidR="00C32AE8" w:rsidRPr="00C32AE8" w:rsidRDefault="00000000" w:rsidP="006B6B86">
      <w:pPr>
        <w:spacing w:after="240"/>
        <w:jc w:val="both"/>
      </w:pPr>
      <w:hyperlink r:id="rId77" w:history="1">
        <w:r w:rsidR="00C32AE8" w:rsidRPr="00C32AE8">
          <w:rPr>
            <w:rStyle w:val="Hipervnculo"/>
          </w:rPr>
          <w:t>STS, Sala Primera, 1025/2022, de 22 de diciembre de 2022</w:t>
        </w:r>
      </w:hyperlink>
      <w:r w:rsidR="00C32AE8">
        <w:t>. “</w:t>
      </w:r>
      <w:r w:rsidR="00C32AE8" w:rsidRPr="00C32AE8">
        <w:t>Préstamo con garantía hipotecaria. Nulidad de cláusula de vencimiento anticipado y gastos con devolución de las cantidades cobradas en exceso. Costas procesales</w:t>
      </w:r>
      <w:r w:rsidR="00C32AE8">
        <w:t xml:space="preserve">”. </w:t>
      </w:r>
    </w:p>
    <w:p w14:paraId="583C6B83" w14:textId="39C4E3C5" w:rsidR="00C32AE8" w:rsidRDefault="00000000" w:rsidP="006B6B86">
      <w:pPr>
        <w:spacing w:after="240"/>
        <w:jc w:val="both"/>
      </w:pPr>
      <w:hyperlink r:id="rId78" w:history="1">
        <w:r w:rsidR="00C32AE8" w:rsidRPr="00C32AE8">
          <w:rPr>
            <w:rStyle w:val="Hipervnculo"/>
          </w:rPr>
          <w:t>STS, Sala Primera, 1028/2022, de 22 de diciembre de 2022</w:t>
        </w:r>
      </w:hyperlink>
      <w:r w:rsidR="00C32AE8">
        <w:t>. “</w:t>
      </w:r>
      <w:r w:rsidR="00C32AE8" w:rsidRPr="00C32AE8">
        <w:t>Nulidad de cláusula suelo en préstamo hipotecario con consumidores. Costas procesales. Principios de efectividad y no vinculación del Derecho de la Unión. Costas procesales en caso de estimación de la acción alternativa o subsidiaria</w:t>
      </w:r>
      <w:r w:rsidR="00C32AE8">
        <w:t xml:space="preserve">”. </w:t>
      </w:r>
    </w:p>
    <w:p w14:paraId="5162C745" w14:textId="74F0AE3D" w:rsidR="00080E3E" w:rsidRDefault="00080E3E" w:rsidP="006B6B86">
      <w:pPr>
        <w:spacing w:after="240"/>
        <w:jc w:val="both"/>
      </w:pPr>
      <w:hyperlink r:id="rId79" w:history="1">
        <w:r w:rsidRPr="00080E3E">
          <w:rPr>
            <w:rStyle w:val="Hipervnculo"/>
          </w:rPr>
          <w:t>STS, Sala Primera, 1030/2022, de 22 de diciembre de 2022</w:t>
        </w:r>
      </w:hyperlink>
      <w:r>
        <w:t>. “</w:t>
      </w:r>
      <w:r w:rsidRPr="00080E3E">
        <w:t>Consumidores. Condena en costas. Estimación parcial de la demanda. Principios de efectividad y no vinculación. Reiteración de jurisprudencia</w:t>
      </w:r>
      <w:r>
        <w:t xml:space="preserve">”. </w:t>
      </w:r>
    </w:p>
    <w:p w14:paraId="320BDED4" w14:textId="3DE77458" w:rsidR="00C32AE8" w:rsidRDefault="00C32AE8" w:rsidP="006B6B86">
      <w:pPr>
        <w:spacing w:after="240"/>
        <w:jc w:val="both"/>
      </w:pPr>
    </w:p>
    <w:p w14:paraId="736723FD" w14:textId="56DCA0D0" w:rsidR="00274E63" w:rsidRDefault="00274E63" w:rsidP="006B6B86">
      <w:pPr>
        <w:spacing w:after="240"/>
        <w:jc w:val="both"/>
      </w:pPr>
    </w:p>
    <w:p w14:paraId="691227CC" w14:textId="77777777" w:rsidR="00274E63" w:rsidRPr="00C32AE8" w:rsidRDefault="00274E63" w:rsidP="006B6B86">
      <w:pPr>
        <w:spacing w:after="240"/>
        <w:jc w:val="both"/>
      </w:pPr>
    </w:p>
    <w:p w14:paraId="46032184" w14:textId="222F752D" w:rsidR="00C23D6B" w:rsidRPr="00274E63" w:rsidRDefault="001A65B0" w:rsidP="002B1E17">
      <w:pPr>
        <w:spacing w:after="240"/>
        <w:jc w:val="both"/>
        <w:rPr>
          <w:b/>
          <w:bCs/>
        </w:rPr>
      </w:pPr>
      <w:r>
        <w:rPr>
          <w:b/>
          <w:bCs/>
        </w:rPr>
        <w:lastRenderedPageBreak/>
        <w:t xml:space="preserve">Préstamo con garantía hipotecaria. </w:t>
      </w:r>
      <w:r w:rsidR="008F0C15">
        <w:rPr>
          <w:b/>
          <w:bCs/>
        </w:rPr>
        <w:t>Vencimiento anticipado</w:t>
      </w:r>
    </w:p>
    <w:p w14:paraId="5AC55AD9" w14:textId="4A341268" w:rsidR="008F0C15" w:rsidRDefault="008F0C15" w:rsidP="002B1E17">
      <w:pPr>
        <w:spacing w:after="240"/>
        <w:jc w:val="both"/>
      </w:pPr>
      <w:hyperlink r:id="rId80" w:history="1">
        <w:r w:rsidRPr="008F0C15">
          <w:rPr>
            <w:rStyle w:val="Hipervnculo"/>
          </w:rPr>
          <w:t>STS, Sala Primera, 844/2022, de 28 de noviembre de 2022</w:t>
        </w:r>
      </w:hyperlink>
      <w:r>
        <w:t>. “</w:t>
      </w:r>
      <w:r w:rsidRPr="008F0C15">
        <w:t>Préstamo hipotecario. Proceso declarativo en el que se ejercita la pretensión de vencimiento anticipado. Incumplimiento grave y esencial de las obligaciones del prestatario que deja de pagar las cuotas pactadas. Reiteración de doctrina</w:t>
      </w:r>
      <w:r>
        <w:t xml:space="preserve">”. </w:t>
      </w:r>
    </w:p>
    <w:p w14:paraId="6E57323E" w14:textId="77777777" w:rsidR="00274E63" w:rsidRDefault="00274E63" w:rsidP="002B1E17">
      <w:pPr>
        <w:spacing w:after="240"/>
        <w:jc w:val="both"/>
        <w:rPr>
          <w:b/>
          <w:bCs/>
        </w:rPr>
      </w:pPr>
    </w:p>
    <w:p w14:paraId="29A91E73" w14:textId="77777777" w:rsidR="00274E63" w:rsidRDefault="00274E63" w:rsidP="00274E63">
      <w:pPr>
        <w:spacing w:after="240"/>
        <w:jc w:val="both"/>
        <w:rPr>
          <w:b/>
          <w:bCs/>
        </w:rPr>
      </w:pPr>
      <w:r>
        <w:rPr>
          <w:b/>
          <w:bCs/>
        </w:rPr>
        <w:t>Compraventa de vivienda. Devolución de anticipos</w:t>
      </w:r>
    </w:p>
    <w:p w14:paraId="5801FB51" w14:textId="77777777" w:rsidR="00274E63" w:rsidRPr="00274E63" w:rsidRDefault="00274E63" w:rsidP="00274E63">
      <w:pPr>
        <w:spacing w:after="240"/>
        <w:jc w:val="both"/>
      </w:pPr>
      <w:hyperlink r:id="rId81" w:history="1">
        <w:r w:rsidRPr="00274E63">
          <w:rPr>
            <w:rStyle w:val="Hipervnculo"/>
          </w:rPr>
          <w:t>STS, Sala Primera, 636/2022, de 3 de octubre de 2022</w:t>
        </w:r>
      </w:hyperlink>
      <w:r>
        <w:t>. “</w:t>
      </w:r>
      <w:r w:rsidRPr="00274E63">
        <w:t>Compraventa de vivienda en construcción para uso residencial (Ley 57/1968). Factores o indicios que indican la finalidad no residencial que excluye la aplicación de la Ley. Desconocimiento por el banco demandado de los anticipos a cuenta</w:t>
      </w:r>
      <w:r>
        <w:t xml:space="preserve">”. </w:t>
      </w:r>
    </w:p>
    <w:p w14:paraId="5F132E96" w14:textId="77777777" w:rsidR="00274E63" w:rsidRPr="002C1D4A" w:rsidRDefault="00274E63" w:rsidP="00274E63">
      <w:pPr>
        <w:spacing w:after="240"/>
        <w:jc w:val="both"/>
      </w:pPr>
      <w:hyperlink r:id="rId82" w:history="1">
        <w:r w:rsidRPr="002C1D4A">
          <w:rPr>
            <w:rStyle w:val="Hipervnculo"/>
          </w:rPr>
          <w:t>STS, Sala Primera, 671/2022, de 17 de octubre de 2022</w:t>
        </w:r>
      </w:hyperlink>
      <w:r>
        <w:t>. “</w:t>
      </w:r>
      <w:r w:rsidRPr="002C1D4A">
        <w:t>Ley 57/68. Demanda contra el banco receptor de las cantidades anticipadas pidiendo la devolución años después de haber vencido el plazo de entrega y de que la vivienda estuviera en disposición de ser entregada pero antes del emplazamiento para escriturar</w:t>
      </w:r>
      <w:r>
        <w:t xml:space="preserve">”. </w:t>
      </w:r>
    </w:p>
    <w:p w14:paraId="7DEF1A5D" w14:textId="77777777" w:rsidR="00274E63" w:rsidRPr="00F01CAD" w:rsidRDefault="00274E63" w:rsidP="00274E63">
      <w:pPr>
        <w:spacing w:after="240"/>
        <w:jc w:val="both"/>
      </w:pPr>
      <w:hyperlink r:id="rId83" w:history="1">
        <w:r w:rsidRPr="00F01CAD">
          <w:rPr>
            <w:rStyle w:val="Hipervnculo"/>
          </w:rPr>
          <w:t>STS, Sala Primera, 888/2022, de 13 de diciembre de 2022</w:t>
        </w:r>
      </w:hyperlink>
      <w:r>
        <w:t>. “</w:t>
      </w:r>
      <w:r w:rsidRPr="00F01CAD">
        <w:t>Ley 57/1968. No es aplicable a la compraventa de apartamentos pertenecientes a un conjunto inmobiliario en construcción que, como cada uno de sus elementos, estaba específicamente destinado a un uso turístico -deportivo-hotelero, y no residencial</w:t>
      </w:r>
      <w:r>
        <w:t xml:space="preserve">”. </w:t>
      </w:r>
    </w:p>
    <w:p w14:paraId="3E6BEF37" w14:textId="77777777" w:rsidR="00274E63" w:rsidRDefault="00274E63" w:rsidP="002B1E17">
      <w:pPr>
        <w:spacing w:after="240"/>
        <w:jc w:val="both"/>
        <w:rPr>
          <w:b/>
          <w:bCs/>
        </w:rPr>
      </w:pPr>
    </w:p>
    <w:p w14:paraId="3A5AFBD9" w14:textId="58D354E0" w:rsidR="00F01CAD" w:rsidRDefault="00F01CAD" w:rsidP="002B1E17">
      <w:pPr>
        <w:spacing w:after="240"/>
        <w:jc w:val="both"/>
        <w:rPr>
          <w:b/>
          <w:bCs/>
        </w:rPr>
      </w:pPr>
      <w:r>
        <w:rPr>
          <w:b/>
          <w:bCs/>
        </w:rPr>
        <w:t>Contratación de productos financieros</w:t>
      </w:r>
    </w:p>
    <w:p w14:paraId="78F11E3A" w14:textId="77A95FAD" w:rsidR="00274E63" w:rsidRPr="00274E63" w:rsidRDefault="00274E63" w:rsidP="002B1E17">
      <w:pPr>
        <w:spacing w:after="240"/>
        <w:jc w:val="both"/>
      </w:pPr>
      <w:hyperlink r:id="rId84" w:history="1">
        <w:r w:rsidRPr="00274E63">
          <w:rPr>
            <w:rStyle w:val="Hipervnculo"/>
          </w:rPr>
          <w:t>STS, Sala Primera, 635/2022, de 3 de octubre de 2022</w:t>
        </w:r>
      </w:hyperlink>
      <w:r>
        <w:t>. “</w:t>
      </w:r>
      <w:r w:rsidRPr="00274E63">
        <w:t>Participaciones preferentes. Acción de nulidad por error vicio del consentimiento. Día inicial del plazo de caducidad: reiteración de la jurisprudencia de esta Sala</w:t>
      </w:r>
      <w:r>
        <w:t xml:space="preserve">”. </w:t>
      </w:r>
    </w:p>
    <w:p w14:paraId="7FD83099" w14:textId="3CC4C230" w:rsidR="00E35225" w:rsidRDefault="002C1D4A" w:rsidP="002B1E17">
      <w:pPr>
        <w:spacing w:after="240"/>
        <w:jc w:val="both"/>
      </w:pPr>
      <w:hyperlink r:id="rId85" w:history="1">
        <w:r w:rsidRPr="002C1D4A">
          <w:rPr>
            <w:rStyle w:val="Hipervnculo"/>
          </w:rPr>
          <w:t>STS, Sala Primera, 648/2022, de 6 de octubre de 2022</w:t>
        </w:r>
      </w:hyperlink>
      <w:r>
        <w:t>. “</w:t>
      </w:r>
      <w:r w:rsidRPr="002C1D4A">
        <w:t>Swap. Acción del art. 1101 CC. Incumplimiento por la recurrida de sus obligaciones de información en el ejercicio de su actividad de asesoramiento financiero. Inexistencia de pacto transaccional conteniendo una renuncia de acciones</w:t>
      </w:r>
      <w:r>
        <w:t xml:space="preserve">”. </w:t>
      </w:r>
    </w:p>
    <w:p w14:paraId="56A8B385" w14:textId="29794CF5" w:rsidR="00F01CAD" w:rsidRPr="00F01CAD" w:rsidRDefault="00F01CAD" w:rsidP="002B1E17">
      <w:pPr>
        <w:spacing w:after="240"/>
        <w:jc w:val="both"/>
      </w:pPr>
      <w:hyperlink r:id="rId86" w:history="1">
        <w:r w:rsidRPr="00F01CAD">
          <w:rPr>
            <w:rStyle w:val="Hipervnculo"/>
          </w:rPr>
          <w:t>STS, Sala Primera, 889/2022, de 13 de diciembre de 2022</w:t>
        </w:r>
      </w:hyperlink>
      <w:r>
        <w:t>. “</w:t>
      </w:r>
      <w:r w:rsidRPr="00F01CAD">
        <w:t xml:space="preserve">Condiciones generales de la contratación. Renuncia de acciones. Control de abusividad. Obligaciones subordinadas de la antigua Caja España canjeadas por el FROB por bonos de Banco </w:t>
      </w:r>
      <w:proofErr w:type="spellStart"/>
      <w:r w:rsidRPr="00F01CAD">
        <w:t>Ceiss</w:t>
      </w:r>
      <w:proofErr w:type="spellEnd"/>
      <w:r w:rsidRPr="00F01CAD">
        <w:t>, con posterior oferta de canje por bonos de Unicaja</w:t>
      </w:r>
      <w:r>
        <w:t xml:space="preserve">”. </w:t>
      </w:r>
    </w:p>
    <w:p w14:paraId="5680BF9D" w14:textId="33CE2FD3" w:rsidR="00E35225" w:rsidRPr="00E35225" w:rsidRDefault="00E35225" w:rsidP="002B1E17">
      <w:pPr>
        <w:spacing w:after="240"/>
        <w:jc w:val="both"/>
      </w:pPr>
      <w:hyperlink r:id="rId87" w:history="1">
        <w:r w:rsidRPr="00E35225">
          <w:rPr>
            <w:rStyle w:val="Hipervnculo"/>
          </w:rPr>
          <w:t>STS, Sala Primera, 944/2022, de 20 de diciembre de 2022</w:t>
        </w:r>
      </w:hyperlink>
      <w:r>
        <w:t>. “</w:t>
      </w:r>
      <w:r w:rsidRPr="00E35225">
        <w:t>Obligaciones subordinadas. Participaciones preferentes. Nulidad por error vicio en el consentimiento. Caducidad de la acción. Día inicial del cómputo del plazo</w:t>
      </w:r>
      <w:r>
        <w:t xml:space="preserve">”. </w:t>
      </w:r>
    </w:p>
    <w:p w14:paraId="04B3E022" w14:textId="77777777" w:rsidR="00274E63" w:rsidRDefault="00274E63" w:rsidP="002B1E17">
      <w:pPr>
        <w:spacing w:after="240"/>
        <w:jc w:val="both"/>
        <w:rPr>
          <w:b/>
          <w:bCs/>
        </w:rPr>
      </w:pPr>
    </w:p>
    <w:p w14:paraId="305ACCF8" w14:textId="77777777" w:rsidR="00274E63" w:rsidRDefault="00274E63" w:rsidP="002B1E17">
      <w:pPr>
        <w:spacing w:after="240"/>
        <w:jc w:val="both"/>
        <w:rPr>
          <w:b/>
          <w:bCs/>
        </w:rPr>
      </w:pPr>
    </w:p>
    <w:p w14:paraId="18D1523F" w14:textId="77777777" w:rsidR="00274E63" w:rsidRDefault="00274E63" w:rsidP="002B1E17">
      <w:pPr>
        <w:spacing w:after="240"/>
        <w:jc w:val="both"/>
        <w:rPr>
          <w:b/>
          <w:bCs/>
        </w:rPr>
      </w:pPr>
    </w:p>
    <w:p w14:paraId="26D20FAC" w14:textId="26760602" w:rsidR="00FF006E" w:rsidRDefault="00FF006E" w:rsidP="002B1E17">
      <w:pPr>
        <w:spacing w:after="240"/>
        <w:jc w:val="both"/>
        <w:rPr>
          <w:b/>
          <w:bCs/>
        </w:rPr>
      </w:pPr>
      <w:r>
        <w:rPr>
          <w:b/>
          <w:bCs/>
        </w:rPr>
        <w:t>Cuestiones de competencia</w:t>
      </w:r>
    </w:p>
    <w:p w14:paraId="011F5C0C" w14:textId="69E6C303" w:rsidR="002C1D4A" w:rsidRDefault="002C1D4A" w:rsidP="002B1E17">
      <w:pPr>
        <w:spacing w:after="240"/>
        <w:jc w:val="both"/>
      </w:pPr>
      <w:hyperlink r:id="rId88" w:history="1">
        <w:r w:rsidRPr="002C1D4A">
          <w:rPr>
            <w:rStyle w:val="Hipervnculo"/>
          </w:rPr>
          <w:t>ATS, Sala Primera, de 11 de octubre de 2022. Núm. de recurso: 231/2022</w:t>
        </w:r>
      </w:hyperlink>
      <w:r>
        <w:t>. “</w:t>
      </w:r>
      <w:r w:rsidRPr="002C1D4A">
        <w:t>Conflicto de competencia territorial. Demanda de juicio verbal. Competencia del juzgado que conoció de la demanda correspondiente al partido donde el demandante tenía su domicilio. Fuero electivo a elección del consumidor (artículo 52.3 de la LEC)</w:t>
      </w:r>
      <w:r>
        <w:t xml:space="preserve">”. </w:t>
      </w:r>
    </w:p>
    <w:p w14:paraId="54D42E91" w14:textId="1E8EFBF0" w:rsidR="002C1D4A" w:rsidRDefault="002C1D4A" w:rsidP="002B1E17">
      <w:pPr>
        <w:spacing w:after="240"/>
        <w:jc w:val="both"/>
      </w:pPr>
      <w:hyperlink r:id="rId89" w:history="1">
        <w:r w:rsidRPr="002C1D4A">
          <w:rPr>
            <w:rStyle w:val="Hipervnculo"/>
          </w:rPr>
          <w:t>ATS, Sala Primera, de 11 de octubre de 2022. Núm. de recurso: 234/2022</w:t>
        </w:r>
      </w:hyperlink>
      <w:r>
        <w:t>. “</w:t>
      </w:r>
      <w:r w:rsidRPr="002C1D4A">
        <w:t>Conflicto negativo de competencia territorial. Juicio ordinario en el que una asociación de consumidores ejercita una acción de nulidad de cláusulas abusivas en representación de sus asociados. Domicilio de la asociación demandante al momento de interponerse la demanda</w:t>
      </w:r>
      <w:r>
        <w:t xml:space="preserve">”. </w:t>
      </w:r>
    </w:p>
    <w:p w14:paraId="26B69226" w14:textId="42A25D6C" w:rsidR="002C1D4A" w:rsidRPr="002C1D4A" w:rsidRDefault="002C1D4A" w:rsidP="002B1E17">
      <w:pPr>
        <w:spacing w:after="240"/>
        <w:jc w:val="both"/>
      </w:pPr>
      <w:hyperlink r:id="rId90" w:history="1">
        <w:r w:rsidRPr="002C1D4A">
          <w:rPr>
            <w:rStyle w:val="Hipervnculo"/>
          </w:rPr>
          <w:t>ATS, Sala Primera, de 11 de octubre de 2022. Núm. de recurso: 248/2022</w:t>
        </w:r>
      </w:hyperlink>
      <w:r>
        <w:t>. “</w:t>
      </w:r>
      <w:r w:rsidRPr="002C1D4A">
        <w:t>C</w:t>
      </w:r>
      <w:r w:rsidRPr="002C1D4A">
        <w:t>onflicto negativo de competencia territorial</w:t>
      </w:r>
      <w:r w:rsidRPr="002C1D4A">
        <w:t>. Compraventa realizada por Internet. Fuero del domicilio del consumidor</w:t>
      </w:r>
      <w:r>
        <w:t xml:space="preserve">”. </w:t>
      </w:r>
    </w:p>
    <w:p w14:paraId="78237A1A" w14:textId="52DA30DA" w:rsidR="007002AC" w:rsidRPr="007002AC" w:rsidRDefault="007002AC" w:rsidP="002B1E17">
      <w:pPr>
        <w:spacing w:after="240"/>
        <w:jc w:val="both"/>
      </w:pPr>
      <w:hyperlink r:id="rId91" w:history="1">
        <w:r w:rsidRPr="007002AC">
          <w:rPr>
            <w:rStyle w:val="Hipervnculo"/>
          </w:rPr>
          <w:t>ATS, Sala Primera, de 8 de noviembre de 2022. Núm. de recurso: 265/2022</w:t>
        </w:r>
      </w:hyperlink>
      <w:r>
        <w:t>. “</w:t>
      </w:r>
      <w:r w:rsidRPr="007002AC">
        <w:t>C</w:t>
      </w:r>
      <w:r w:rsidRPr="007002AC">
        <w:t xml:space="preserve">onflicto negativo de competencia territorial. </w:t>
      </w:r>
      <w:r>
        <w:t>J</w:t>
      </w:r>
      <w:r w:rsidRPr="007002AC">
        <w:t xml:space="preserve">uicio verbal. </w:t>
      </w:r>
      <w:r>
        <w:t>C</w:t>
      </w:r>
      <w:r w:rsidRPr="007002AC">
        <w:t xml:space="preserve">onsumidor. </w:t>
      </w:r>
      <w:r>
        <w:t>C</w:t>
      </w:r>
      <w:r w:rsidRPr="007002AC">
        <w:t>ompraventa online</w:t>
      </w:r>
      <w:r>
        <w:t xml:space="preserve">”. </w:t>
      </w:r>
    </w:p>
    <w:p w14:paraId="2F2DE08C" w14:textId="66DFF9C1" w:rsidR="009728E7" w:rsidRPr="009728E7" w:rsidRDefault="007002AC" w:rsidP="002B1E17">
      <w:pPr>
        <w:spacing w:after="240"/>
        <w:jc w:val="both"/>
      </w:pPr>
      <w:hyperlink r:id="rId92" w:history="1">
        <w:r w:rsidR="009728E7" w:rsidRPr="007002AC">
          <w:rPr>
            <w:rStyle w:val="Hipervnculo"/>
          </w:rPr>
          <w:t>ATS, Sala Primera, de 22 de noviembre de 2022. Núm. de recurso: 312/2022</w:t>
        </w:r>
      </w:hyperlink>
      <w:r w:rsidR="009728E7">
        <w:t>. “</w:t>
      </w:r>
      <w:r w:rsidR="009728E7" w:rsidRPr="009728E7">
        <w:t>Conflicto negativo de competencia territorial. Juicio verbal. Acción planteada por consumidor. Fuero de los arts. 52.2 y 52.3 LEC</w:t>
      </w:r>
      <w:r w:rsidR="009728E7">
        <w:t xml:space="preserve">”. </w:t>
      </w:r>
    </w:p>
    <w:p w14:paraId="4FB8F84C" w14:textId="19ED58CE" w:rsidR="008F0C15" w:rsidRPr="008F0C15" w:rsidRDefault="008F0C15" w:rsidP="002B1E17">
      <w:pPr>
        <w:spacing w:after="240"/>
        <w:jc w:val="both"/>
      </w:pPr>
      <w:hyperlink r:id="rId93" w:history="1">
        <w:r w:rsidRPr="008F0C15">
          <w:rPr>
            <w:rStyle w:val="Hipervnculo"/>
          </w:rPr>
          <w:t>ATS, Sala Primera, de 29 de noviembre de 2022. Núm. de recurso: 291/2022</w:t>
        </w:r>
      </w:hyperlink>
      <w:r>
        <w:t>. “</w:t>
      </w:r>
      <w:r w:rsidRPr="008F0C15">
        <w:t>C</w:t>
      </w:r>
      <w:r w:rsidRPr="008F0C15">
        <w:t>onflicto negativo de competencia territorial</w:t>
      </w:r>
      <w:r w:rsidRPr="008F0C15">
        <w:t>. Juicio ordinario en ejercicio de acción de nulidad de por usura y de nulidad por cláusulas abusivas. Acumulación eventual de acciones. Artículo 52.3 de la LEC</w:t>
      </w:r>
      <w:r>
        <w:t xml:space="preserve">”. </w:t>
      </w:r>
    </w:p>
    <w:p w14:paraId="2751E408" w14:textId="00806DE4" w:rsidR="002B1E17" w:rsidRPr="002B1E17" w:rsidRDefault="00FA3DA2" w:rsidP="002B1E17">
      <w:pPr>
        <w:spacing w:after="240"/>
        <w:jc w:val="both"/>
      </w:pPr>
      <w:r>
        <w:rPr>
          <w:noProof/>
        </w:rPr>
        <w:pict w14:anchorId="5179A21A">
          <v:rect id="_x0000_i1025" alt="" style="width:425.2pt;height:.05pt;mso-width-percent:0;mso-height-percent:0;mso-width-percent:0;mso-height-percent:0" o:hralign="center" o:hrstd="t" o:hr="t" fillcolor="#a0a0a0" stroked="f"/>
        </w:pict>
      </w:r>
    </w:p>
    <w:p w14:paraId="10CF42C4" w14:textId="77777777" w:rsidR="00D730B6" w:rsidRDefault="00D730B6" w:rsidP="00E017A7">
      <w:pPr>
        <w:jc w:val="center"/>
        <w:rPr>
          <w:b/>
          <w:color w:val="000000" w:themeColor="text1"/>
          <w:sz w:val="28"/>
          <w:szCs w:val="28"/>
        </w:rPr>
      </w:pPr>
    </w:p>
    <w:p w14:paraId="775E1158" w14:textId="77777777" w:rsidR="00CA73CC" w:rsidRDefault="00CA73CC" w:rsidP="00E017A7">
      <w:pPr>
        <w:jc w:val="center"/>
        <w:rPr>
          <w:b/>
          <w:color w:val="000000" w:themeColor="text1"/>
          <w:sz w:val="28"/>
          <w:szCs w:val="28"/>
        </w:rPr>
      </w:pPr>
    </w:p>
    <w:p w14:paraId="6F512E72" w14:textId="1459847E" w:rsidR="00E017A7" w:rsidRDefault="00E017A7" w:rsidP="00E017A7">
      <w:pPr>
        <w:jc w:val="center"/>
        <w:rPr>
          <w:b/>
          <w:color w:val="000000" w:themeColor="text1"/>
          <w:sz w:val="28"/>
          <w:szCs w:val="28"/>
        </w:rPr>
      </w:pPr>
      <w:r w:rsidRPr="009A3417">
        <w:rPr>
          <w:b/>
          <w:color w:val="000000" w:themeColor="text1"/>
          <w:sz w:val="28"/>
          <w:szCs w:val="28"/>
        </w:rPr>
        <w:t>RESOLUCIONES DE LA DIRECCIÓN GENERAL DE SEGURIDAD JURÍDICA Y FE PÚBLICA (DGSJFP)</w:t>
      </w:r>
    </w:p>
    <w:p w14:paraId="320212C9" w14:textId="77777777" w:rsidR="00D730B6" w:rsidRDefault="00D730B6" w:rsidP="00E017A7">
      <w:pPr>
        <w:jc w:val="center"/>
        <w:rPr>
          <w:b/>
          <w:color w:val="000000" w:themeColor="text1"/>
          <w:sz w:val="28"/>
          <w:szCs w:val="28"/>
        </w:rPr>
      </w:pPr>
    </w:p>
    <w:p w14:paraId="009E2A1E" w14:textId="1F80DFAD" w:rsidR="00D730B6" w:rsidRDefault="00D730B6" w:rsidP="00E017A7">
      <w:pPr>
        <w:jc w:val="center"/>
        <w:rPr>
          <w:b/>
          <w:color w:val="000000" w:themeColor="text1"/>
          <w:sz w:val="28"/>
          <w:szCs w:val="28"/>
        </w:rPr>
      </w:pPr>
    </w:p>
    <w:p w14:paraId="2E11BB9A" w14:textId="0054C5DE" w:rsidR="00274E63" w:rsidRDefault="00274E63" w:rsidP="00274E63">
      <w:pPr>
        <w:ind w:right="-1"/>
        <w:jc w:val="both"/>
        <w:rPr>
          <w:bCs/>
          <w:color w:val="000000" w:themeColor="text1"/>
        </w:rPr>
      </w:pPr>
      <w:hyperlink r:id="rId94" w:history="1">
        <w:r w:rsidRPr="00274E63">
          <w:rPr>
            <w:rStyle w:val="Hipervnculo"/>
            <w:bCs/>
          </w:rPr>
          <w:t>Resolución de la DGSJFP, de 26 de septiembre de 2022</w:t>
        </w:r>
      </w:hyperlink>
      <w:r>
        <w:rPr>
          <w:bCs/>
          <w:color w:val="000000" w:themeColor="text1"/>
        </w:rPr>
        <w:t xml:space="preserve">, </w:t>
      </w:r>
      <w:r w:rsidRPr="00274E63">
        <w:rPr>
          <w:bCs/>
          <w:color w:val="000000" w:themeColor="text1"/>
        </w:rPr>
        <w:t>en el recurso interpuesto</w:t>
      </w:r>
      <w:r>
        <w:rPr>
          <w:bCs/>
          <w:color w:val="000000" w:themeColor="text1"/>
        </w:rPr>
        <w:t xml:space="preserve"> </w:t>
      </w:r>
      <w:r w:rsidRPr="00274E63">
        <w:rPr>
          <w:bCs/>
          <w:color w:val="000000" w:themeColor="text1"/>
        </w:rPr>
        <w:t>contra la negativa del registrador de la propiedad de Madrid n.º 18 a inscribir una escritura de</w:t>
      </w:r>
      <w:r>
        <w:rPr>
          <w:bCs/>
          <w:color w:val="000000" w:themeColor="text1"/>
        </w:rPr>
        <w:t xml:space="preserve"> </w:t>
      </w:r>
      <w:r w:rsidRPr="00274E63">
        <w:rPr>
          <w:bCs/>
          <w:color w:val="000000" w:themeColor="text1"/>
        </w:rPr>
        <w:t>préstamo con garantía hipotecaria</w:t>
      </w:r>
      <w:r>
        <w:rPr>
          <w:bCs/>
          <w:color w:val="000000" w:themeColor="text1"/>
        </w:rPr>
        <w:t xml:space="preserve"> (</w:t>
      </w:r>
      <w:hyperlink r:id="rId95" w:history="1">
        <w:r w:rsidRPr="001355D9">
          <w:rPr>
            <w:rStyle w:val="Hipervnculo"/>
            <w:bCs/>
          </w:rPr>
          <w:t>resumen en web N&amp;R</w:t>
        </w:r>
      </w:hyperlink>
      <w:r>
        <w:rPr>
          <w:bCs/>
          <w:color w:val="000000" w:themeColor="text1"/>
        </w:rPr>
        <w:t xml:space="preserve">). </w:t>
      </w:r>
    </w:p>
    <w:p w14:paraId="544D99FE" w14:textId="40198290" w:rsidR="00274E63" w:rsidRDefault="00274E63" w:rsidP="00274E63">
      <w:pPr>
        <w:ind w:right="-1"/>
        <w:jc w:val="both"/>
        <w:rPr>
          <w:bCs/>
          <w:color w:val="000000" w:themeColor="text1"/>
        </w:rPr>
      </w:pPr>
    </w:p>
    <w:p w14:paraId="7FFB165D" w14:textId="735BD7EE" w:rsidR="007A7EB8" w:rsidRPr="00470BF9" w:rsidRDefault="00274E63" w:rsidP="001355D9">
      <w:pPr>
        <w:ind w:right="-1"/>
        <w:jc w:val="both"/>
        <w:rPr>
          <w:bCs/>
          <w:color w:val="000000" w:themeColor="text1"/>
        </w:rPr>
      </w:pPr>
      <w:hyperlink r:id="rId96" w:history="1">
        <w:r w:rsidRPr="00274E63">
          <w:rPr>
            <w:rStyle w:val="Hipervnculo"/>
            <w:bCs/>
          </w:rPr>
          <w:t>Resolución de la DGSJFP, de 27 de septiembre de 2022</w:t>
        </w:r>
      </w:hyperlink>
      <w:r>
        <w:rPr>
          <w:bCs/>
          <w:color w:val="000000" w:themeColor="text1"/>
        </w:rPr>
        <w:t xml:space="preserve">, </w:t>
      </w:r>
      <w:r w:rsidRPr="00274E63">
        <w:rPr>
          <w:bCs/>
          <w:color w:val="000000" w:themeColor="text1"/>
        </w:rPr>
        <w:t>en el recurso interpuesto contra la nota de calificación de la registradora de la propiedad de La Seu d'Urgell, por la que se deniega la cancelación de la nota marginal puesta al margen de expedición de certificación de dominio y cargas de la hipoteca que estaba en ejecución y de las sucesivas inscripciones, cancelaciones y anotaciones practicadas como consecuencia de la ejecución hipotecaria terminada, y que han sido ordenadas por mandamiento judicial</w:t>
      </w:r>
      <w:r>
        <w:rPr>
          <w:bCs/>
          <w:color w:val="000000" w:themeColor="text1"/>
        </w:rPr>
        <w:t xml:space="preserve"> (</w:t>
      </w:r>
      <w:hyperlink r:id="rId97" w:history="1">
        <w:r w:rsidRPr="001355D9">
          <w:rPr>
            <w:rStyle w:val="Hipervnculo"/>
            <w:bCs/>
          </w:rPr>
          <w:t>resumen en web N&amp;R</w:t>
        </w:r>
      </w:hyperlink>
      <w:r>
        <w:rPr>
          <w:bCs/>
          <w:color w:val="000000" w:themeColor="text1"/>
        </w:rPr>
        <w:t xml:space="preserve">). </w:t>
      </w:r>
    </w:p>
    <w:sectPr w:rsidR="007A7EB8" w:rsidRPr="00470BF9" w:rsidSect="000562B1">
      <w:footerReference w:type="default" r:id="rId98"/>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6EE16" w14:textId="77777777" w:rsidR="00FA3DA2" w:rsidRDefault="00FA3DA2" w:rsidP="000562B1">
      <w:r>
        <w:separator/>
      </w:r>
    </w:p>
  </w:endnote>
  <w:endnote w:type="continuationSeparator" w:id="0">
    <w:p w14:paraId="7AA0686D" w14:textId="77777777" w:rsidR="00FA3DA2" w:rsidRDefault="00FA3DA2" w:rsidP="00056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363187"/>
      <w:docPartObj>
        <w:docPartGallery w:val="Page Numbers (Bottom of Page)"/>
        <w:docPartUnique/>
      </w:docPartObj>
    </w:sdtPr>
    <w:sdtEndPr>
      <w:rPr>
        <w:rFonts w:ascii="Times New Roman" w:hAnsi="Times New Roman" w:cs="Times New Roman"/>
        <w:sz w:val="24"/>
        <w:szCs w:val="24"/>
      </w:rPr>
    </w:sdtEndPr>
    <w:sdtContent>
      <w:p w14:paraId="63290595" w14:textId="77777777" w:rsidR="00101C22" w:rsidRPr="001832F8" w:rsidRDefault="00101C22">
        <w:pPr>
          <w:pStyle w:val="Piedepgina"/>
          <w:jc w:val="right"/>
          <w:rPr>
            <w:rFonts w:ascii="Times New Roman" w:hAnsi="Times New Roman" w:cs="Times New Roman"/>
            <w:sz w:val="24"/>
            <w:szCs w:val="24"/>
          </w:rPr>
        </w:pPr>
        <w:r w:rsidRPr="001832F8">
          <w:rPr>
            <w:rFonts w:ascii="Times New Roman" w:hAnsi="Times New Roman" w:cs="Times New Roman"/>
            <w:sz w:val="24"/>
            <w:szCs w:val="24"/>
          </w:rPr>
          <w:fldChar w:fldCharType="begin"/>
        </w:r>
        <w:r w:rsidRPr="001832F8">
          <w:rPr>
            <w:rFonts w:ascii="Times New Roman" w:hAnsi="Times New Roman" w:cs="Times New Roman"/>
            <w:sz w:val="24"/>
            <w:szCs w:val="24"/>
          </w:rPr>
          <w:instrText>PAGE   \* MERGEFORMAT</w:instrText>
        </w:r>
        <w:r w:rsidRPr="001832F8">
          <w:rPr>
            <w:rFonts w:ascii="Times New Roman" w:hAnsi="Times New Roman" w:cs="Times New Roman"/>
            <w:sz w:val="24"/>
            <w:szCs w:val="24"/>
          </w:rPr>
          <w:fldChar w:fldCharType="separate"/>
        </w:r>
        <w:r w:rsidR="00F1056F">
          <w:rPr>
            <w:rFonts w:ascii="Times New Roman" w:hAnsi="Times New Roman" w:cs="Times New Roman"/>
            <w:noProof/>
            <w:sz w:val="24"/>
            <w:szCs w:val="24"/>
          </w:rPr>
          <w:t>9</w:t>
        </w:r>
        <w:r w:rsidRPr="001832F8">
          <w:rPr>
            <w:rFonts w:ascii="Times New Roman" w:hAnsi="Times New Roman" w:cs="Times New Roman"/>
            <w:sz w:val="24"/>
            <w:szCs w:val="24"/>
          </w:rPr>
          <w:fldChar w:fldCharType="end"/>
        </w:r>
      </w:p>
    </w:sdtContent>
  </w:sdt>
  <w:p w14:paraId="37C823B9" w14:textId="77777777" w:rsidR="00101C22" w:rsidRDefault="00101C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6E6B0" w14:textId="77777777" w:rsidR="00FA3DA2" w:rsidRDefault="00FA3DA2" w:rsidP="000562B1">
      <w:r>
        <w:separator/>
      </w:r>
    </w:p>
  </w:footnote>
  <w:footnote w:type="continuationSeparator" w:id="0">
    <w:p w14:paraId="6EA9CCC4" w14:textId="77777777" w:rsidR="00FA3DA2" w:rsidRDefault="00FA3DA2" w:rsidP="000562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315AE"/>
    <w:multiLevelType w:val="hybridMultilevel"/>
    <w:tmpl w:val="F6222D9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1A47CDC"/>
    <w:multiLevelType w:val="hybridMultilevel"/>
    <w:tmpl w:val="9CFE2A6E"/>
    <w:lvl w:ilvl="0" w:tplc="D750CB88">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4397483"/>
    <w:multiLevelType w:val="hybridMultilevel"/>
    <w:tmpl w:val="2014F25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9795D65"/>
    <w:multiLevelType w:val="hybridMultilevel"/>
    <w:tmpl w:val="6CAED840"/>
    <w:lvl w:ilvl="0" w:tplc="2C8094C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CA75E7F"/>
    <w:multiLevelType w:val="hybridMultilevel"/>
    <w:tmpl w:val="08249B3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F21AAF"/>
    <w:multiLevelType w:val="multilevel"/>
    <w:tmpl w:val="C2CC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4075B9"/>
    <w:multiLevelType w:val="hybridMultilevel"/>
    <w:tmpl w:val="55201CA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82441CA"/>
    <w:multiLevelType w:val="hybridMultilevel"/>
    <w:tmpl w:val="7AC4537A"/>
    <w:lvl w:ilvl="0" w:tplc="471E95E2">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65861EC8"/>
    <w:multiLevelType w:val="hybridMultilevel"/>
    <w:tmpl w:val="B194020E"/>
    <w:lvl w:ilvl="0" w:tplc="8DF0A50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B2123B9"/>
    <w:multiLevelType w:val="hybridMultilevel"/>
    <w:tmpl w:val="B9C406EE"/>
    <w:lvl w:ilvl="0" w:tplc="471C8DA0">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6C1E0587"/>
    <w:multiLevelType w:val="hybridMultilevel"/>
    <w:tmpl w:val="E03A9884"/>
    <w:lvl w:ilvl="0" w:tplc="C1349A3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6D145F24"/>
    <w:multiLevelType w:val="hybridMultilevel"/>
    <w:tmpl w:val="D308732C"/>
    <w:lvl w:ilvl="0" w:tplc="643E15FC">
      <w:start w:val="1"/>
      <w:numFmt w:val="bullet"/>
      <w:lvlText w:val=""/>
      <w:lvlJc w:val="left"/>
      <w:pPr>
        <w:ind w:left="720" w:hanging="360"/>
      </w:pPr>
      <w:rPr>
        <w:rFonts w:ascii="Wingdings" w:eastAsia="Times New Roman" w:hAnsi="Wingdings"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713A1A64"/>
    <w:multiLevelType w:val="hybridMultilevel"/>
    <w:tmpl w:val="370E71BC"/>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3CD4892"/>
    <w:multiLevelType w:val="hybridMultilevel"/>
    <w:tmpl w:val="31923E98"/>
    <w:lvl w:ilvl="0" w:tplc="459E2956">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78CB4682"/>
    <w:multiLevelType w:val="hybridMultilevel"/>
    <w:tmpl w:val="F922407E"/>
    <w:lvl w:ilvl="0" w:tplc="45FE9F5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CBC1C0F"/>
    <w:multiLevelType w:val="hybridMultilevel"/>
    <w:tmpl w:val="8B8E37E0"/>
    <w:lvl w:ilvl="0" w:tplc="23560D96">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350885556">
    <w:abstractNumId w:val="14"/>
  </w:num>
  <w:num w:numId="2" w16cid:durableId="161898188">
    <w:abstractNumId w:val="0"/>
  </w:num>
  <w:num w:numId="3" w16cid:durableId="438574505">
    <w:abstractNumId w:val="12"/>
  </w:num>
  <w:num w:numId="4" w16cid:durableId="1700349985">
    <w:abstractNumId w:val="6"/>
  </w:num>
  <w:num w:numId="5" w16cid:durableId="726418586">
    <w:abstractNumId w:val="2"/>
  </w:num>
  <w:num w:numId="6" w16cid:durableId="2101562868">
    <w:abstractNumId w:val="4"/>
  </w:num>
  <w:num w:numId="7" w16cid:durableId="55979577">
    <w:abstractNumId w:val="1"/>
  </w:num>
  <w:num w:numId="8" w16cid:durableId="774132843">
    <w:abstractNumId w:val="3"/>
  </w:num>
  <w:num w:numId="9" w16cid:durableId="995571696">
    <w:abstractNumId w:val="8"/>
  </w:num>
  <w:num w:numId="10" w16cid:durableId="537862301">
    <w:abstractNumId w:val="9"/>
  </w:num>
  <w:num w:numId="11" w16cid:durableId="681246970">
    <w:abstractNumId w:val="13"/>
  </w:num>
  <w:num w:numId="12" w16cid:durableId="1900821912">
    <w:abstractNumId w:val="5"/>
  </w:num>
  <w:num w:numId="13" w16cid:durableId="1992513075">
    <w:abstractNumId w:val="10"/>
  </w:num>
  <w:num w:numId="14" w16cid:durableId="826017279">
    <w:abstractNumId w:val="11"/>
  </w:num>
  <w:num w:numId="15" w16cid:durableId="625966765">
    <w:abstractNumId w:val="15"/>
  </w:num>
  <w:num w:numId="16" w16cid:durableId="8628604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8D6"/>
    <w:rsid w:val="0001261B"/>
    <w:rsid w:val="000132EC"/>
    <w:rsid w:val="000148EA"/>
    <w:rsid w:val="00020F4E"/>
    <w:rsid w:val="0002281F"/>
    <w:rsid w:val="00023371"/>
    <w:rsid w:val="00023D79"/>
    <w:rsid w:val="00025F28"/>
    <w:rsid w:val="000260EA"/>
    <w:rsid w:val="000261CD"/>
    <w:rsid w:val="00033A21"/>
    <w:rsid w:val="00036BBC"/>
    <w:rsid w:val="00036CB1"/>
    <w:rsid w:val="00037ECF"/>
    <w:rsid w:val="00045895"/>
    <w:rsid w:val="0004700D"/>
    <w:rsid w:val="000503EC"/>
    <w:rsid w:val="000523A3"/>
    <w:rsid w:val="00054FB7"/>
    <w:rsid w:val="00055DCF"/>
    <w:rsid w:val="000562B1"/>
    <w:rsid w:val="00056D06"/>
    <w:rsid w:val="000630D2"/>
    <w:rsid w:val="00064ADC"/>
    <w:rsid w:val="0006715A"/>
    <w:rsid w:val="00080E3E"/>
    <w:rsid w:val="00087618"/>
    <w:rsid w:val="00091C1F"/>
    <w:rsid w:val="00092150"/>
    <w:rsid w:val="00092F2B"/>
    <w:rsid w:val="000A28D2"/>
    <w:rsid w:val="000B0A5D"/>
    <w:rsid w:val="000B5305"/>
    <w:rsid w:val="000C03B5"/>
    <w:rsid w:val="000C1C9A"/>
    <w:rsid w:val="000C29EB"/>
    <w:rsid w:val="000C5244"/>
    <w:rsid w:val="000D2B7E"/>
    <w:rsid w:val="000D30BF"/>
    <w:rsid w:val="000E09B2"/>
    <w:rsid w:val="000E1594"/>
    <w:rsid w:val="000F1465"/>
    <w:rsid w:val="000F7FE0"/>
    <w:rsid w:val="001003C3"/>
    <w:rsid w:val="00101146"/>
    <w:rsid w:val="00101C22"/>
    <w:rsid w:val="00102EA3"/>
    <w:rsid w:val="001175FF"/>
    <w:rsid w:val="00120D0B"/>
    <w:rsid w:val="0012310A"/>
    <w:rsid w:val="001243F0"/>
    <w:rsid w:val="0012496D"/>
    <w:rsid w:val="001269ED"/>
    <w:rsid w:val="001315E9"/>
    <w:rsid w:val="00133E4A"/>
    <w:rsid w:val="00134193"/>
    <w:rsid w:val="001342BF"/>
    <w:rsid w:val="001355D9"/>
    <w:rsid w:val="00137D74"/>
    <w:rsid w:val="001426E9"/>
    <w:rsid w:val="001427D2"/>
    <w:rsid w:val="0015251B"/>
    <w:rsid w:val="00152B3F"/>
    <w:rsid w:val="0016024A"/>
    <w:rsid w:val="001630E8"/>
    <w:rsid w:val="001661B9"/>
    <w:rsid w:val="0017035A"/>
    <w:rsid w:val="00181687"/>
    <w:rsid w:val="001832F8"/>
    <w:rsid w:val="0019626A"/>
    <w:rsid w:val="00197F42"/>
    <w:rsid w:val="001A0218"/>
    <w:rsid w:val="001A34D0"/>
    <w:rsid w:val="001A65B0"/>
    <w:rsid w:val="001B39D6"/>
    <w:rsid w:val="001B66EC"/>
    <w:rsid w:val="001C6BB5"/>
    <w:rsid w:val="001C7752"/>
    <w:rsid w:val="001D2A5A"/>
    <w:rsid w:val="001D599B"/>
    <w:rsid w:val="001E467C"/>
    <w:rsid w:val="001E50D5"/>
    <w:rsid w:val="00205FBC"/>
    <w:rsid w:val="00215B27"/>
    <w:rsid w:val="0022401C"/>
    <w:rsid w:val="00226C2F"/>
    <w:rsid w:val="002321F9"/>
    <w:rsid w:val="0024550F"/>
    <w:rsid w:val="002523D3"/>
    <w:rsid w:val="00253626"/>
    <w:rsid w:val="002578B0"/>
    <w:rsid w:val="002664A5"/>
    <w:rsid w:val="00274E63"/>
    <w:rsid w:val="00277E42"/>
    <w:rsid w:val="0028255D"/>
    <w:rsid w:val="00282C9D"/>
    <w:rsid w:val="002831C1"/>
    <w:rsid w:val="00291147"/>
    <w:rsid w:val="002920B4"/>
    <w:rsid w:val="0029296C"/>
    <w:rsid w:val="0029550E"/>
    <w:rsid w:val="00295F80"/>
    <w:rsid w:val="002968D2"/>
    <w:rsid w:val="002A11EF"/>
    <w:rsid w:val="002A1C6A"/>
    <w:rsid w:val="002B1E17"/>
    <w:rsid w:val="002B2E72"/>
    <w:rsid w:val="002B3E1B"/>
    <w:rsid w:val="002B7051"/>
    <w:rsid w:val="002B7203"/>
    <w:rsid w:val="002C1D4A"/>
    <w:rsid w:val="002C300B"/>
    <w:rsid w:val="002C3D5D"/>
    <w:rsid w:val="002D39CF"/>
    <w:rsid w:val="002E4D27"/>
    <w:rsid w:val="00311C89"/>
    <w:rsid w:val="0031312C"/>
    <w:rsid w:val="00320972"/>
    <w:rsid w:val="00324CCA"/>
    <w:rsid w:val="00326C94"/>
    <w:rsid w:val="00330ED4"/>
    <w:rsid w:val="00333940"/>
    <w:rsid w:val="00335C17"/>
    <w:rsid w:val="00350904"/>
    <w:rsid w:val="00361AE5"/>
    <w:rsid w:val="00361DBD"/>
    <w:rsid w:val="003662F8"/>
    <w:rsid w:val="00371B60"/>
    <w:rsid w:val="00374843"/>
    <w:rsid w:val="00375149"/>
    <w:rsid w:val="0038090B"/>
    <w:rsid w:val="003814E9"/>
    <w:rsid w:val="00382342"/>
    <w:rsid w:val="00390B60"/>
    <w:rsid w:val="0039501D"/>
    <w:rsid w:val="003A75CE"/>
    <w:rsid w:val="003B18F4"/>
    <w:rsid w:val="003B5E26"/>
    <w:rsid w:val="003B64E6"/>
    <w:rsid w:val="003B6A79"/>
    <w:rsid w:val="003C3202"/>
    <w:rsid w:val="003C4F44"/>
    <w:rsid w:val="003C7E66"/>
    <w:rsid w:val="003D1215"/>
    <w:rsid w:val="003D146F"/>
    <w:rsid w:val="003D1768"/>
    <w:rsid w:val="003D2EB7"/>
    <w:rsid w:val="003D4582"/>
    <w:rsid w:val="003D575B"/>
    <w:rsid w:val="003E0E19"/>
    <w:rsid w:val="003E66AA"/>
    <w:rsid w:val="003E79C6"/>
    <w:rsid w:val="003F3C4D"/>
    <w:rsid w:val="003F44BD"/>
    <w:rsid w:val="003F49BB"/>
    <w:rsid w:val="003F4BCA"/>
    <w:rsid w:val="003F5DB5"/>
    <w:rsid w:val="00401E34"/>
    <w:rsid w:val="00406207"/>
    <w:rsid w:val="00410FE1"/>
    <w:rsid w:val="004132F9"/>
    <w:rsid w:val="004154E4"/>
    <w:rsid w:val="004158D3"/>
    <w:rsid w:val="004165FA"/>
    <w:rsid w:val="00423FD0"/>
    <w:rsid w:val="00425F18"/>
    <w:rsid w:val="00426FB5"/>
    <w:rsid w:val="00432663"/>
    <w:rsid w:val="00440EC2"/>
    <w:rsid w:val="004501EC"/>
    <w:rsid w:val="00450241"/>
    <w:rsid w:val="0045575C"/>
    <w:rsid w:val="00460642"/>
    <w:rsid w:val="00470BF9"/>
    <w:rsid w:val="00474518"/>
    <w:rsid w:val="00474CF6"/>
    <w:rsid w:val="00480480"/>
    <w:rsid w:val="0048273A"/>
    <w:rsid w:val="00493DA0"/>
    <w:rsid w:val="00495CD3"/>
    <w:rsid w:val="004A1086"/>
    <w:rsid w:val="004A2D44"/>
    <w:rsid w:val="004A67EC"/>
    <w:rsid w:val="004B17F0"/>
    <w:rsid w:val="004B2857"/>
    <w:rsid w:val="004C11CD"/>
    <w:rsid w:val="004C42FE"/>
    <w:rsid w:val="004C499E"/>
    <w:rsid w:val="004D0941"/>
    <w:rsid w:val="004D3353"/>
    <w:rsid w:val="004D4FDA"/>
    <w:rsid w:val="004D794A"/>
    <w:rsid w:val="004E2966"/>
    <w:rsid w:val="004F1964"/>
    <w:rsid w:val="004F32B8"/>
    <w:rsid w:val="004F749B"/>
    <w:rsid w:val="005054E9"/>
    <w:rsid w:val="005058C6"/>
    <w:rsid w:val="0051297C"/>
    <w:rsid w:val="00514DB2"/>
    <w:rsid w:val="00517B2D"/>
    <w:rsid w:val="0052180D"/>
    <w:rsid w:val="00537598"/>
    <w:rsid w:val="0055001F"/>
    <w:rsid w:val="0055152E"/>
    <w:rsid w:val="005524C4"/>
    <w:rsid w:val="005527B0"/>
    <w:rsid w:val="005527D4"/>
    <w:rsid w:val="00552F70"/>
    <w:rsid w:val="0055648D"/>
    <w:rsid w:val="005575A8"/>
    <w:rsid w:val="00571521"/>
    <w:rsid w:val="00582008"/>
    <w:rsid w:val="005939BE"/>
    <w:rsid w:val="005B57B6"/>
    <w:rsid w:val="005B7019"/>
    <w:rsid w:val="005C04C5"/>
    <w:rsid w:val="005E322B"/>
    <w:rsid w:val="005E340F"/>
    <w:rsid w:val="005E3F4E"/>
    <w:rsid w:val="005F0DEC"/>
    <w:rsid w:val="005F1DFB"/>
    <w:rsid w:val="005F3600"/>
    <w:rsid w:val="005F3622"/>
    <w:rsid w:val="005F3752"/>
    <w:rsid w:val="005F54B3"/>
    <w:rsid w:val="005F7187"/>
    <w:rsid w:val="00610E3B"/>
    <w:rsid w:val="0061376A"/>
    <w:rsid w:val="00617D90"/>
    <w:rsid w:val="00621A2B"/>
    <w:rsid w:val="006240C0"/>
    <w:rsid w:val="00625298"/>
    <w:rsid w:val="00626300"/>
    <w:rsid w:val="00630753"/>
    <w:rsid w:val="00631205"/>
    <w:rsid w:val="00633110"/>
    <w:rsid w:val="00633D7E"/>
    <w:rsid w:val="006342AA"/>
    <w:rsid w:val="00652A96"/>
    <w:rsid w:val="00653C35"/>
    <w:rsid w:val="00656A1A"/>
    <w:rsid w:val="00666C3C"/>
    <w:rsid w:val="00671FC1"/>
    <w:rsid w:val="006732D5"/>
    <w:rsid w:val="00673A7C"/>
    <w:rsid w:val="006A016D"/>
    <w:rsid w:val="006A52C5"/>
    <w:rsid w:val="006A68C8"/>
    <w:rsid w:val="006B09DF"/>
    <w:rsid w:val="006B172C"/>
    <w:rsid w:val="006B6B86"/>
    <w:rsid w:val="006C3083"/>
    <w:rsid w:val="006D40FF"/>
    <w:rsid w:val="006D500E"/>
    <w:rsid w:val="006D64C6"/>
    <w:rsid w:val="006E2037"/>
    <w:rsid w:val="006F0EA9"/>
    <w:rsid w:val="006F1548"/>
    <w:rsid w:val="006F1906"/>
    <w:rsid w:val="006F5993"/>
    <w:rsid w:val="006F5DF5"/>
    <w:rsid w:val="006F7400"/>
    <w:rsid w:val="007002AC"/>
    <w:rsid w:val="00705FFE"/>
    <w:rsid w:val="00707164"/>
    <w:rsid w:val="00707BBB"/>
    <w:rsid w:val="00710790"/>
    <w:rsid w:val="00715756"/>
    <w:rsid w:val="00716BDF"/>
    <w:rsid w:val="00716C67"/>
    <w:rsid w:val="00720DEF"/>
    <w:rsid w:val="0072347E"/>
    <w:rsid w:val="00723A17"/>
    <w:rsid w:val="007250AF"/>
    <w:rsid w:val="00726A56"/>
    <w:rsid w:val="00726EA9"/>
    <w:rsid w:val="0073215C"/>
    <w:rsid w:val="00743A28"/>
    <w:rsid w:val="00745159"/>
    <w:rsid w:val="00746864"/>
    <w:rsid w:val="00750159"/>
    <w:rsid w:val="00750189"/>
    <w:rsid w:val="00766984"/>
    <w:rsid w:val="00773D8D"/>
    <w:rsid w:val="00777769"/>
    <w:rsid w:val="00777A36"/>
    <w:rsid w:val="00782E3C"/>
    <w:rsid w:val="007831A3"/>
    <w:rsid w:val="00784F6E"/>
    <w:rsid w:val="007876F2"/>
    <w:rsid w:val="00791B67"/>
    <w:rsid w:val="00796680"/>
    <w:rsid w:val="007A3A07"/>
    <w:rsid w:val="007A7EB8"/>
    <w:rsid w:val="007B0C81"/>
    <w:rsid w:val="007B235C"/>
    <w:rsid w:val="007C21CB"/>
    <w:rsid w:val="007C2FE3"/>
    <w:rsid w:val="007C6552"/>
    <w:rsid w:val="007C7C81"/>
    <w:rsid w:val="007D6201"/>
    <w:rsid w:val="007D7C6E"/>
    <w:rsid w:val="007F1BA6"/>
    <w:rsid w:val="008047D0"/>
    <w:rsid w:val="00805312"/>
    <w:rsid w:val="008059F7"/>
    <w:rsid w:val="00806B2B"/>
    <w:rsid w:val="0081601A"/>
    <w:rsid w:val="00823AEA"/>
    <w:rsid w:val="008251E3"/>
    <w:rsid w:val="00825E3F"/>
    <w:rsid w:val="00827C04"/>
    <w:rsid w:val="00846866"/>
    <w:rsid w:val="00847269"/>
    <w:rsid w:val="008502A5"/>
    <w:rsid w:val="00851A41"/>
    <w:rsid w:val="0085768E"/>
    <w:rsid w:val="008613A0"/>
    <w:rsid w:val="00861C62"/>
    <w:rsid w:val="00864A76"/>
    <w:rsid w:val="00880188"/>
    <w:rsid w:val="008866B3"/>
    <w:rsid w:val="00891EF7"/>
    <w:rsid w:val="00892A47"/>
    <w:rsid w:val="008A254E"/>
    <w:rsid w:val="008B032C"/>
    <w:rsid w:val="008B3BC5"/>
    <w:rsid w:val="008B5F7C"/>
    <w:rsid w:val="008C279F"/>
    <w:rsid w:val="008D2AC3"/>
    <w:rsid w:val="008D423F"/>
    <w:rsid w:val="008D4ACD"/>
    <w:rsid w:val="008D6849"/>
    <w:rsid w:val="008E7FE1"/>
    <w:rsid w:val="008F0C15"/>
    <w:rsid w:val="008F2744"/>
    <w:rsid w:val="008F2A25"/>
    <w:rsid w:val="008F5D80"/>
    <w:rsid w:val="008F7E17"/>
    <w:rsid w:val="009059BB"/>
    <w:rsid w:val="0090638A"/>
    <w:rsid w:val="00913265"/>
    <w:rsid w:val="00914F9E"/>
    <w:rsid w:val="00916F83"/>
    <w:rsid w:val="009226D2"/>
    <w:rsid w:val="00923CBC"/>
    <w:rsid w:val="00927005"/>
    <w:rsid w:val="00930248"/>
    <w:rsid w:val="00931802"/>
    <w:rsid w:val="0093649B"/>
    <w:rsid w:val="009432D4"/>
    <w:rsid w:val="009443FB"/>
    <w:rsid w:val="00944EC3"/>
    <w:rsid w:val="009479F9"/>
    <w:rsid w:val="00952BF5"/>
    <w:rsid w:val="00964889"/>
    <w:rsid w:val="009728E7"/>
    <w:rsid w:val="00974521"/>
    <w:rsid w:val="00974842"/>
    <w:rsid w:val="00982BD1"/>
    <w:rsid w:val="009868A9"/>
    <w:rsid w:val="00992538"/>
    <w:rsid w:val="00992FE4"/>
    <w:rsid w:val="009A0FDF"/>
    <w:rsid w:val="009A3417"/>
    <w:rsid w:val="009A4659"/>
    <w:rsid w:val="009B102D"/>
    <w:rsid w:val="009B29A8"/>
    <w:rsid w:val="009B2F45"/>
    <w:rsid w:val="009B7B00"/>
    <w:rsid w:val="009B7D1C"/>
    <w:rsid w:val="009C21C2"/>
    <w:rsid w:val="009C6AF6"/>
    <w:rsid w:val="009D0E82"/>
    <w:rsid w:val="009E6308"/>
    <w:rsid w:val="009E7932"/>
    <w:rsid w:val="009E7F1B"/>
    <w:rsid w:val="009F6D54"/>
    <w:rsid w:val="009F7D57"/>
    <w:rsid w:val="00A00862"/>
    <w:rsid w:val="00A0441B"/>
    <w:rsid w:val="00A178D6"/>
    <w:rsid w:val="00A21DDE"/>
    <w:rsid w:val="00A535EC"/>
    <w:rsid w:val="00A5491D"/>
    <w:rsid w:val="00A61FD1"/>
    <w:rsid w:val="00A63896"/>
    <w:rsid w:val="00A66B5E"/>
    <w:rsid w:val="00A74B3B"/>
    <w:rsid w:val="00A7569C"/>
    <w:rsid w:val="00A95CE0"/>
    <w:rsid w:val="00A970C5"/>
    <w:rsid w:val="00AA150A"/>
    <w:rsid w:val="00AA4CA8"/>
    <w:rsid w:val="00AB31D0"/>
    <w:rsid w:val="00AD11D1"/>
    <w:rsid w:val="00AD5FB9"/>
    <w:rsid w:val="00AE39AA"/>
    <w:rsid w:val="00AF138B"/>
    <w:rsid w:val="00AF371A"/>
    <w:rsid w:val="00AF4237"/>
    <w:rsid w:val="00B00158"/>
    <w:rsid w:val="00B01124"/>
    <w:rsid w:val="00B03532"/>
    <w:rsid w:val="00B0403C"/>
    <w:rsid w:val="00B065EF"/>
    <w:rsid w:val="00B100A1"/>
    <w:rsid w:val="00B1119A"/>
    <w:rsid w:val="00B25732"/>
    <w:rsid w:val="00B2676E"/>
    <w:rsid w:val="00B270D8"/>
    <w:rsid w:val="00B32AD3"/>
    <w:rsid w:val="00B355FC"/>
    <w:rsid w:val="00B40032"/>
    <w:rsid w:val="00B41377"/>
    <w:rsid w:val="00B42623"/>
    <w:rsid w:val="00B44604"/>
    <w:rsid w:val="00B46ED6"/>
    <w:rsid w:val="00B51238"/>
    <w:rsid w:val="00B532F6"/>
    <w:rsid w:val="00B55B74"/>
    <w:rsid w:val="00B56F8B"/>
    <w:rsid w:val="00B60EA5"/>
    <w:rsid w:val="00B670BA"/>
    <w:rsid w:val="00B71B6E"/>
    <w:rsid w:val="00B74082"/>
    <w:rsid w:val="00B74839"/>
    <w:rsid w:val="00B917BF"/>
    <w:rsid w:val="00BA563E"/>
    <w:rsid w:val="00BA5D21"/>
    <w:rsid w:val="00BB262E"/>
    <w:rsid w:val="00BC455E"/>
    <w:rsid w:val="00BC7926"/>
    <w:rsid w:val="00BD0FDC"/>
    <w:rsid w:val="00BD3643"/>
    <w:rsid w:val="00BD53FF"/>
    <w:rsid w:val="00BD73B0"/>
    <w:rsid w:val="00BE313B"/>
    <w:rsid w:val="00BE3615"/>
    <w:rsid w:val="00BE5D7E"/>
    <w:rsid w:val="00BE5DD5"/>
    <w:rsid w:val="00BE706F"/>
    <w:rsid w:val="00BF1769"/>
    <w:rsid w:val="00BF4969"/>
    <w:rsid w:val="00BF6852"/>
    <w:rsid w:val="00C03537"/>
    <w:rsid w:val="00C07046"/>
    <w:rsid w:val="00C076BB"/>
    <w:rsid w:val="00C078C5"/>
    <w:rsid w:val="00C12370"/>
    <w:rsid w:val="00C16506"/>
    <w:rsid w:val="00C2237F"/>
    <w:rsid w:val="00C23D6B"/>
    <w:rsid w:val="00C26685"/>
    <w:rsid w:val="00C275BB"/>
    <w:rsid w:val="00C32AE8"/>
    <w:rsid w:val="00C37702"/>
    <w:rsid w:val="00C37DE5"/>
    <w:rsid w:val="00C418AB"/>
    <w:rsid w:val="00C41A52"/>
    <w:rsid w:val="00C426D9"/>
    <w:rsid w:val="00C44259"/>
    <w:rsid w:val="00C45C39"/>
    <w:rsid w:val="00C47765"/>
    <w:rsid w:val="00C51E9F"/>
    <w:rsid w:val="00C5425C"/>
    <w:rsid w:val="00C57D67"/>
    <w:rsid w:val="00C6473C"/>
    <w:rsid w:val="00C660D0"/>
    <w:rsid w:val="00C67BF4"/>
    <w:rsid w:val="00C70151"/>
    <w:rsid w:val="00C70BDE"/>
    <w:rsid w:val="00C755BB"/>
    <w:rsid w:val="00C87AA6"/>
    <w:rsid w:val="00C943B2"/>
    <w:rsid w:val="00C967BA"/>
    <w:rsid w:val="00C972C4"/>
    <w:rsid w:val="00C97402"/>
    <w:rsid w:val="00C97832"/>
    <w:rsid w:val="00CA2167"/>
    <w:rsid w:val="00CA6B57"/>
    <w:rsid w:val="00CA73CC"/>
    <w:rsid w:val="00CA7C2A"/>
    <w:rsid w:val="00CB0586"/>
    <w:rsid w:val="00CB6624"/>
    <w:rsid w:val="00CB6B3B"/>
    <w:rsid w:val="00CB7F0D"/>
    <w:rsid w:val="00CC7512"/>
    <w:rsid w:val="00CD3213"/>
    <w:rsid w:val="00CD66C6"/>
    <w:rsid w:val="00CE63DC"/>
    <w:rsid w:val="00CE70D4"/>
    <w:rsid w:val="00D03066"/>
    <w:rsid w:val="00D10448"/>
    <w:rsid w:val="00D22E2A"/>
    <w:rsid w:val="00D26B86"/>
    <w:rsid w:val="00D33275"/>
    <w:rsid w:val="00D332A9"/>
    <w:rsid w:val="00D35C4A"/>
    <w:rsid w:val="00D364FB"/>
    <w:rsid w:val="00D36C84"/>
    <w:rsid w:val="00D37249"/>
    <w:rsid w:val="00D41835"/>
    <w:rsid w:val="00D42581"/>
    <w:rsid w:val="00D42EAD"/>
    <w:rsid w:val="00D464E6"/>
    <w:rsid w:val="00D47695"/>
    <w:rsid w:val="00D51C35"/>
    <w:rsid w:val="00D637F0"/>
    <w:rsid w:val="00D730B6"/>
    <w:rsid w:val="00D74241"/>
    <w:rsid w:val="00D827B7"/>
    <w:rsid w:val="00D82DD4"/>
    <w:rsid w:val="00D835ED"/>
    <w:rsid w:val="00D864C6"/>
    <w:rsid w:val="00D86C9D"/>
    <w:rsid w:val="00D90A21"/>
    <w:rsid w:val="00DA30E6"/>
    <w:rsid w:val="00DA793D"/>
    <w:rsid w:val="00DB24F9"/>
    <w:rsid w:val="00DC326F"/>
    <w:rsid w:val="00DD5D6D"/>
    <w:rsid w:val="00DD73EB"/>
    <w:rsid w:val="00DD7428"/>
    <w:rsid w:val="00DF5469"/>
    <w:rsid w:val="00E017A7"/>
    <w:rsid w:val="00E14F4D"/>
    <w:rsid w:val="00E26FAD"/>
    <w:rsid w:val="00E3031C"/>
    <w:rsid w:val="00E34339"/>
    <w:rsid w:val="00E35225"/>
    <w:rsid w:val="00E37172"/>
    <w:rsid w:val="00E417BF"/>
    <w:rsid w:val="00E41CFF"/>
    <w:rsid w:val="00E42D53"/>
    <w:rsid w:val="00E500AF"/>
    <w:rsid w:val="00E570EA"/>
    <w:rsid w:val="00E612C0"/>
    <w:rsid w:val="00E618E3"/>
    <w:rsid w:val="00E66B8F"/>
    <w:rsid w:val="00E67C54"/>
    <w:rsid w:val="00E733D8"/>
    <w:rsid w:val="00E73D4B"/>
    <w:rsid w:val="00E74AD9"/>
    <w:rsid w:val="00E750F2"/>
    <w:rsid w:val="00E7533D"/>
    <w:rsid w:val="00E75818"/>
    <w:rsid w:val="00E76D1E"/>
    <w:rsid w:val="00E80417"/>
    <w:rsid w:val="00E82D08"/>
    <w:rsid w:val="00E843AB"/>
    <w:rsid w:val="00E84781"/>
    <w:rsid w:val="00E86324"/>
    <w:rsid w:val="00E93BC5"/>
    <w:rsid w:val="00E947D1"/>
    <w:rsid w:val="00EC0375"/>
    <w:rsid w:val="00EC1131"/>
    <w:rsid w:val="00EC25EC"/>
    <w:rsid w:val="00ED0DDE"/>
    <w:rsid w:val="00ED63FB"/>
    <w:rsid w:val="00EE05FD"/>
    <w:rsid w:val="00EF0B8C"/>
    <w:rsid w:val="00EF0F88"/>
    <w:rsid w:val="00EF1BE0"/>
    <w:rsid w:val="00F01CAD"/>
    <w:rsid w:val="00F1056F"/>
    <w:rsid w:val="00F2361C"/>
    <w:rsid w:val="00F267FE"/>
    <w:rsid w:val="00F334A1"/>
    <w:rsid w:val="00F53917"/>
    <w:rsid w:val="00F5658C"/>
    <w:rsid w:val="00F60701"/>
    <w:rsid w:val="00F7142B"/>
    <w:rsid w:val="00F722CD"/>
    <w:rsid w:val="00F732B7"/>
    <w:rsid w:val="00F817A4"/>
    <w:rsid w:val="00F827FD"/>
    <w:rsid w:val="00F864A8"/>
    <w:rsid w:val="00F9146F"/>
    <w:rsid w:val="00F94598"/>
    <w:rsid w:val="00F9663B"/>
    <w:rsid w:val="00FA3DA2"/>
    <w:rsid w:val="00FA6A80"/>
    <w:rsid w:val="00FA6DED"/>
    <w:rsid w:val="00FB58B2"/>
    <w:rsid w:val="00FC1DFB"/>
    <w:rsid w:val="00FC250F"/>
    <w:rsid w:val="00FD27A5"/>
    <w:rsid w:val="00FD2D7E"/>
    <w:rsid w:val="00FD3527"/>
    <w:rsid w:val="00FD62D1"/>
    <w:rsid w:val="00FD6383"/>
    <w:rsid w:val="00FE1D5C"/>
    <w:rsid w:val="00FE5F96"/>
    <w:rsid w:val="00FF006E"/>
    <w:rsid w:val="00FF618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F9BF5"/>
  <w15:docId w15:val="{4EB8BDB1-8A81-554C-B439-5679433F0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5ED"/>
    <w:pPr>
      <w:spacing w:after="0" w:line="240" w:lineRule="auto"/>
    </w:pPr>
    <w:rPr>
      <w:rFonts w:ascii="Times New Roman" w:eastAsia="Times New Roman" w:hAnsi="Times New Roman" w:cs="Times New Roman"/>
      <w:sz w:val="24"/>
      <w:szCs w:val="24"/>
      <w:lang w:eastAsia="es-ES_tradnl"/>
    </w:rPr>
  </w:style>
  <w:style w:type="paragraph" w:styleId="Ttulo3">
    <w:name w:val="heading 3"/>
    <w:basedOn w:val="Normal"/>
    <w:next w:val="Normal"/>
    <w:link w:val="Ttulo3Car"/>
    <w:uiPriority w:val="9"/>
    <w:semiHidden/>
    <w:unhideWhenUsed/>
    <w:qFormat/>
    <w:rsid w:val="00E017A7"/>
    <w:pPr>
      <w:keepNext/>
      <w:keepLines/>
      <w:spacing w:before="40" w:line="276" w:lineRule="auto"/>
      <w:outlineLvl w:val="2"/>
    </w:pPr>
    <w:rPr>
      <w:rFonts w:asciiTheme="majorHAnsi" w:eastAsiaTheme="majorEastAsia" w:hAnsiTheme="majorHAnsi" w:cstheme="majorBidi"/>
      <w:color w:val="243F60" w:themeColor="accent1" w:themeShade="7F"/>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spacing w:after="200" w:line="276" w:lineRule="auto"/>
      <w:ind w:left="720"/>
      <w:contextualSpacing/>
    </w:pPr>
    <w:rPr>
      <w:rFonts w:asciiTheme="minorHAnsi" w:eastAsiaTheme="minorHAnsi" w:hAnsiTheme="minorHAnsi" w:cstheme="minorBidi"/>
      <w:sz w:val="22"/>
      <w:szCs w:val="22"/>
      <w:lang w:eastAsia="en-US"/>
    </w:rPr>
  </w:style>
  <w:style w:type="paragraph" w:styleId="Textodeglobo">
    <w:name w:val="Balloon Text"/>
    <w:basedOn w:val="Normal"/>
    <w:link w:val="TextodegloboCar"/>
    <w:uiPriority w:val="99"/>
    <w:semiHidden/>
    <w:unhideWhenUsed/>
    <w:rsid w:val="00C660D0"/>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0562B1"/>
  </w:style>
  <w:style w:type="character" w:styleId="Hipervnculo">
    <w:name w:val="Hyperlink"/>
    <w:basedOn w:val="Fuentedeprrafopredeter"/>
    <w:uiPriority w:val="99"/>
    <w:unhideWhenUsed/>
    <w:rsid w:val="002B1E17"/>
    <w:rPr>
      <w:color w:val="0000FF" w:themeColor="hyperlink"/>
      <w:u w:val="single"/>
    </w:rPr>
  </w:style>
  <w:style w:type="character" w:customStyle="1" w:styleId="Mencinsinresolver1">
    <w:name w:val="Mención sin resolver1"/>
    <w:basedOn w:val="Fuentedeprrafopredeter"/>
    <w:uiPriority w:val="99"/>
    <w:semiHidden/>
    <w:unhideWhenUsed/>
    <w:rsid w:val="00C47765"/>
    <w:rPr>
      <w:color w:val="605E5C"/>
      <w:shd w:val="clear" w:color="auto" w:fill="E1DFDD"/>
    </w:rPr>
  </w:style>
  <w:style w:type="character" w:styleId="Hipervnculovisitado">
    <w:name w:val="FollowedHyperlink"/>
    <w:basedOn w:val="Fuentedeprrafopredeter"/>
    <w:uiPriority w:val="99"/>
    <w:semiHidden/>
    <w:unhideWhenUsed/>
    <w:rsid w:val="00F334A1"/>
    <w:rPr>
      <w:color w:val="800080" w:themeColor="followedHyperlink"/>
      <w:u w:val="single"/>
    </w:rPr>
  </w:style>
  <w:style w:type="character" w:customStyle="1" w:styleId="Mencinsinresolver2">
    <w:name w:val="Mención sin resolver2"/>
    <w:basedOn w:val="Fuentedeprrafopredeter"/>
    <w:uiPriority w:val="99"/>
    <w:semiHidden/>
    <w:unhideWhenUsed/>
    <w:rsid w:val="00C5425C"/>
    <w:rPr>
      <w:color w:val="605E5C"/>
      <w:shd w:val="clear" w:color="auto" w:fill="E1DFDD"/>
    </w:rPr>
  </w:style>
  <w:style w:type="paragraph" w:styleId="Textonotapie">
    <w:name w:val="footnote text"/>
    <w:basedOn w:val="Normal"/>
    <w:link w:val="TextonotapieCar"/>
    <w:uiPriority w:val="99"/>
    <w:semiHidden/>
    <w:unhideWhenUsed/>
    <w:rsid w:val="00C5425C"/>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C5425C"/>
    <w:rPr>
      <w:sz w:val="20"/>
      <w:szCs w:val="20"/>
    </w:rPr>
  </w:style>
  <w:style w:type="character" w:styleId="Refdenotaalpie">
    <w:name w:val="footnote reference"/>
    <w:basedOn w:val="Fuentedeprrafopredeter"/>
    <w:uiPriority w:val="99"/>
    <w:semiHidden/>
    <w:unhideWhenUsed/>
    <w:rsid w:val="00C5425C"/>
    <w:rPr>
      <w:vertAlign w:val="superscript"/>
    </w:rPr>
  </w:style>
  <w:style w:type="character" w:styleId="Mencinsinresolver">
    <w:name w:val="Unresolved Mention"/>
    <w:basedOn w:val="Fuentedeprrafopredeter"/>
    <w:uiPriority w:val="99"/>
    <w:semiHidden/>
    <w:unhideWhenUsed/>
    <w:rsid w:val="006240C0"/>
    <w:rPr>
      <w:color w:val="605E5C"/>
      <w:shd w:val="clear" w:color="auto" w:fill="E1DFDD"/>
    </w:rPr>
  </w:style>
  <w:style w:type="character" w:customStyle="1" w:styleId="Ttulo3Car">
    <w:name w:val="Título 3 Car"/>
    <w:basedOn w:val="Fuentedeprrafopredeter"/>
    <w:link w:val="Ttulo3"/>
    <w:uiPriority w:val="9"/>
    <w:semiHidden/>
    <w:rsid w:val="00E017A7"/>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131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7198">
      <w:bodyDiv w:val="1"/>
      <w:marLeft w:val="0"/>
      <w:marRight w:val="0"/>
      <w:marTop w:val="0"/>
      <w:marBottom w:val="0"/>
      <w:divBdr>
        <w:top w:val="none" w:sz="0" w:space="0" w:color="auto"/>
        <w:left w:val="none" w:sz="0" w:space="0" w:color="auto"/>
        <w:bottom w:val="none" w:sz="0" w:space="0" w:color="auto"/>
        <w:right w:val="none" w:sz="0" w:space="0" w:color="auto"/>
      </w:divBdr>
    </w:div>
    <w:div w:id="12079837">
      <w:bodyDiv w:val="1"/>
      <w:marLeft w:val="0"/>
      <w:marRight w:val="0"/>
      <w:marTop w:val="0"/>
      <w:marBottom w:val="0"/>
      <w:divBdr>
        <w:top w:val="none" w:sz="0" w:space="0" w:color="auto"/>
        <w:left w:val="none" w:sz="0" w:space="0" w:color="auto"/>
        <w:bottom w:val="none" w:sz="0" w:space="0" w:color="auto"/>
        <w:right w:val="none" w:sz="0" w:space="0" w:color="auto"/>
      </w:divBdr>
    </w:div>
    <w:div w:id="23865775">
      <w:bodyDiv w:val="1"/>
      <w:marLeft w:val="0"/>
      <w:marRight w:val="0"/>
      <w:marTop w:val="0"/>
      <w:marBottom w:val="0"/>
      <w:divBdr>
        <w:top w:val="none" w:sz="0" w:space="0" w:color="auto"/>
        <w:left w:val="none" w:sz="0" w:space="0" w:color="auto"/>
        <w:bottom w:val="none" w:sz="0" w:space="0" w:color="auto"/>
        <w:right w:val="none" w:sz="0" w:space="0" w:color="auto"/>
      </w:divBdr>
    </w:div>
    <w:div w:id="25059497">
      <w:bodyDiv w:val="1"/>
      <w:marLeft w:val="0"/>
      <w:marRight w:val="0"/>
      <w:marTop w:val="0"/>
      <w:marBottom w:val="0"/>
      <w:divBdr>
        <w:top w:val="none" w:sz="0" w:space="0" w:color="auto"/>
        <w:left w:val="none" w:sz="0" w:space="0" w:color="auto"/>
        <w:bottom w:val="none" w:sz="0" w:space="0" w:color="auto"/>
        <w:right w:val="none" w:sz="0" w:space="0" w:color="auto"/>
      </w:divBdr>
    </w:div>
    <w:div w:id="29691072">
      <w:bodyDiv w:val="1"/>
      <w:marLeft w:val="0"/>
      <w:marRight w:val="0"/>
      <w:marTop w:val="0"/>
      <w:marBottom w:val="0"/>
      <w:divBdr>
        <w:top w:val="none" w:sz="0" w:space="0" w:color="auto"/>
        <w:left w:val="none" w:sz="0" w:space="0" w:color="auto"/>
        <w:bottom w:val="none" w:sz="0" w:space="0" w:color="auto"/>
        <w:right w:val="none" w:sz="0" w:space="0" w:color="auto"/>
      </w:divBdr>
    </w:div>
    <w:div w:id="35013825">
      <w:bodyDiv w:val="1"/>
      <w:marLeft w:val="0"/>
      <w:marRight w:val="0"/>
      <w:marTop w:val="0"/>
      <w:marBottom w:val="0"/>
      <w:divBdr>
        <w:top w:val="none" w:sz="0" w:space="0" w:color="auto"/>
        <w:left w:val="none" w:sz="0" w:space="0" w:color="auto"/>
        <w:bottom w:val="none" w:sz="0" w:space="0" w:color="auto"/>
        <w:right w:val="none" w:sz="0" w:space="0" w:color="auto"/>
      </w:divBdr>
    </w:div>
    <w:div w:id="41099239">
      <w:bodyDiv w:val="1"/>
      <w:marLeft w:val="0"/>
      <w:marRight w:val="0"/>
      <w:marTop w:val="0"/>
      <w:marBottom w:val="0"/>
      <w:divBdr>
        <w:top w:val="none" w:sz="0" w:space="0" w:color="auto"/>
        <w:left w:val="none" w:sz="0" w:space="0" w:color="auto"/>
        <w:bottom w:val="none" w:sz="0" w:space="0" w:color="auto"/>
        <w:right w:val="none" w:sz="0" w:space="0" w:color="auto"/>
      </w:divBdr>
    </w:div>
    <w:div w:id="41904112">
      <w:bodyDiv w:val="1"/>
      <w:marLeft w:val="0"/>
      <w:marRight w:val="0"/>
      <w:marTop w:val="0"/>
      <w:marBottom w:val="0"/>
      <w:divBdr>
        <w:top w:val="none" w:sz="0" w:space="0" w:color="auto"/>
        <w:left w:val="none" w:sz="0" w:space="0" w:color="auto"/>
        <w:bottom w:val="none" w:sz="0" w:space="0" w:color="auto"/>
        <w:right w:val="none" w:sz="0" w:space="0" w:color="auto"/>
      </w:divBdr>
      <w:divsChild>
        <w:div w:id="1677994020">
          <w:marLeft w:val="0"/>
          <w:marRight w:val="0"/>
          <w:marTop w:val="0"/>
          <w:marBottom w:val="0"/>
          <w:divBdr>
            <w:top w:val="none" w:sz="0" w:space="0" w:color="auto"/>
            <w:left w:val="none" w:sz="0" w:space="0" w:color="auto"/>
            <w:bottom w:val="none" w:sz="0" w:space="0" w:color="auto"/>
            <w:right w:val="none" w:sz="0" w:space="0" w:color="auto"/>
          </w:divBdr>
          <w:divsChild>
            <w:div w:id="1142387205">
              <w:marLeft w:val="0"/>
              <w:marRight w:val="0"/>
              <w:marTop w:val="0"/>
              <w:marBottom w:val="0"/>
              <w:divBdr>
                <w:top w:val="none" w:sz="0" w:space="0" w:color="auto"/>
                <w:left w:val="none" w:sz="0" w:space="0" w:color="auto"/>
                <w:bottom w:val="none" w:sz="0" w:space="0" w:color="auto"/>
                <w:right w:val="none" w:sz="0" w:space="0" w:color="auto"/>
              </w:divBdr>
              <w:divsChild>
                <w:div w:id="1794904544">
                  <w:marLeft w:val="0"/>
                  <w:marRight w:val="0"/>
                  <w:marTop w:val="0"/>
                  <w:marBottom w:val="0"/>
                  <w:divBdr>
                    <w:top w:val="none" w:sz="0" w:space="0" w:color="auto"/>
                    <w:left w:val="none" w:sz="0" w:space="0" w:color="auto"/>
                    <w:bottom w:val="none" w:sz="0" w:space="0" w:color="auto"/>
                    <w:right w:val="none" w:sz="0" w:space="0" w:color="auto"/>
                  </w:divBdr>
                  <w:divsChild>
                    <w:div w:id="510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1527">
      <w:bodyDiv w:val="1"/>
      <w:marLeft w:val="0"/>
      <w:marRight w:val="0"/>
      <w:marTop w:val="0"/>
      <w:marBottom w:val="0"/>
      <w:divBdr>
        <w:top w:val="none" w:sz="0" w:space="0" w:color="auto"/>
        <w:left w:val="none" w:sz="0" w:space="0" w:color="auto"/>
        <w:bottom w:val="none" w:sz="0" w:space="0" w:color="auto"/>
        <w:right w:val="none" w:sz="0" w:space="0" w:color="auto"/>
      </w:divBdr>
    </w:div>
    <w:div w:id="50154982">
      <w:bodyDiv w:val="1"/>
      <w:marLeft w:val="0"/>
      <w:marRight w:val="0"/>
      <w:marTop w:val="0"/>
      <w:marBottom w:val="0"/>
      <w:divBdr>
        <w:top w:val="none" w:sz="0" w:space="0" w:color="auto"/>
        <w:left w:val="none" w:sz="0" w:space="0" w:color="auto"/>
        <w:bottom w:val="none" w:sz="0" w:space="0" w:color="auto"/>
        <w:right w:val="none" w:sz="0" w:space="0" w:color="auto"/>
      </w:divBdr>
    </w:div>
    <w:div w:id="53894008">
      <w:bodyDiv w:val="1"/>
      <w:marLeft w:val="0"/>
      <w:marRight w:val="0"/>
      <w:marTop w:val="0"/>
      <w:marBottom w:val="0"/>
      <w:divBdr>
        <w:top w:val="none" w:sz="0" w:space="0" w:color="auto"/>
        <w:left w:val="none" w:sz="0" w:space="0" w:color="auto"/>
        <w:bottom w:val="none" w:sz="0" w:space="0" w:color="auto"/>
        <w:right w:val="none" w:sz="0" w:space="0" w:color="auto"/>
      </w:divBdr>
      <w:divsChild>
        <w:div w:id="747382009">
          <w:marLeft w:val="0"/>
          <w:marRight w:val="0"/>
          <w:marTop w:val="0"/>
          <w:marBottom w:val="0"/>
          <w:divBdr>
            <w:top w:val="none" w:sz="0" w:space="0" w:color="auto"/>
            <w:left w:val="none" w:sz="0" w:space="0" w:color="auto"/>
            <w:bottom w:val="none" w:sz="0" w:space="0" w:color="auto"/>
            <w:right w:val="none" w:sz="0" w:space="0" w:color="auto"/>
          </w:divBdr>
        </w:div>
      </w:divsChild>
    </w:div>
    <w:div w:id="60105869">
      <w:bodyDiv w:val="1"/>
      <w:marLeft w:val="0"/>
      <w:marRight w:val="0"/>
      <w:marTop w:val="0"/>
      <w:marBottom w:val="0"/>
      <w:divBdr>
        <w:top w:val="none" w:sz="0" w:space="0" w:color="auto"/>
        <w:left w:val="none" w:sz="0" w:space="0" w:color="auto"/>
        <w:bottom w:val="none" w:sz="0" w:space="0" w:color="auto"/>
        <w:right w:val="none" w:sz="0" w:space="0" w:color="auto"/>
      </w:divBdr>
    </w:div>
    <w:div w:id="66651212">
      <w:bodyDiv w:val="1"/>
      <w:marLeft w:val="0"/>
      <w:marRight w:val="0"/>
      <w:marTop w:val="0"/>
      <w:marBottom w:val="0"/>
      <w:divBdr>
        <w:top w:val="none" w:sz="0" w:space="0" w:color="auto"/>
        <w:left w:val="none" w:sz="0" w:space="0" w:color="auto"/>
        <w:bottom w:val="none" w:sz="0" w:space="0" w:color="auto"/>
        <w:right w:val="none" w:sz="0" w:space="0" w:color="auto"/>
      </w:divBdr>
    </w:div>
    <w:div w:id="73403755">
      <w:bodyDiv w:val="1"/>
      <w:marLeft w:val="0"/>
      <w:marRight w:val="0"/>
      <w:marTop w:val="0"/>
      <w:marBottom w:val="0"/>
      <w:divBdr>
        <w:top w:val="none" w:sz="0" w:space="0" w:color="auto"/>
        <w:left w:val="none" w:sz="0" w:space="0" w:color="auto"/>
        <w:bottom w:val="none" w:sz="0" w:space="0" w:color="auto"/>
        <w:right w:val="none" w:sz="0" w:space="0" w:color="auto"/>
      </w:divBdr>
    </w:div>
    <w:div w:id="76289904">
      <w:bodyDiv w:val="1"/>
      <w:marLeft w:val="0"/>
      <w:marRight w:val="0"/>
      <w:marTop w:val="0"/>
      <w:marBottom w:val="0"/>
      <w:divBdr>
        <w:top w:val="none" w:sz="0" w:space="0" w:color="auto"/>
        <w:left w:val="none" w:sz="0" w:space="0" w:color="auto"/>
        <w:bottom w:val="none" w:sz="0" w:space="0" w:color="auto"/>
        <w:right w:val="none" w:sz="0" w:space="0" w:color="auto"/>
      </w:divBdr>
    </w:div>
    <w:div w:id="106824522">
      <w:bodyDiv w:val="1"/>
      <w:marLeft w:val="0"/>
      <w:marRight w:val="0"/>
      <w:marTop w:val="0"/>
      <w:marBottom w:val="0"/>
      <w:divBdr>
        <w:top w:val="none" w:sz="0" w:space="0" w:color="auto"/>
        <w:left w:val="none" w:sz="0" w:space="0" w:color="auto"/>
        <w:bottom w:val="none" w:sz="0" w:space="0" w:color="auto"/>
        <w:right w:val="none" w:sz="0" w:space="0" w:color="auto"/>
      </w:divBdr>
    </w:div>
    <w:div w:id="111287261">
      <w:bodyDiv w:val="1"/>
      <w:marLeft w:val="0"/>
      <w:marRight w:val="0"/>
      <w:marTop w:val="0"/>
      <w:marBottom w:val="0"/>
      <w:divBdr>
        <w:top w:val="none" w:sz="0" w:space="0" w:color="auto"/>
        <w:left w:val="none" w:sz="0" w:space="0" w:color="auto"/>
        <w:bottom w:val="none" w:sz="0" w:space="0" w:color="auto"/>
        <w:right w:val="none" w:sz="0" w:space="0" w:color="auto"/>
      </w:divBdr>
    </w:div>
    <w:div w:id="120390313">
      <w:bodyDiv w:val="1"/>
      <w:marLeft w:val="0"/>
      <w:marRight w:val="0"/>
      <w:marTop w:val="0"/>
      <w:marBottom w:val="0"/>
      <w:divBdr>
        <w:top w:val="none" w:sz="0" w:space="0" w:color="auto"/>
        <w:left w:val="none" w:sz="0" w:space="0" w:color="auto"/>
        <w:bottom w:val="none" w:sz="0" w:space="0" w:color="auto"/>
        <w:right w:val="none" w:sz="0" w:space="0" w:color="auto"/>
      </w:divBdr>
    </w:div>
    <w:div w:id="128398917">
      <w:bodyDiv w:val="1"/>
      <w:marLeft w:val="0"/>
      <w:marRight w:val="0"/>
      <w:marTop w:val="0"/>
      <w:marBottom w:val="0"/>
      <w:divBdr>
        <w:top w:val="none" w:sz="0" w:space="0" w:color="auto"/>
        <w:left w:val="none" w:sz="0" w:space="0" w:color="auto"/>
        <w:bottom w:val="none" w:sz="0" w:space="0" w:color="auto"/>
        <w:right w:val="none" w:sz="0" w:space="0" w:color="auto"/>
      </w:divBdr>
    </w:div>
    <w:div w:id="137114601">
      <w:bodyDiv w:val="1"/>
      <w:marLeft w:val="0"/>
      <w:marRight w:val="0"/>
      <w:marTop w:val="0"/>
      <w:marBottom w:val="0"/>
      <w:divBdr>
        <w:top w:val="none" w:sz="0" w:space="0" w:color="auto"/>
        <w:left w:val="none" w:sz="0" w:space="0" w:color="auto"/>
        <w:bottom w:val="none" w:sz="0" w:space="0" w:color="auto"/>
        <w:right w:val="none" w:sz="0" w:space="0" w:color="auto"/>
      </w:divBdr>
    </w:div>
    <w:div w:id="156462706">
      <w:bodyDiv w:val="1"/>
      <w:marLeft w:val="0"/>
      <w:marRight w:val="0"/>
      <w:marTop w:val="0"/>
      <w:marBottom w:val="0"/>
      <w:divBdr>
        <w:top w:val="none" w:sz="0" w:space="0" w:color="auto"/>
        <w:left w:val="none" w:sz="0" w:space="0" w:color="auto"/>
        <w:bottom w:val="none" w:sz="0" w:space="0" w:color="auto"/>
        <w:right w:val="none" w:sz="0" w:space="0" w:color="auto"/>
      </w:divBdr>
    </w:div>
    <w:div w:id="183905336">
      <w:bodyDiv w:val="1"/>
      <w:marLeft w:val="0"/>
      <w:marRight w:val="0"/>
      <w:marTop w:val="0"/>
      <w:marBottom w:val="0"/>
      <w:divBdr>
        <w:top w:val="none" w:sz="0" w:space="0" w:color="auto"/>
        <w:left w:val="none" w:sz="0" w:space="0" w:color="auto"/>
        <w:bottom w:val="none" w:sz="0" w:space="0" w:color="auto"/>
        <w:right w:val="none" w:sz="0" w:space="0" w:color="auto"/>
      </w:divBdr>
    </w:div>
    <w:div w:id="185752207">
      <w:bodyDiv w:val="1"/>
      <w:marLeft w:val="0"/>
      <w:marRight w:val="0"/>
      <w:marTop w:val="0"/>
      <w:marBottom w:val="0"/>
      <w:divBdr>
        <w:top w:val="none" w:sz="0" w:space="0" w:color="auto"/>
        <w:left w:val="none" w:sz="0" w:space="0" w:color="auto"/>
        <w:bottom w:val="none" w:sz="0" w:space="0" w:color="auto"/>
        <w:right w:val="none" w:sz="0" w:space="0" w:color="auto"/>
      </w:divBdr>
    </w:div>
    <w:div w:id="200828647">
      <w:bodyDiv w:val="1"/>
      <w:marLeft w:val="0"/>
      <w:marRight w:val="0"/>
      <w:marTop w:val="0"/>
      <w:marBottom w:val="0"/>
      <w:divBdr>
        <w:top w:val="none" w:sz="0" w:space="0" w:color="auto"/>
        <w:left w:val="none" w:sz="0" w:space="0" w:color="auto"/>
        <w:bottom w:val="none" w:sz="0" w:space="0" w:color="auto"/>
        <w:right w:val="none" w:sz="0" w:space="0" w:color="auto"/>
      </w:divBdr>
    </w:div>
    <w:div w:id="201137454">
      <w:bodyDiv w:val="1"/>
      <w:marLeft w:val="0"/>
      <w:marRight w:val="0"/>
      <w:marTop w:val="0"/>
      <w:marBottom w:val="0"/>
      <w:divBdr>
        <w:top w:val="none" w:sz="0" w:space="0" w:color="auto"/>
        <w:left w:val="none" w:sz="0" w:space="0" w:color="auto"/>
        <w:bottom w:val="none" w:sz="0" w:space="0" w:color="auto"/>
        <w:right w:val="none" w:sz="0" w:space="0" w:color="auto"/>
      </w:divBdr>
    </w:div>
    <w:div w:id="203367826">
      <w:bodyDiv w:val="1"/>
      <w:marLeft w:val="0"/>
      <w:marRight w:val="0"/>
      <w:marTop w:val="0"/>
      <w:marBottom w:val="0"/>
      <w:divBdr>
        <w:top w:val="none" w:sz="0" w:space="0" w:color="auto"/>
        <w:left w:val="none" w:sz="0" w:space="0" w:color="auto"/>
        <w:bottom w:val="none" w:sz="0" w:space="0" w:color="auto"/>
        <w:right w:val="none" w:sz="0" w:space="0" w:color="auto"/>
      </w:divBdr>
    </w:div>
    <w:div w:id="208344502">
      <w:bodyDiv w:val="1"/>
      <w:marLeft w:val="0"/>
      <w:marRight w:val="0"/>
      <w:marTop w:val="0"/>
      <w:marBottom w:val="0"/>
      <w:divBdr>
        <w:top w:val="none" w:sz="0" w:space="0" w:color="auto"/>
        <w:left w:val="none" w:sz="0" w:space="0" w:color="auto"/>
        <w:bottom w:val="none" w:sz="0" w:space="0" w:color="auto"/>
        <w:right w:val="none" w:sz="0" w:space="0" w:color="auto"/>
      </w:divBdr>
    </w:div>
    <w:div w:id="210269313">
      <w:bodyDiv w:val="1"/>
      <w:marLeft w:val="0"/>
      <w:marRight w:val="0"/>
      <w:marTop w:val="0"/>
      <w:marBottom w:val="0"/>
      <w:divBdr>
        <w:top w:val="none" w:sz="0" w:space="0" w:color="auto"/>
        <w:left w:val="none" w:sz="0" w:space="0" w:color="auto"/>
        <w:bottom w:val="none" w:sz="0" w:space="0" w:color="auto"/>
        <w:right w:val="none" w:sz="0" w:space="0" w:color="auto"/>
      </w:divBdr>
    </w:div>
    <w:div w:id="212037633">
      <w:bodyDiv w:val="1"/>
      <w:marLeft w:val="0"/>
      <w:marRight w:val="0"/>
      <w:marTop w:val="0"/>
      <w:marBottom w:val="0"/>
      <w:divBdr>
        <w:top w:val="none" w:sz="0" w:space="0" w:color="auto"/>
        <w:left w:val="none" w:sz="0" w:space="0" w:color="auto"/>
        <w:bottom w:val="none" w:sz="0" w:space="0" w:color="auto"/>
        <w:right w:val="none" w:sz="0" w:space="0" w:color="auto"/>
      </w:divBdr>
    </w:div>
    <w:div w:id="214464490">
      <w:bodyDiv w:val="1"/>
      <w:marLeft w:val="0"/>
      <w:marRight w:val="0"/>
      <w:marTop w:val="0"/>
      <w:marBottom w:val="0"/>
      <w:divBdr>
        <w:top w:val="none" w:sz="0" w:space="0" w:color="auto"/>
        <w:left w:val="none" w:sz="0" w:space="0" w:color="auto"/>
        <w:bottom w:val="none" w:sz="0" w:space="0" w:color="auto"/>
        <w:right w:val="none" w:sz="0" w:space="0" w:color="auto"/>
      </w:divBdr>
    </w:div>
    <w:div w:id="217129846">
      <w:bodyDiv w:val="1"/>
      <w:marLeft w:val="0"/>
      <w:marRight w:val="0"/>
      <w:marTop w:val="0"/>
      <w:marBottom w:val="0"/>
      <w:divBdr>
        <w:top w:val="none" w:sz="0" w:space="0" w:color="auto"/>
        <w:left w:val="none" w:sz="0" w:space="0" w:color="auto"/>
        <w:bottom w:val="none" w:sz="0" w:space="0" w:color="auto"/>
        <w:right w:val="none" w:sz="0" w:space="0" w:color="auto"/>
      </w:divBdr>
    </w:div>
    <w:div w:id="222638825">
      <w:bodyDiv w:val="1"/>
      <w:marLeft w:val="0"/>
      <w:marRight w:val="0"/>
      <w:marTop w:val="0"/>
      <w:marBottom w:val="0"/>
      <w:divBdr>
        <w:top w:val="none" w:sz="0" w:space="0" w:color="auto"/>
        <w:left w:val="none" w:sz="0" w:space="0" w:color="auto"/>
        <w:bottom w:val="none" w:sz="0" w:space="0" w:color="auto"/>
        <w:right w:val="none" w:sz="0" w:space="0" w:color="auto"/>
      </w:divBdr>
    </w:div>
    <w:div w:id="227495142">
      <w:bodyDiv w:val="1"/>
      <w:marLeft w:val="0"/>
      <w:marRight w:val="0"/>
      <w:marTop w:val="0"/>
      <w:marBottom w:val="0"/>
      <w:divBdr>
        <w:top w:val="none" w:sz="0" w:space="0" w:color="auto"/>
        <w:left w:val="none" w:sz="0" w:space="0" w:color="auto"/>
        <w:bottom w:val="none" w:sz="0" w:space="0" w:color="auto"/>
        <w:right w:val="none" w:sz="0" w:space="0" w:color="auto"/>
      </w:divBdr>
    </w:div>
    <w:div w:id="234780553">
      <w:bodyDiv w:val="1"/>
      <w:marLeft w:val="0"/>
      <w:marRight w:val="0"/>
      <w:marTop w:val="0"/>
      <w:marBottom w:val="0"/>
      <w:divBdr>
        <w:top w:val="none" w:sz="0" w:space="0" w:color="auto"/>
        <w:left w:val="none" w:sz="0" w:space="0" w:color="auto"/>
        <w:bottom w:val="none" w:sz="0" w:space="0" w:color="auto"/>
        <w:right w:val="none" w:sz="0" w:space="0" w:color="auto"/>
      </w:divBdr>
    </w:div>
    <w:div w:id="235210723">
      <w:bodyDiv w:val="1"/>
      <w:marLeft w:val="0"/>
      <w:marRight w:val="0"/>
      <w:marTop w:val="0"/>
      <w:marBottom w:val="0"/>
      <w:divBdr>
        <w:top w:val="none" w:sz="0" w:space="0" w:color="auto"/>
        <w:left w:val="none" w:sz="0" w:space="0" w:color="auto"/>
        <w:bottom w:val="none" w:sz="0" w:space="0" w:color="auto"/>
        <w:right w:val="none" w:sz="0" w:space="0" w:color="auto"/>
      </w:divBdr>
    </w:div>
    <w:div w:id="237640859">
      <w:bodyDiv w:val="1"/>
      <w:marLeft w:val="0"/>
      <w:marRight w:val="0"/>
      <w:marTop w:val="0"/>
      <w:marBottom w:val="0"/>
      <w:divBdr>
        <w:top w:val="none" w:sz="0" w:space="0" w:color="auto"/>
        <w:left w:val="none" w:sz="0" w:space="0" w:color="auto"/>
        <w:bottom w:val="none" w:sz="0" w:space="0" w:color="auto"/>
        <w:right w:val="none" w:sz="0" w:space="0" w:color="auto"/>
      </w:divBdr>
    </w:div>
    <w:div w:id="246695220">
      <w:bodyDiv w:val="1"/>
      <w:marLeft w:val="0"/>
      <w:marRight w:val="0"/>
      <w:marTop w:val="0"/>
      <w:marBottom w:val="0"/>
      <w:divBdr>
        <w:top w:val="none" w:sz="0" w:space="0" w:color="auto"/>
        <w:left w:val="none" w:sz="0" w:space="0" w:color="auto"/>
        <w:bottom w:val="none" w:sz="0" w:space="0" w:color="auto"/>
        <w:right w:val="none" w:sz="0" w:space="0" w:color="auto"/>
      </w:divBdr>
    </w:div>
    <w:div w:id="250630130">
      <w:bodyDiv w:val="1"/>
      <w:marLeft w:val="0"/>
      <w:marRight w:val="0"/>
      <w:marTop w:val="0"/>
      <w:marBottom w:val="0"/>
      <w:divBdr>
        <w:top w:val="none" w:sz="0" w:space="0" w:color="auto"/>
        <w:left w:val="none" w:sz="0" w:space="0" w:color="auto"/>
        <w:bottom w:val="none" w:sz="0" w:space="0" w:color="auto"/>
        <w:right w:val="none" w:sz="0" w:space="0" w:color="auto"/>
      </w:divBdr>
    </w:div>
    <w:div w:id="261190098">
      <w:bodyDiv w:val="1"/>
      <w:marLeft w:val="0"/>
      <w:marRight w:val="0"/>
      <w:marTop w:val="0"/>
      <w:marBottom w:val="0"/>
      <w:divBdr>
        <w:top w:val="none" w:sz="0" w:space="0" w:color="auto"/>
        <w:left w:val="none" w:sz="0" w:space="0" w:color="auto"/>
        <w:bottom w:val="none" w:sz="0" w:space="0" w:color="auto"/>
        <w:right w:val="none" w:sz="0" w:space="0" w:color="auto"/>
      </w:divBdr>
    </w:div>
    <w:div w:id="269287930">
      <w:bodyDiv w:val="1"/>
      <w:marLeft w:val="0"/>
      <w:marRight w:val="0"/>
      <w:marTop w:val="0"/>
      <w:marBottom w:val="0"/>
      <w:divBdr>
        <w:top w:val="none" w:sz="0" w:space="0" w:color="auto"/>
        <w:left w:val="none" w:sz="0" w:space="0" w:color="auto"/>
        <w:bottom w:val="none" w:sz="0" w:space="0" w:color="auto"/>
        <w:right w:val="none" w:sz="0" w:space="0" w:color="auto"/>
      </w:divBdr>
    </w:div>
    <w:div w:id="272640276">
      <w:bodyDiv w:val="1"/>
      <w:marLeft w:val="0"/>
      <w:marRight w:val="0"/>
      <w:marTop w:val="0"/>
      <w:marBottom w:val="0"/>
      <w:divBdr>
        <w:top w:val="none" w:sz="0" w:space="0" w:color="auto"/>
        <w:left w:val="none" w:sz="0" w:space="0" w:color="auto"/>
        <w:bottom w:val="none" w:sz="0" w:space="0" w:color="auto"/>
        <w:right w:val="none" w:sz="0" w:space="0" w:color="auto"/>
      </w:divBdr>
    </w:div>
    <w:div w:id="284360772">
      <w:bodyDiv w:val="1"/>
      <w:marLeft w:val="0"/>
      <w:marRight w:val="0"/>
      <w:marTop w:val="0"/>
      <w:marBottom w:val="0"/>
      <w:divBdr>
        <w:top w:val="none" w:sz="0" w:space="0" w:color="auto"/>
        <w:left w:val="none" w:sz="0" w:space="0" w:color="auto"/>
        <w:bottom w:val="none" w:sz="0" w:space="0" w:color="auto"/>
        <w:right w:val="none" w:sz="0" w:space="0" w:color="auto"/>
      </w:divBdr>
    </w:div>
    <w:div w:id="286546241">
      <w:bodyDiv w:val="1"/>
      <w:marLeft w:val="0"/>
      <w:marRight w:val="0"/>
      <w:marTop w:val="0"/>
      <w:marBottom w:val="0"/>
      <w:divBdr>
        <w:top w:val="none" w:sz="0" w:space="0" w:color="auto"/>
        <w:left w:val="none" w:sz="0" w:space="0" w:color="auto"/>
        <w:bottom w:val="none" w:sz="0" w:space="0" w:color="auto"/>
        <w:right w:val="none" w:sz="0" w:space="0" w:color="auto"/>
      </w:divBdr>
    </w:div>
    <w:div w:id="301083214">
      <w:bodyDiv w:val="1"/>
      <w:marLeft w:val="0"/>
      <w:marRight w:val="0"/>
      <w:marTop w:val="0"/>
      <w:marBottom w:val="0"/>
      <w:divBdr>
        <w:top w:val="none" w:sz="0" w:space="0" w:color="auto"/>
        <w:left w:val="none" w:sz="0" w:space="0" w:color="auto"/>
        <w:bottom w:val="none" w:sz="0" w:space="0" w:color="auto"/>
        <w:right w:val="none" w:sz="0" w:space="0" w:color="auto"/>
      </w:divBdr>
    </w:div>
    <w:div w:id="305939843">
      <w:bodyDiv w:val="1"/>
      <w:marLeft w:val="0"/>
      <w:marRight w:val="0"/>
      <w:marTop w:val="0"/>
      <w:marBottom w:val="0"/>
      <w:divBdr>
        <w:top w:val="none" w:sz="0" w:space="0" w:color="auto"/>
        <w:left w:val="none" w:sz="0" w:space="0" w:color="auto"/>
        <w:bottom w:val="none" w:sz="0" w:space="0" w:color="auto"/>
        <w:right w:val="none" w:sz="0" w:space="0" w:color="auto"/>
      </w:divBdr>
    </w:div>
    <w:div w:id="312680325">
      <w:bodyDiv w:val="1"/>
      <w:marLeft w:val="0"/>
      <w:marRight w:val="0"/>
      <w:marTop w:val="0"/>
      <w:marBottom w:val="0"/>
      <w:divBdr>
        <w:top w:val="none" w:sz="0" w:space="0" w:color="auto"/>
        <w:left w:val="none" w:sz="0" w:space="0" w:color="auto"/>
        <w:bottom w:val="none" w:sz="0" w:space="0" w:color="auto"/>
        <w:right w:val="none" w:sz="0" w:space="0" w:color="auto"/>
      </w:divBdr>
    </w:div>
    <w:div w:id="314333705">
      <w:bodyDiv w:val="1"/>
      <w:marLeft w:val="0"/>
      <w:marRight w:val="0"/>
      <w:marTop w:val="0"/>
      <w:marBottom w:val="0"/>
      <w:divBdr>
        <w:top w:val="none" w:sz="0" w:space="0" w:color="auto"/>
        <w:left w:val="none" w:sz="0" w:space="0" w:color="auto"/>
        <w:bottom w:val="none" w:sz="0" w:space="0" w:color="auto"/>
        <w:right w:val="none" w:sz="0" w:space="0" w:color="auto"/>
      </w:divBdr>
    </w:div>
    <w:div w:id="319240745">
      <w:bodyDiv w:val="1"/>
      <w:marLeft w:val="0"/>
      <w:marRight w:val="0"/>
      <w:marTop w:val="0"/>
      <w:marBottom w:val="0"/>
      <w:divBdr>
        <w:top w:val="none" w:sz="0" w:space="0" w:color="auto"/>
        <w:left w:val="none" w:sz="0" w:space="0" w:color="auto"/>
        <w:bottom w:val="none" w:sz="0" w:space="0" w:color="auto"/>
        <w:right w:val="none" w:sz="0" w:space="0" w:color="auto"/>
      </w:divBdr>
    </w:div>
    <w:div w:id="322855856">
      <w:bodyDiv w:val="1"/>
      <w:marLeft w:val="0"/>
      <w:marRight w:val="0"/>
      <w:marTop w:val="0"/>
      <w:marBottom w:val="0"/>
      <w:divBdr>
        <w:top w:val="none" w:sz="0" w:space="0" w:color="auto"/>
        <w:left w:val="none" w:sz="0" w:space="0" w:color="auto"/>
        <w:bottom w:val="none" w:sz="0" w:space="0" w:color="auto"/>
        <w:right w:val="none" w:sz="0" w:space="0" w:color="auto"/>
      </w:divBdr>
    </w:div>
    <w:div w:id="346449984">
      <w:bodyDiv w:val="1"/>
      <w:marLeft w:val="0"/>
      <w:marRight w:val="0"/>
      <w:marTop w:val="0"/>
      <w:marBottom w:val="0"/>
      <w:divBdr>
        <w:top w:val="none" w:sz="0" w:space="0" w:color="auto"/>
        <w:left w:val="none" w:sz="0" w:space="0" w:color="auto"/>
        <w:bottom w:val="none" w:sz="0" w:space="0" w:color="auto"/>
        <w:right w:val="none" w:sz="0" w:space="0" w:color="auto"/>
      </w:divBdr>
    </w:div>
    <w:div w:id="348407526">
      <w:bodyDiv w:val="1"/>
      <w:marLeft w:val="0"/>
      <w:marRight w:val="0"/>
      <w:marTop w:val="0"/>
      <w:marBottom w:val="0"/>
      <w:divBdr>
        <w:top w:val="none" w:sz="0" w:space="0" w:color="auto"/>
        <w:left w:val="none" w:sz="0" w:space="0" w:color="auto"/>
        <w:bottom w:val="none" w:sz="0" w:space="0" w:color="auto"/>
        <w:right w:val="none" w:sz="0" w:space="0" w:color="auto"/>
      </w:divBdr>
    </w:div>
    <w:div w:id="352345229">
      <w:bodyDiv w:val="1"/>
      <w:marLeft w:val="0"/>
      <w:marRight w:val="0"/>
      <w:marTop w:val="0"/>
      <w:marBottom w:val="0"/>
      <w:divBdr>
        <w:top w:val="none" w:sz="0" w:space="0" w:color="auto"/>
        <w:left w:val="none" w:sz="0" w:space="0" w:color="auto"/>
        <w:bottom w:val="none" w:sz="0" w:space="0" w:color="auto"/>
        <w:right w:val="none" w:sz="0" w:space="0" w:color="auto"/>
      </w:divBdr>
    </w:div>
    <w:div w:id="354042945">
      <w:bodyDiv w:val="1"/>
      <w:marLeft w:val="0"/>
      <w:marRight w:val="0"/>
      <w:marTop w:val="0"/>
      <w:marBottom w:val="0"/>
      <w:divBdr>
        <w:top w:val="none" w:sz="0" w:space="0" w:color="auto"/>
        <w:left w:val="none" w:sz="0" w:space="0" w:color="auto"/>
        <w:bottom w:val="none" w:sz="0" w:space="0" w:color="auto"/>
        <w:right w:val="none" w:sz="0" w:space="0" w:color="auto"/>
      </w:divBdr>
    </w:div>
    <w:div w:id="357924753">
      <w:bodyDiv w:val="1"/>
      <w:marLeft w:val="0"/>
      <w:marRight w:val="0"/>
      <w:marTop w:val="0"/>
      <w:marBottom w:val="0"/>
      <w:divBdr>
        <w:top w:val="none" w:sz="0" w:space="0" w:color="auto"/>
        <w:left w:val="none" w:sz="0" w:space="0" w:color="auto"/>
        <w:bottom w:val="none" w:sz="0" w:space="0" w:color="auto"/>
        <w:right w:val="none" w:sz="0" w:space="0" w:color="auto"/>
      </w:divBdr>
    </w:div>
    <w:div w:id="372538936">
      <w:bodyDiv w:val="1"/>
      <w:marLeft w:val="0"/>
      <w:marRight w:val="0"/>
      <w:marTop w:val="0"/>
      <w:marBottom w:val="0"/>
      <w:divBdr>
        <w:top w:val="none" w:sz="0" w:space="0" w:color="auto"/>
        <w:left w:val="none" w:sz="0" w:space="0" w:color="auto"/>
        <w:bottom w:val="none" w:sz="0" w:space="0" w:color="auto"/>
        <w:right w:val="none" w:sz="0" w:space="0" w:color="auto"/>
      </w:divBdr>
    </w:div>
    <w:div w:id="372584685">
      <w:bodyDiv w:val="1"/>
      <w:marLeft w:val="0"/>
      <w:marRight w:val="0"/>
      <w:marTop w:val="0"/>
      <w:marBottom w:val="0"/>
      <w:divBdr>
        <w:top w:val="none" w:sz="0" w:space="0" w:color="auto"/>
        <w:left w:val="none" w:sz="0" w:space="0" w:color="auto"/>
        <w:bottom w:val="none" w:sz="0" w:space="0" w:color="auto"/>
        <w:right w:val="none" w:sz="0" w:space="0" w:color="auto"/>
      </w:divBdr>
    </w:div>
    <w:div w:id="380515919">
      <w:bodyDiv w:val="1"/>
      <w:marLeft w:val="0"/>
      <w:marRight w:val="0"/>
      <w:marTop w:val="0"/>
      <w:marBottom w:val="0"/>
      <w:divBdr>
        <w:top w:val="none" w:sz="0" w:space="0" w:color="auto"/>
        <w:left w:val="none" w:sz="0" w:space="0" w:color="auto"/>
        <w:bottom w:val="none" w:sz="0" w:space="0" w:color="auto"/>
        <w:right w:val="none" w:sz="0" w:space="0" w:color="auto"/>
      </w:divBdr>
    </w:div>
    <w:div w:id="388770568">
      <w:bodyDiv w:val="1"/>
      <w:marLeft w:val="0"/>
      <w:marRight w:val="0"/>
      <w:marTop w:val="0"/>
      <w:marBottom w:val="0"/>
      <w:divBdr>
        <w:top w:val="none" w:sz="0" w:space="0" w:color="auto"/>
        <w:left w:val="none" w:sz="0" w:space="0" w:color="auto"/>
        <w:bottom w:val="none" w:sz="0" w:space="0" w:color="auto"/>
        <w:right w:val="none" w:sz="0" w:space="0" w:color="auto"/>
      </w:divBdr>
    </w:div>
    <w:div w:id="394554175">
      <w:bodyDiv w:val="1"/>
      <w:marLeft w:val="0"/>
      <w:marRight w:val="0"/>
      <w:marTop w:val="0"/>
      <w:marBottom w:val="0"/>
      <w:divBdr>
        <w:top w:val="none" w:sz="0" w:space="0" w:color="auto"/>
        <w:left w:val="none" w:sz="0" w:space="0" w:color="auto"/>
        <w:bottom w:val="none" w:sz="0" w:space="0" w:color="auto"/>
        <w:right w:val="none" w:sz="0" w:space="0" w:color="auto"/>
      </w:divBdr>
    </w:div>
    <w:div w:id="398404158">
      <w:bodyDiv w:val="1"/>
      <w:marLeft w:val="0"/>
      <w:marRight w:val="0"/>
      <w:marTop w:val="0"/>
      <w:marBottom w:val="0"/>
      <w:divBdr>
        <w:top w:val="none" w:sz="0" w:space="0" w:color="auto"/>
        <w:left w:val="none" w:sz="0" w:space="0" w:color="auto"/>
        <w:bottom w:val="none" w:sz="0" w:space="0" w:color="auto"/>
        <w:right w:val="none" w:sz="0" w:space="0" w:color="auto"/>
      </w:divBdr>
    </w:div>
    <w:div w:id="399913643">
      <w:bodyDiv w:val="1"/>
      <w:marLeft w:val="0"/>
      <w:marRight w:val="0"/>
      <w:marTop w:val="0"/>
      <w:marBottom w:val="0"/>
      <w:divBdr>
        <w:top w:val="none" w:sz="0" w:space="0" w:color="auto"/>
        <w:left w:val="none" w:sz="0" w:space="0" w:color="auto"/>
        <w:bottom w:val="none" w:sz="0" w:space="0" w:color="auto"/>
        <w:right w:val="none" w:sz="0" w:space="0" w:color="auto"/>
      </w:divBdr>
    </w:div>
    <w:div w:id="402991037">
      <w:bodyDiv w:val="1"/>
      <w:marLeft w:val="0"/>
      <w:marRight w:val="0"/>
      <w:marTop w:val="0"/>
      <w:marBottom w:val="0"/>
      <w:divBdr>
        <w:top w:val="none" w:sz="0" w:space="0" w:color="auto"/>
        <w:left w:val="none" w:sz="0" w:space="0" w:color="auto"/>
        <w:bottom w:val="none" w:sz="0" w:space="0" w:color="auto"/>
        <w:right w:val="none" w:sz="0" w:space="0" w:color="auto"/>
      </w:divBdr>
      <w:divsChild>
        <w:div w:id="1193611699">
          <w:marLeft w:val="0"/>
          <w:marRight w:val="0"/>
          <w:marTop w:val="0"/>
          <w:marBottom w:val="0"/>
          <w:divBdr>
            <w:top w:val="none" w:sz="0" w:space="0" w:color="auto"/>
            <w:left w:val="none" w:sz="0" w:space="0" w:color="auto"/>
            <w:bottom w:val="none" w:sz="0" w:space="0" w:color="auto"/>
            <w:right w:val="none" w:sz="0" w:space="0" w:color="auto"/>
          </w:divBdr>
          <w:divsChild>
            <w:div w:id="1903442156">
              <w:marLeft w:val="0"/>
              <w:marRight w:val="0"/>
              <w:marTop w:val="0"/>
              <w:marBottom w:val="0"/>
              <w:divBdr>
                <w:top w:val="none" w:sz="0" w:space="0" w:color="auto"/>
                <w:left w:val="none" w:sz="0" w:space="0" w:color="auto"/>
                <w:bottom w:val="none" w:sz="0" w:space="0" w:color="auto"/>
                <w:right w:val="none" w:sz="0" w:space="0" w:color="auto"/>
              </w:divBdr>
              <w:divsChild>
                <w:div w:id="368722938">
                  <w:marLeft w:val="0"/>
                  <w:marRight w:val="0"/>
                  <w:marTop w:val="0"/>
                  <w:marBottom w:val="0"/>
                  <w:divBdr>
                    <w:top w:val="none" w:sz="0" w:space="0" w:color="auto"/>
                    <w:left w:val="none" w:sz="0" w:space="0" w:color="auto"/>
                    <w:bottom w:val="none" w:sz="0" w:space="0" w:color="auto"/>
                    <w:right w:val="none" w:sz="0" w:space="0" w:color="auto"/>
                  </w:divBdr>
                  <w:divsChild>
                    <w:div w:id="107061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079494">
      <w:bodyDiv w:val="1"/>
      <w:marLeft w:val="0"/>
      <w:marRight w:val="0"/>
      <w:marTop w:val="0"/>
      <w:marBottom w:val="0"/>
      <w:divBdr>
        <w:top w:val="none" w:sz="0" w:space="0" w:color="auto"/>
        <w:left w:val="none" w:sz="0" w:space="0" w:color="auto"/>
        <w:bottom w:val="none" w:sz="0" w:space="0" w:color="auto"/>
        <w:right w:val="none" w:sz="0" w:space="0" w:color="auto"/>
      </w:divBdr>
    </w:div>
    <w:div w:id="406271662">
      <w:bodyDiv w:val="1"/>
      <w:marLeft w:val="0"/>
      <w:marRight w:val="0"/>
      <w:marTop w:val="0"/>
      <w:marBottom w:val="0"/>
      <w:divBdr>
        <w:top w:val="none" w:sz="0" w:space="0" w:color="auto"/>
        <w:left w:val="none" w:sz="0" w:space="0" w:color="auto"/>
        <w:bottom w:val="none" w:sz="0" w:space="0" w:color="auto"/>
        <w:right w:val="none" w:sz="0" w:space="0" w:color="auto"/>
      </w:divBdr>
    </w:div>
    <w:div w:id="417486542">
      <w:bodyDiv w:val="1"/>
      <w:marLeft w:val="0"/>
      <w:marRight w:val="0"/>
      <w:marTop w:val="0"/>
      <w:marBottom w:val="0"/>
      <w:divBdr>
        <w:top w:val="none" w:sz="0" w:space="0" w:color="auto"/>
        <w:left w:val="none" w:sz="0" w:space="0" w:color="auto"/>
        <w:bottom w:val="none" w:sz="0" w:space="0" w:color="auto"/>
        <w:right w:val="none" w:sz="0" w:space="0" w:color="auto"/>
      </w:divBdr>
    </w:div>
    <w:div w:id="421149651">
      <w:bodyDiv w:val="1"/>
      <w:marLeft w:val="0"/>
      <w:marRight w:val="0"/>
      <w:marTop w:val="0"/>
      <w:marBottom w:val="0"/>
      <w:divBdr>
        <w:top w:val="none" w:sz="0" w:space="0" w:color="auto"/>
        <w:left w:val="none" w:sz="0" w:space="0" w:color="auto"/>
        <w:bottom w:val="none" w:sz="0" w:space="0" w:color="auto"/>
        <w:right w:val="none" w:sz="0" w:space="0" w:color="auto"/>
      </w:divBdr>
    </w:div>
    <w:div w:id="432288424">
      <w:bodyDiv w:val="1"/>
      <w:marLeft w:val="0"/>
      <w:marRight w:val="0"/>
      <w:marTop w:val="0"/>
      <w:marBottom w:val="0"/>
      <w:divBdr>
        <w:top w:val="none" w:sz="0" w:space="0" w:color="auto"/>
        <w:left w:val="none" w:sz="0" w:space="0" w:color="auto"/>
        <w:bottom w:val="none" w:sz="0" w:space="0" w:color="auto"/>
        <w:right w:val="none" w:sz="0" w:space="0" w:color="auto"/>
      </w:divBdr>
    </w:div>
    <w:div w:id="432867576">
      <w:bodyDiv w:val="1"/>
      <w:marLeft w:val="0"/>
      <w:marRight w:val="0"/>
      <w:marTop w:val="0"/>
      <w:marBottom w:val="0"/>
      <w:divBdr>
        <w:top w:val="none" w:sz="0" w:space="0" w:color="auto"/>
        <w:left w:val="none" w:sz="0" w:space="0" w:color="auto"/>
        <w:bottom w:val="none" w:sz="0" w:space="0" w:color="auto"/>
        <w:right w:val="none" w:sz="0" w:space="0" w:color="auto"/>
      </w:divBdr>
    </w:div>
    <w:div w:id="436289654">
      <w:bodyDiv w:val="1"/>
      <w:marLeft w:val="0"/>
      <w:marRight w:val="0"/>
      <w:marTop w:val="0"/>
      <w:marBottom w:val="0"/>
      <w:divBdr>
        <w:top w:val="none" w:sz="0" w:space="0" w:color="auto"/>
        <w:left w:val="none" w:sz="0" w:space="0" w:color="auto"/>
        <w:bottom w:val="none" w:sz="0" w:space="0" w:color="auto"/>
        <w:right w:val="none" w:sz="0" w:space="0" w:color="auto"/>
      </w:divBdr>
    </w:div>
    <w:div w:id="439647334">
      <w:bodyDiv w:val="1"/>
      <w:marLeft w:val="0"/>
      <w:marRight w:val="0"/>
      <w:marTop w:val="0"/>
      <w:marBottom w:val="0"/>
      <w:divBdr>
        <w:top w:val="none" w:sz="0" w:space="0" w:color="auto"/>
        <w:left w:val="none" w:sz="0" w:space="0" w:color="auto"/>
        <w:bottom w:val="none" w:sz="0" w:space="0" w:color="auto"/>
        <w:right w:val="none" w:sz="0" w:space="0" w:color="auto"/>
      </w:divBdr>
    </w:div>
    <w:div w:id="445462243">
      <w:bodyDiv w:val="1"/>
      <w:marLeft w:val="0"/>
      <w:marRight w:val="0"/>
      <w:marTop w:val="0"/>
      <w:marBottom w:val="0"/>
      <w:divBdr>
        <w:top w:val="none" w:sz="0" w:space="0" w:color="auto"/>
        <w:left w:val="none" w:sz="0" w:space="0" w:color="auto"/>
        <w:bottom w:val="none" w:sz="0" w:space="0" w:color="auto"/>
        <w:right w:val="none" w:sz="0" w:space="0" w:color="auto"/>
      </w:divBdr>
    </w:div>
    <w:div w:id="446126681">
      <w:bodyDiv w:val="1"/>
      <w:marLeft w:val="0"/>
      <w:marRight w:val="0"/>
      <w:marTop w:val="0"/>
      <w:marBottom w:val="0"/>
      <w:divBdr>
        <w:top w:val="none" w:sz="0" w:space="0" w:color="auto"/>
        <w:left w:val="none" w:sz="0" w:space="0" w:color="auto"/>
        <w:bottom w:val="none" w:sz="0" w:space="0" w:color="auto"/>
        <w:right w:val="none" w:sz="0" w:space="0" w:color="auto"/>
      </w:divBdr>
    </w:div>
    <w:div w:id="451367197">
      <w:bodyDiv w:val="1"/>
      <w:marLeft w:val="0"/>
      <w:marRight w:val="0"/>
      <w:marTop w:val="0"/>
      <w:marBottom w:val="0"/>
      <w:divBdr>
        <w:top w:val="none" w:sz="0" w:space="0" w:color="auto"/>
        <w:left w:val="none" w:sz="0" w:space="0" w:color="auto"/>
        <w:bottom w:val="none" w:sz="0" w:space="0" w:color="auto"/>
        <w:right w:val="none" w:sz="0" w:space="0" w:color="auto"/>
      </w:divBdr>
    </w:div>
    <w:div w:id="456487093">
      <w:bodyDiv w:val="1"/>
      <w:marLeft w:val="0"/>
      <w:marRight w:val="0"/>
      <w:marTop w:val="0"/>
      <w:marBottom w:val="0"/>
      <w:divBdr>
        <w:top w:val="none" w:sz="0" w:space="0" w:color="auto"/>
        <w:left w:val="none" w:sz="0" w:space="0" w:color="auto"/>
        <w:bottom w:val="none" w:sz="0" w:space="0" w:color="auto"/>
        <w:right w:val="none" w:sz="0" w:space="0" w:color="auto"/>
      </w:divBdr>
    </w:div>
    <w:div w:id="469909500">
      <w:bodyDiv w:val="1"/>
      <w:marLeft w:val="0"/>
      <w:marRight w:val="0"/>
      <w:marTop w:val="0"/>
      <w:marBottom w:val="0"/>
      <w:divBdr>
        <w:top w:val="none" w:sz="0" w:space="0" w:color="auto"/>
        <w:left w:val="none" w:sz="0" w:space="0" w:color="auto"/>
        <w:bottom w:val="none" w:sz="0" w:space="0" w:color="auto"/>
        <w:right w:val="none" w:sz="0" w:space="0" w:color="auto"/>
      </w:divBdr>
    </w:div>
    <w:div w:id="473110094">
      <w:bodyDiv w:val="1"/>
      <w:marLeft w:val="0"/>
      <w:marRight w:val="0"/>
      <w:marTop w:val="0"/>
      <w:marBottom w:val="0"/>
      <w:divBdr>
        <w:top w:val="none" w:sz="0" w:space="0" w:color="auto"/>
        <w:left w:val="none" w:sz="0" w:space="0" w:color="auto"/>
        <w:bottom w:val="none" w:sz="0" w:space="0" w:color="auto"/>
        <w:right w:val="none" w:sz="0" w:space="0" w:color="auto"/>
      </w:divBdr>
    </w:div>
    <w:div w:id="478503992">
      <w:bodyDiv w:val="1"/>
      <w:marLeft w:val="0"/>
      <w:marRight w:val="0"/>
      <w:marTop w:val="0"/>
      <w:marBottom w:val="0"/>
      <w:divBdr>
        <w:top w:val="none" w:sz="0" w:space="0" w:color="auto"/>
        <w:left w:val="none" w:sz="0" w:space="0" w:color="auto"/>
        <w:bottom w:val="none" w:sz="0" w:space="0" w:color="auto"/>
        <w:right w:val="none" w:sz="0" w:space="0" w:color="auto"/>
      </w:divBdr>
    </w:div>
    <w:div w:id="481629083">
      <w:bodyDiv w:val="1"/>
      <w:marLeft w:val="0"/>
      <w:marRight w:val="0"/>
      <w:marTop w:val="0"/>
      <w:marBottom w:val="0"/>
      <w:divBdr>
        <w:top w:val="none" w:sz="0" w:space="0" w:color="auto"/>
        <w:left w:val="none" w:sz="0" w:space="0" w:color="auto"/>
        <w:bottom w:val="none" w:sz="0" w:space="0" w:color="auto"/>
        <w:right w:val="none" w:sz="0" w:space="0" w:color="auto"/>
      </w:divBdr>
    </w:div>
    <w:div w:id="482550431">
      <w:bodyDiv w:val="1"/>
      <w:marLeft w:val="0"/>
      <w:marRight w:val="0"/>
      <w:marTop w:val="0"/>
      <w:marBottom w:val="0"/>
      <w:divBdr>
        <w:top w:val="none" w:sz="0" w:space="0" w:color="auto"/>
        <w:left w:val="none" w:sz="0" w:space="0" w:color="auto"/>
        <w:bottom w:val="none" w:sz="0" w:space="0" w:color="auto"/>
        <w:right w:val="none" w:sz="0" w:space="0" w:color="auto"/>
      </w:divBdr>
    </w:div>
    <w:div w:id="484855922">
      <w:bodyDiv w:val="1"/>
      <w:marLeft w:val="0"/>
      <w:marRight w:val="0"/>
      <w:marTop w:val="0"/>
      <w:marBottom w:val="0"/>
      <w:divBdr>
        <w:top w:val="none" w:sz="0" w:space="0" w:color="auto"/>
        <w:left w:val="none" w:sz="0" w:space="0" w:color="auto"/>
        <w:bottom w:val="none" w:sz="0" w:space="0" w:color="auto"/>
        <w:right w:val="none" w:sz="0" w:space="0" w:color="auto"/>
      </w:divBdr>
    </w:div>
    <w:div w:id="491800406">
      <w:bodyDiv w:val="1"/>
      <w:marLeft w:val="0"/>
      <w:marRight w:val="0"/>
      <w:marTop w:val="0"/>
      <w:marBottom w:val="0"/>
      <w:divBdr>
        <w:top w:val="none" w:sz="0" w:space="0" w:color="auto"/>
        <w:left w:val="none" w:sz="0" w:space="0" w:color="auto"/>
        <w:bottom w:val="none" w:sz="0" w:space="0" w:color="auto"/>
        <w:right w:val="none" w:sz="0" w:space="0" w:color="auto"/>
      </w:divBdr>
      <w:divsChild>
        <w:div w:id="834998801">
          <w:marLeft w:val="0"/>
          <w:marRight w:val="0"/>
          <w:marTop w:val="0"/>
          <w:marBottom w:val="0"/>
          <w:divBdr>
            <w:top w:val="none" w:sz="0" w:space="0" w:color="auto"/>
            <w:left w:val="none" w:sz="0" w:space="0" w:color="auto"/>
            <w:bottom w:val="none" w:sz="0" w:space="0" w:color="auto"/>
            <w:right w:val="none" w:sz="0" w:space="0" w:color="auto"/>
          </w:divBdr>
          <w:divsChild>
            <w:div w:id="1284267062">
              <w:marLeft w:val="0"/>
              <w:marRight w:val="0"/>
              <w:marTop w:val="0"/>
              <w:marBottom w:val="0"/>
              <w:divBdr>
                <w:top w:val="none" w:sz="0" w:space="0" w:color="auto"/>
                <w:left w:val="none" w:sz="0" w:space="0" w:color="auto"/>
                <w:bottom w:val="none" w:sz="0" w:space="0" w:color="auto"/>
                <w:right w:val="none" w:sz="0" w:space="0" w:color="auto"/>
              </w:divBdr>
              <w:divsChild>
                <w:div w:id="724530917">
                  <w:marLeft w:val="0"/>
                  <w:marRight w:val="0"/>
                  <w:marTop w:val="0"/>
                  <w:marBottom w:val="0"/>
                  <w:divBdr>
                    <w:top w:val="none" w:sz="0" w:space="0" w:color="auto"/>
                    <w:left w:val="none" w:sz="0" w:space="0" w:color="auto"/>
                    <w:bottom w:val="none" w:sz="0" w:space="0" w:color="auto"/>
                    <w:right w:val="none" w:sz="0" w:space="0" w:color="auto"/>
                  </w:divBdr>
                  <w:divsChild>
                    <w:div w:id="96766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375370">
      <w:bodyDiv w:val="1"/>
      <w:marLeft w:val="0"/>
      <w:marRight w:val="0"/>
      <w:marTop w:val="0"/>
      <w:marBottom w:val="0"/>
      <w:divBdr>
        <w:top w:val="none" w:sz="0" w:space="0" w:color="auto"/>
        <w:left w:val="none" w:sz="0" w:space="0" w:color="auto"/>
        <w:bottom w:val="none" w:sz="0" w:space="0" w:color="auto"/>
        <w:right w:val="none" w:sz="0" w:space="0" w:color="auto"/>
      </w:divBdr>
    </w:div>
    <w:div w:id="505168926">
      <w:bodyDiv w:val="1"/>
      <w:marLeft w:val="0"/>
      <w:marRight w:val="0"/>
      <w:marTop w:val="0"/>
      <w:marBottom w:val="0"/>
      <w:divBdr>
        <w:top w:val="none" w:sz="0" w:space="0" w:color="auto"/>
        <w:left w:val="none" w:sz="0" w:space="0" w:color="auto"/>
        <w:bottom w:val="none" w:sz="0" w:space="0" w:color="auto"/>
        <w:right w:val="none" w:sz="0" w:space="0" w:color="auto"/>
      </w:divBdr>
    </w:div>
    <w:div w:id="514081024">
      <w:bodyDiv w:val="1"/>
      <w:marLeft w:val="0"/>
      <w:marRight w:val="0"/>
      <w:marTop w:val="0"/>
      <w:marBottom w:val="0"/>
      <w:divBdr>
        <w:top w:val="none" w:sz="0" w:space="0" w:color="auto"/>
        <w:left w:val="none" w:sz="0" w:space="0" w:color="auto"/>
        <w:bottom w:val="none" w:sz="0" w:space="0" w:color="auto"/>
        <w:right w:val="none" w:sz="0" w:space="0" w:color="auto"/>
      </w:divBdr>
    </w:div>
    <w:div w:id="515654472">
      <w:bodyDiv w:val="1"/>
      <w:marLeft w:val="0"/>
      <w:marRight w:val="0"/>
      <w:marTop w:val="0"/>
      <w:marBottom w:val="0"/>
      <w:divBdr>
        <w:top w:val="none" w:sz="0" w:space="0" w:color="auto"/>
        <w:left w:val="none" w:sz="0" w:space="0" w:color="auto"/>
        <w:bottom w:val="none" w:sz="0" w:space="0" w:color="auto"/>
        <w:right w:val="none" w:sz="0" w:space="0" w:color="auto"/>
      </w:divBdr>
    </w:div>
    <w:div w:id="518204045">
      <w:bodyDiv w:val="1"/>
      <w:marLeft w:val="0"/>
      <w:marRight w:val="0"/>
      <w:marTop w:val="0"/>
      <w:marBottom w:val="0"/>
      <w:divBdr>
        <w:top w:val="none" w:sz="0" w:space="0" w:color="auto"/>
        <w:left w:val="none" w:sz="0" w:space="0" w:color="auto"/>
        <w:bottom w:val="none" w:sz="0" w:space="0" w:color="auto"/>
        <w:right w:val="none" w:sz="0" w:space="0" w:color="auto"/>
      </w:divBdr>
    </w:div>
    <w:div w:id="523707939">
      <w:bodyDiv w:val="1"/>
      <w:marLeft w:val="0"/>
      <w:marRight w:val="0"/>
      <w:marTop w:val="0"/>
      <w:marBottom w:val="0"/>
      <w:divBdr>
        <w:top w:val="none" w:sz="0" w:space="0" w:color="auto"/>
        <w:left w:val="none" w:sz="0" w:space="0" w:color="auto"/>
        <w:bottom w:val="none" w:sz="0" w:space="0" w:color="auto"/>
        <w:right w:val="none" w:sz="0" w:space="0" w:color="auto"/>
      </w:divBdr>
    </w:div>
    <w:div w:id="527766638">
      <w:bodyDiv w:val="1"/>
      <w:marLeft w:val="0"/>
      <w:marRight w:val="0"/>
      <w:marTop w:val="0"/>
      <w:marBottom w:val="0"/>
      <w:divBdr>
        <w:top w:val="none" w:sz="0" w:space="0" w:color="auto"/>
        <w:left w:val="none" w:sz="0" w:space="0" w:color="auto"/>
        <w:bottom w:val="none" w:sz="0" w:space="0" w:color="auto"/>
        <w:right w:val="none" w:sz="0" w:space="0" w:color="auto"/>
      </w:divBdr>
    </w:div>
    <w:div w:id="535191511">
      <w:bodyDiv w:val="1"/>
      <w:marLeft w:val="0"/>
      <w:marRight w:val="0"/>
      <w:marTop w:val="0"/>
      <w:marBottom w:val="0"/>
      <w:divBdr>
        <w:top w:val="none" w:sz="0" w:space="0" w:color="auto"/>
        <w:left w:val="none" w:sz="0" w:space="0" w:color="auto"/>
        <w:bottom w:val="none" w:sz="0" w:space="0" w:color="auto"/>
        <w:right w:val="none" w:sz="0" w:space="0" w:color="auto"/>
      </w:divBdr>
    </w:div>
    <w:div w:id="543371918">
      <w:bodyDiv w:val="1"/>
      <w:marLeft w:val="0"/>
      <w:marRight w:val="0"/>
      <w:marTop w:val="0"/>
      <w:marBottom w:val="0"/>
      <w:divBdr>
        <w:top w:val="none" w:sz="0" w:space="0" w:color="auto"/>
        <w:left w:val="none" w:sz="0" w:space="0" w:color="auto"/>
        <w:bottom w:val="none" w:sz="0" w:space="0" w:color="auto"/>
        <w:right w:val="none" w:sz="0" w:space="0" w:color="auto"/>
      </w:divBdr>
      <w:divsChild>
        <w:div w:id="785395499">
          <w:marLeft w:val="0"/>
          <w:marRight w:val="0"/>
          <w:marTop w:val="0"/>
          <w:marBottom w:val="0"/>
          <w:divBdr>
            <w:top w:val="none" w:sz="0" w:space="0" w:color="auto"/>
            <w:left w:val="none" w:sz="0" w:space="0" w:color="auto"/>
            <w:bottom w:val="none" w:sz="0" w:space="0" w:color="auto"/>
            <w:right w:val="none" w:sz="0" w:space="0" w:color="auto"/>
          </w:divBdr>
          <w:divsChild>
            <w:div w:id="502932964">
              <w:marLeft w:val="0"/>
              <w:marRight w:val="0"/>
              <w:marTop w:val="0"/>
              <w:marBottom w:val="0"/>
              <w:divBdr>
                <w:top w:val="none" w:sz="0" w:space="0" w:color="auto"/>
                <w:left w:val="none" w:sz="0" w:space="0" w:color="auto"/>
                <w:bottom w:val="none" w:sz="0" w:space="0" w:color="auto"/>
                <w:right w:val="none" w:sz="0" w:space="0" w:color="auto"/>
              </w:divBdr>
              <w:divsChild>
                <w:div w:id="1906643423">
                  <w:marLeft w:val="0"/>
                  <w:marRight w:val="0"/>
                  <w:marTop w:val="0"/>
                  <w:marBottom w:val="0"/>
                  <w:divBdr>
                    <w:top w:val="none" w:sz="0" w:space="0" w:color="auto"/>
                    <w:left w:val="none" w:sz="0" w:space="0" w:color="auto"/>
                    <w:bottom w:val="none" w:sz="0" w:space="0" w:color="auto"/>
                    <w:right w:val="none" w:sz="0" w:space="0" w:color="auto"/>
                  </w:divBdr>
                  <w:divsChild>
                    <w:div w:id="5424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058271">
      <w:bodyDiv w:val="1"/>
      <w:marLeft w:val="0"/>
      <w:marRight w:val="0"/>
      <w:marTop w:val="0"/>
      <w:marBottom w:val="0"/>
      <w:divBdr>
        <w:top w:val="none" w:sz="0" w:space="0" w:color="auto"/>
        <w:left w:val="none" w:sz="0" w:space="0" w:color="auto"/>
        <w:bottom w:val="none" w:sz="0" w:space="0" w:color="auto"/>
        <w:right w:val="none" w:sz="0" w:space="0" w:color="auto"/>
      </w:divBdr>
    </w:div>
    <w:div w:id="572200099">
      <w:bodyDiv w:val="1"/>
      <w:marLeft w:val="0"/>
      <w:marRight w:val="0"/>
      <w:marTop w:val="0"/>
      <w:marBottom w:val="0"/>
      <w:divBdr>
        <w:top w:val="none" w:sz="0" w:space="0" w:color="auto"/>
        <w:left w:val="none" w:sz="0" w:space="0" w:color="auto"/>
        <w:bottom w:val="none" w:sz="0" w:space="0" w:color="auto"/>
        <w:right w:val="none" w:sz="0" w:space="0" w:color="auto"/>
      </w:divBdr>
    </w:div>
    <w:div w:id="606471333">
      <w:bodyDiv w:val="1"/>
      <w:marLeft w:val="0"/>
      <w:marRight w:val="0"/>
      <w:marTop w:val="0"/>
      <w:marBottom w:val="0"/>
      <w:divBdr>
        <w:top w:val="none" w:sz="0" w:space="0" w:color="auto"/>
        <w:left w:val="none" w:sz="0" w:space="0" w:color="auto"/>
        <w:bottom w:val="none" w:sz="0" w:space="0" w:color="auto"/>
        <w:right w:val="none" w:sz="0" w:space="0" w:color="auto"/>
      </w:divBdr>
    </w:div>
    <w:div w:id="608044543">
      <w:bodyDiv w:val="1"/>
      <w:marLeft w:val="0"/>
      <w:marRight w:val="0"/>
      <w:marTop w:val="0"/>
      <w:marBottom w:val="0"/>
      <w:divBdr>
        <w:top w:val="none" w:sz="0" w:space="0" w:color="auto"/>
        <w:left w:val="none" w:sz="0" w:space="0" w:color="auto"/>
        <w:bottom w:val="none" w:sz="0" w:space="0" w:color="auto"/>
        <w:right w:val="none" w:sz="0" w:space="0" w:color="auto"/>
      </w:divBdr>
    </w:div>
    <w:div w:id="618606654">
      <w:bodyDiv w:val="1"/>
      <w:marLeft w:val="0"/>
      <w:marRight w:val="0"/>
      <w:marTop w:val="0"/>
      <w:marBottom w:val="0"/>
      <w:divBdr>
        <w:top w:val="none" w:sz="0" w:space="0" w:color="auto"/>
        <w:left w:val="none" w:sz="0" w:space="0" w:color="auto"/>
        <w:bottom w:val="none" w:sz="0" w:space="0" w:color="auto"/>
        <w:right w:val="none" w:sz="0" w:space="0" w:color="auto"/>
      </w:divBdr>
    </w:div>
    <w:div w:id="618755799">
      <w:bodyDiv w:val="1"/>
      <w:marLeft w:val="0"/>
      <w:marRight w:val="0"/>
      <w:marTop w:val="0"/>
      <w:marBottom w:val="0"/>
      <w:divBdr>
        <w:top w:val="none" w:sz="0" w:space="0" w:color="auto"/>
        <w:left w:val="none" w:sz="0" w:space="0" w:color="auto"/>
        <w:bottom w:val="none" w:sz="0" w:space="0" w:color="auto"/>
        <w:right w:val="none" w:sz="0" w:space="0" w:color="auto"/>
      </w:divBdr>
    </w:div>
    <w:div w:id="620723816">
      <w:bodyDiv w:val="1"/>
      <w:marLeft w:val="0"/>
      <w:marRight w:val="0"/>
      <w:marTop w:val="0"/>
      <w:marBottom w:val="0"/>
      <w:divBdr>
        <w:top w:val="none" w:sz="0" w:space="0" w:color="auto"/>
        <w:left w:val="none" w:sz="0" w:space="0" w:color="auto"/>
        <w:bottom w:val="none" w:sz="0" w:space="0" w:color="auto"/>
        <w:right w:val="none" w:sz="0" w:space="0" w:color="auto"/>
      </w:divBdr>
    </w:div>
    <w:div w:id="630400968">
      <w:bodyDiv w:val="1"/>
      <w:marLeft w:val="0"/>
      <w:marRight w:val="0"/>
      <w:marTop w:val="0"/>
      <w:marBottom w:val="0"/>
      <w:divBdr>
        <w:top w:val="none" w:sz="0" w:space="0" w:color="auto"/>
        <w:left w:val="none" w:sz="0" w:space="0" w:color="auto"/>
        <w:bottom w:val="none" w:sz="0" w:space="0" w:color="auto"/>
        <w:right w:val="none" w:sz="0" w:space="0" w:color="auto"/>
      </w:divBdr>
    </w:div>
    <w:div w:id="649216763">
      <w:bodyDiv w:val="1"/>
      <w:marLeft w:val="0"/>
      <w:marRight w:val="0"/>
      <w:marTop w:val="0"/>
      <w:marBottom w:val="0"/>
      <w:divBdr>
        <w:top w:val="none" w:sz="0" w:space="0" w:color="auto"/>
        <w:left w:val="none" w:sz="0" w:space="0" w:color="auto"/>
        <w:bottom w:val="none" w:sz="0" w:space="0" w:color="auto"/>
        <w:right w:val="none" w:sz="0" w:space="0" w:color="auto"/>
      </w:divBdr>
    </w:div>
    <w:div w:id="656806369">
      <w:bodyDiv w:val="1"/>
      <w:marLeft w:val="0"/>
      <w:marRight w:val="0"/>
      <w:marTop w:val="0"/>
      <w:marBottom w:val="0"/>
      <w:divBdr>
        <w:top w:val="none" w:sz="0" w:space="0" w:color="auto"/>
        <w:left w:val="none" w:sz="0" w:space="0" w:color="auto"/>
        <w:bottom w:val="none" w:sz="0" w:space="0" w:color="auto"/>
        <w:right w:val="none" w:sz="0" w:space="0" w:color="auto"/>
      </w:divBdr>
    </w:div>
    <w:div w:id="657997314">
      <w:bodyDiv w:val="1"/>
      <w:marLeft w:val="0"/>
      <w:marRight w:val="0"/>
      <w:marTop w:val="0"/>
      <w:marBottom w:val="0"/>
      <w:divBdr>
        <w:top w:val="none" w:sz="0" w:space="0" w:color="auto"/>
        <w:left w:val="none" w:sz="0" w:space="0" w:color="auto"/>
        <w:bottom w:val="none" w:sz="0" w:space="0" w:color="auto"/>
        <w:right w:val="none" w:sz="0" w:space="0" w:color="auto"/>
      </w:divBdr>
    </w:div>
    <w:div w:id="663314073">
      <w:bodyDiv w:val="1"/>
      <w:marLeft w:val="0"/>
      <w:marRight w:val="0"/>
      <w:marTop w:val="0"/>
      <w:marBottom w:val="0"/>
      <w:divBdr>
        <w:top w:val="none" w:sz="0" w:space="0" w:color="auto"/>
        <w:left w:val="none" w:sz="0" w:space="0" w:color="auto"/>
        <w:bottom w:val="none" w:sz="0" w:space="0" w:color="auto"/>
        <w:right w:val="none" w:sz="0" w:space="0" w:color="auto"/>
      </w:divBdr>
    </w:div>
    <w:div w:id="664212286">
      <w:bodyDiv w:val="1"/>
      <w:marLeft w:val="0"/>
      <w:marRight w:val="0"/>
      <w:marTop w:val="0"/>
      <w:marBottom w:val="0"/>
      <w:divBdr>
        <w:top w:val="none" w:sz="0" w:space="0" w:color="auto"/>
        <w:left w:val="none" w:sz="0" w:space="0" w:color="auto"/>
        <w:bottom w:val="none" w:sz="0" w:space="0" w:color="auto"/>
        <w:right w:val="none" w:sz="0" w:space="0" w:color="auto"/>
      </w:divBdr>
    </w:div>
    <w:div w:id="665018528">
      <w:bodyDiv w:val="1"/>
      <w:marLeft w:val="0"/>
      <w:marRight w:val="0"/>
      <w:marTop w:val="0"/>
      <w:marBottom w:val="0"/>
      <w:divBdr>
        <w:top w:val="none" w:sz="0" w:space="0" w:color="auto"/>
        <w:left w:val="none" w:sz="0" w:space="0" w:color="auto"/>
        <w:bottom w:val="none" w:sz="0" w:space="0" w:color="auto"/>
        <w:right w:val="none" w:sz="0" w:space="0" w:color="auto"/>
      </w:divBdr>
    </w:div>
    <w:div w:id="677267133">
      <w:bodyDiv w:val="1"/>
      <w:marLeft w:val="0"/>
      <w:marRight w:val="0"/>
      <w:marTop w:val="0"/>
      <w:marBottom w:val="0"/>
      <w:divBdr>
        <w:top w:val="none" w:sz="0" w:space="0" w:color="auto"/>
        <w:left w:val="none" w:sz="0" w:space="0" w:color="auto"/>
        <w:bottom w:val="none" w:sz="0" w:space="0" w:color="auto"/>
        <w:right w:val="none" w:sz="0" w:space="0" w:color="auto"/>
      </w:divBdr>
    </w:div>
    <w:div w:id="679936209">
      <w:bodyDiv w:val="1"/>
      <w:marLeft w:val="0"/>
      <w:marRight w:val="0"/>
      <w:marTop w:val="0"/>
      <w:marBottom w:val="0"/>
      <w:divBdr>
        <w:top w:val="none" w:sz="0" w:space="0" w:color="auto"/>
        <w:left w:val="none" w:sz="0" w:space="0" w:color="auto"/>
        <w:bottom w:val="none" w:sz="0" w:space="0" w:color="auto"/>
        <w:right w:val="none" w:sz="0" w:space="0" w:color="auto"/>
      </w:divBdr>
    </w:div>
    <w:div w:id="680162731">
      <w:bodyDiv w:val="1"/>
      <w:marLeft w:val="0"/>
      <w:marRight w:val="0"/>
      <w:marTop w:val="0"/>
      <w:marBottom w:val="0"/>
      <w:divBdr>
        <w:top w:val="none" w:sz="0" w:space="0" w:color="auto"/>
        <w:left w:val="none" w:sz="0" w:space="0" w:color="auto"/>
        <w:bottom w:val="none" w:sz="0" w:space="0" w:color="auto"/>
        <w:right w:val="none" w:sz="0" w:space="0" w:color="auto"/>
      </w:divBdr>
    </w:div>
    <w:div w:id="686836802">
      <w:bodyDiv w:val="1"/>
      <w:marLeft w:val="0"/>
      <w:marRight w:val="0"/>
      <w:marTop w:val="0"/>
      <w:marBottom w:val="0"/>
      <w:divBdr>
        <w:top w:val="none" w:sz="0" w:space="0" w:color="auto"/>
        <w:left w:val="none" w:sz="0" w:space="0" w:color="auto"/>
        <w:bottom w:val="none" w:sz="0" w:space="0" w:color="auto"/>
        <w:right w:val="none" w:sz="0" w:space="0" w:color="auto"/>
      </w:divBdr>
    </w:div>
    <w:div w:id="687369596">
      <w:bodyDiv w:val="1"/>
      <w:marLeft w:val="0"/>
      <w:marRight w:val="0"/>
      <w:marTop w:val="0"/>
      <w:marBottom w:val="0"/>
      <w:divBdr>
        <w:top w:val="none" w:sz="0" w:space="0" w:color="auto"/>
        <w:left w:val="none" w:sz="0" w:space="0" w:color="auto"/>
        <w:bottom w:val="none" w:sz="0" w:space="0" w:color="auto"/>
        <w:right w:val="none" w:sz="0" w:space="0" w:color="auto"/>
      </w:divBdr>
    </w:div>
    <w:div w:id="688290971">
      <w:bodyDiv w:val="1"/>
      <w:marLeft w:val="0"/>
      <w:marRight w:val="0"/>
      <w:marTop w:val="0"/>
      <w:marBottom w:val="0"/>
      <w:divBdr>
        <w:top w:val="none" w:sz="0" w:space="0" w:color="auto"/>
        <w:left w:val="none" w:sz="0" w:space="0" w:color="auto"/>
        <w:bottom w:val="none" w:sz="0" w:space="0" w:color="auto"/>
        <w:right w:val="none" w:sz="0" w:space="0" w:color="auto"/>
      </w:divBdr>
    </w:div>
    <w:div w:id="697580672">
      <w:bodyDiv w:val="1"/>
      <w:marLeft w:val="0"/>
      <w:marRight w:val="0"/>
      <w:marTop w:val="0"/>
      <w:marBottom w:val="0"/>
      <w:divBdr>
        <w:top w:val="none" w:sz="0" w:space="0" w:color="auto"/>
        <w:left w:val="none" w:sz="0" w:space="0" w:color="auto"/>
        <w:bottom w:val="none" w:sz="0" w:space="0" w:color="auto"/>
        <w:right w:val="none" w:sz="0" w:space="0" w:color="auto"/>
      </w:divBdr>
    </w:div>
    <w:div w:id="704134409">
      <w:bodyDiv w:val="1"/>
      <w:marLeft w:val="0"/>
      <w:marRight w:val="0"/>
      <w:marTop w:val="0"/>
      <w:marBottom w:val="0"/>
      <w:divBdr>
        <w:top w:val="none" w:sz="0" w:space="0" w:color="auto"/>
        <w:left w:val="none" w:sz="0" w:space="0" w:color="auto"/>
        <w:bottom w:val="none" w:sz="0" w:space="0" w:color="auto"/>
        <w:right w:val="none" w:sz="0" w:space="0" w:color="auto"/>
      </w:divBdr>
    </w:div>
    <w:div w:id="728772329">
      <w:bodyDiv w:val="1"/>
      <w:marLeft w:val="0"/>
      <w:marRight w:val="0"/>
      <w:marTop w:val="0"/>
      <w:marBottom w:val="0"/>
      <w:divBdr>
        <w:top w:val="none" w:sz="0" w:space="0" w:color="auto"/>
        <w:left w:val="none" w:sz="0" w:space="0" w:color="auto"/>
        <w:bottom w:val="none" w:sz="0" w:space="0" w:color="auto"/>
        <w:right w:val="none" w:sz="0" w:space="0" w:color="auto"/>
      </w:divBdr>
    </w:div>
    <w:div w:id="756444600">
      <w:bodyDiv w:val="1"/>
      <w:marLeft w:val="0"/>
      <w:marRight w:val="0"/>
      <w:marTop w:val="0"/>
      <w:marBottom w:val="0"/>
      <w:divBdr>
        <w:top w:val="none" w:sz="0" w:space="0" w:color="auto"/>
        <w:left w:val="none" w:sz="0" w:space="0" w:color="auto"/>
        <w:bottom w:val="none" w:sz="0" w:space="0" w:color="auto"/>
        <w:right w:val="none" w:sz="0" w:space="0" w:color="auto"/>
      </w:divBdr>
    </w:div>
    <w:div w:id="772358527">
      <w:bodyDiv w:val="1"/>
      <w:marLeft w:val="0"/>
      <w:marRight w:val="0"/>
      <w:marTop w:val="0"/>
      <w:marBottom w:val="0"/>
      <w:divBdr>
        <w:top w:val="none" w:sz="0" w:space="0" w:color="auto"/>
        <w:left w:val="none" w:sz="0" w:space="0" w:color="auto"/>
        <w:bottom w:val="none" w:sz="0" w:space="0" w:color="auto"/>
        <w:right w:val="none" w:sz="0" w:space="0" w:color="auto"/>
      </w:divBdr>
    </w:div>
    <w:div w:id="775177054">
      <w:bodyDiv w:val="1"/>
      <w:marLeft w:val="0"/>
      <w:marRight w:val="0"/>
      <w:marTop w:val="0"/>
      <w:marBottom w:val="0"/>
      <w:divBdr>
        <w:top w:val="none" w:sz="0" w:space="0" w:color="auto"/>
        <w:left w:val="none" w:sz="0" w:space="0" w:color="auto"/>
        <w:bottom w:val="none" w:sz="0" w:space="0" w:color="auto"/>
        <w:right w:val="none" w:sz="0" w:space="0" w:color="auto"/>
      </w:divBdr>
    </w:div>
    <w:div w:id="795219153">
      <w:bodyDiv w:val="1"/>
      <w:marLeft w:val="0"/>
      <w:marRight w:val="0"/>
      <w:marTop w:val="0"/>
      <w:marBottom w:val="0"/>
      <w:divBdr>
        <w:top w:val="none" w:sz="0" w:space="0" w:color="auto"/>
        <w:left w:val="none" w:sz="0" w:space="0" w:color="auto"/>
        <w:bottom w:val="none" w:sz="0" w:space="0" w:color="auto"/>
        <w:right w:val="none" w:sz="0" w:space="0" w:color="auto"/>
      </w:divBdr>
      <w:divsChild>
        <w:div w:id="709261901">
          <w:marLeft w:val="0"/>
          <w:marRight w:val="0"/>
          <w:marTop w:val="0"/>
          <w:marBottom w:val="150"/>
          <w:divBdr>
            <w:top w:val="none" w:sz="0" w:space="0" w:color="auto"/>
            <w:left w:val="none" w:sz="0" w:space="0" w:color="auto"/>
            <w:bottom w:val="none" w:sz="0" w:space="0" w:color="auto"/>
            <w:right w:val="none" w:sz="0" w:space="0" w:color="auto"/>
          </w:divBdr>
        </w:div>
        <w:div w:id="54663381">
          <w:marLeft w:val="0"/>
          <w:marRight w:val="0"/>
          <w:marTop w:val="0"/>
          <w:marBottom w:val="300"/>
          <w:divBdr>
            <w:top w:val="none" w:sz="0" w:space="0" w:color="auto"/>
            <w:left w:val="none" w:sz="0" w:space="0" w:color="auto"/>
            <w:bottom w:val="none" w:sz="0" w:space="0" w:color="auto"/>
            <w:right w:val="none" w:sz="0" w:space="0" w:color="auto"/>
          </w:divBdr>
          <w:divsChild>
            <w:div w:id="205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26117">
      <w:bodyDiv w:val="1"/>
      <w:marLeft w:val="0"/>
      <w:marRight w:val="0"/>
      <w:marTop w:val="0"/>
      <w:marBottom w:val="0"/>
      <w:divBdr>
        <w:top w:val="none" w:sz="0" w:space="0" w:color="auto"/>
        <w:left w:val="none" w:sz="0" w:space="0" w:color="auto"/>
        <w:bottom w:val="none" w:sz="0" w:space="0" w:color="auto"/>
        <w:right w:val="none" w:sz="0" w:space="0" w:color="auto"/>
      </w:divBdr>
    </w:div>
    <w:div w:id="809136290">
      <w:bodyDiv w:val="1"/>
      <w:marLeft w:val="0"/>
      <w:marRight w:val="0"/>
      <w:marTop w:val="0"/>
      <w:marBottom w:val="0"/>
      <w:divBdr>
        <w:top w:val="none" w:sz="0" w:space="0" w:color="auto"/>
        <w:left w:val="none" w:sz="0" w:space="0" w:color="auto"/>
        <w:bottom w:val="none" w:sz="0" w:space="0" w:color="auto"/>
        <w:right w:val="none" w:sz="0" w:space="0" w:color="auto"/>
      </w:divBdr>
    </w:div>
    <w:div w:id="825514701">
      <w:bodyDiv w:val="1"/>
      <w:marLeft w:val="0"/>
      <w:marRight w:val="0"/>
      <w:marTop w:val="0"/>
      <w:marBottom w:val="0"/>
      <w:divBdr>
        <w:top w:val="none" w:sz="0" w:space="0" w:color="auto"/>
        <w:left w:val="none" w:sz="0" w:space="0" w:color="auto"/>
        <w:bottom w:val="none" w:sz="0" w:space="0" w:color="auto"/>
        <w:right w:val="none" w:sz="0" w:space="0" w:color="auto"/>
      </w:divBdr>
    </w:div>
    <w:div w:id="828524765">
      <w:bodyDiv w:val="1"/>
      <w:marLeft w:val="0"/>
      <w:marRight w:val="0"/>
      <w:marTop w:val="0"/>
      <w:marBottom w:val="0"/>
      <w:divBdr>
        <w:top w:val="none" w:sz="0" w:space="0" w:color="auto"/>
        <w:left w:val="none" w:sz="0" w:space="0" w:color="auto"/>
        <w:bottom w:val="none" w:sz="0" w:space="0" w:color="auto"/>
        <w:right w:val="none" w:sz="0" w:space="0" w:color="auto"/>
      </w:divBdr>
    </w:div>
    <w:div w:id="833302173">
      <w:bodyDiv w:val="1"/>
      <w:marLeft w:val="0"/>
      <w:marRight w:val="0"/>
      <w:marTop w:val="0"/>
      <w:marBottom w:val="0"/>
      <w:divBdr>
        <w:top w:val="none" w:sz="0" w:space="0" w:color="auto"/>
        <w:left w:val="none" w:sz="0" w:space="0" w:color="auto"/>
        <w:bottom w:val="none" w:sz="0" w:space="0" w:color="auto"/>
        <w:right w:val="none" w:sz="0" w:space="0" w:color="auto"/>
      </w:divBdr>
    </w:div>
    <w:div w:id="836262183">
      <w:bodyDiv w:val="1"/>
      <w:marLeft w:val="0"/>
      <w:marRight w:val="0"/>
      <w:marTop w:val="0"/>
      <w:marBottom w:val="0"/>
      <w:divBdr>
        <w:top w:val="none" w:sz="0" w:space="0" w:color="auto"/>
        <w:left w:val="none" w:sz="0" w:space="0" w:color="auto"/>
        <w:bottom w:val="none" w:sz="0" w:space="0" w:color="auto"/>
        <w:right w:val="none" w:sz="0" w:space="0" w:color="auto"/>
      </w:divBdr>
    </w:div>
    <w:div w:id="853879254">
      <w:bodyDiv w:val="1"/>
      <w:marLeft w:val="0"/>
      <w:marRight w:val="0"/>
      <w:marTop w:val="0"/>
      <w:marBottom w:val="0"/>
      <w:divBdr>
        <w:top w:val="none" w:sz="0" w:space="0" w:color="auto"/>
        <w:left w:val="none" w:sz="0" w:space="0" w:color="auto"/>
        <w:bottom w:val="none" w:sz="0" w:space="0" w:color="auto"/>
        <w:right w:val="none" w:sz="0" w:space="0" w:color="auto"/>
      </w:divBdr>
    </w:div>
    <w:div w:id="858007963">
      <w:bodyDiv w:val="1"/>
      <w:marLeft w:val="0"/>
      <w:marRight w:val="0"/>
      <w:marTop w:val="0"/>
      <w:marBottom w:val="0"/>
      <w:divBdr>
        <w:top w:val="none" w:sz="0" w:space="0" w:color="auto"/>
        <w:left w:val="none" w:sz="0" w:space="0" w:color="auto"/>
        <w:bottom w:val="none" w:sz="0" w:space="0" w:color="auto"/>
        <w:right w:val="none" w:sz="0" w:space="0" w:color="auto"/>
      </w:divBdr>
    </w:div>
    <w:div w:id="863598044">
      <w:bodyDiv w:val="1"/>
      <w:marLeft w:val="0"/>
      <w:marRight w:val="0"/>
      <w:marTop w:val="0"/>
      <w:marBottom w:val="0"/>
      <w:divBdr>
        <w:top w:val="none" w:sz="0" w:space="0" w:color="auto"/>
        <w:left w:val="none" w:sz="0" w:space="0" w:color="auto"/>
        <w:bottom w:val="none" w:sz="0" w:space="0" w:color="auto"/>
        <w:right w:val="none" w:sz="0" w:space="0" w:color="auto"/>
      </w:divBdr>
    </w:div>
    <w:div w:id="870146551">
      <w:bodyDiv w:val="1"/>
      <w:marLeft w:val="0"/>
      <w:marRight w:val="0"/>
      <w:marTop w:val="0"/>
      <w:marBottom w:val="0"/>
      <w:divBdr>
        <w:top w:val="none" w:sz="0" w:space="0" w:color="auto"/>
        <w:left w:val="none" w:sz="0" w:space="0" w:color="auto"/>
        <w:bottom w:val="none" w:sz="0" w:space="0" w:color="auto"/>
        <w:right w:val="none" w:sz="0" w:space="0" w:color="auto"/>
      </w:divBdr>
    </w:div>
    <w:div w:id="870462502">
      <w:bodyDiv w:val="1"/>
      <w:marLeft w:val="0"/>
      <w:marRight w:val="0"/>
      <w:marTop w:val="0"/>
      <w:marBottom w:val="0"/>
      <w:divBdr>
        <w:top w:val="none" w:sz="0" w:space="0" w:color="auto"/>
        <w:left w:val="none" w:sz="0" w:space="0" w:color="auto"/>
        <w:bottom w:val="none" w:sz="0" w:space="0" w:color="auto"/>
        <w:right w:val="none" w:sz="0" w:space="0" w:color="auto"/>
      </w:divBdr>
    </w:div>
    <w:div w:id="871264792">
      <w:bodyDiv w:val="1"/>
      <w:marLeft w:val="0"/>
      <w:marRight w:val="0"/>
      <w:marTop w:val="0"/>
      <w:marBottom w:val="0"/>
      <w:divBdr>
        <w:top w:val="none" w:sz="0" w:space="0" w:color="auto"/>
        <w:left w:val="none" w:sz="0" w:space="0" w:color="auto"/>
        <w:bottom w:val="none" w:sz="0" w:space="0" w:color="auto"/>
        <w:right w:val="none" w:sz="0" w:space="0" w:color="auto"/>
      </w:divBdr>
    </w:div>
    <w:div w:id="879127346">
      <w:bodyDiv w:val="1"/>
      <w:marLeft w:val="0"/>
      <w:marRight w:val="0"/>
      <w:marTop w:val="0"/>
      <w:marBottom w:val="0"/>
      <w:divBdr>
        <w:top w:val="none" w:sz="0" w:space="0" w:color="auto"/>
        <w:left w:val="none" w:sz="0" w:space="0" w:color="auto"/>
        <w:bottom w:val="none" w:sz="0" w:space="0" w:color="auto"/>
        <w:right w:val="none" w:sz="0" w:space="0" w:color="auto"/>
      </w:divBdr>
      <w:divsChild>
        <w:div w:id="664088597">
          <w:marLeft w:val="0"/>
          <w:marRight w:val="0"/>
          <w:marTop w:val="0"/>
          <w:marBottom w:val="0"/>
          <w:divBdr>
            <w:top w:val="none" w:sz="0" w:space="0" w:color="auto"/>
            <w:left w:val="none" w:sz="0" w:space="0" w:color="auto"/>
            <w:bottom w:val="none" w:sz="0" w:space="0" w:color="auto"/>
            <w:right w:val="none" w:sz="0" w:space="0" w:color="auto"/>
          </w:divBdr>
          <w:divsChild>
            <w:div w:id="2050759966">
              <w:marLeft w:val="0"/>
              <w:marRight w:val="0"/>
              <w:marTop w:val="0"/>
              <w:marBottom w:val="0"/>
              <w:divBdr>
                <w:top w:val="none" w:sz="0" w:space="0" w:color="auto"/>
                <w:left w:val="none" w:sz="0" w:space="0" w:color="auto"/>
                <w:bottom w:val="none" w:sz="0" w:space="0" w:color="auto"/>
                <w:right w:val="none" w:sz="0" w:space="0" w:color="auto"/>
              </w:divBdr>
              <w:divsChild>
                <w:div w:id="1985770354">
                  <w:marLeft w:val="0"/>
                  <w:marRight w:val="0"/>
                  <w:marTop w:val="0"/>
                  <w:marBottom w:val="0"/>
                  <w:divBdr>
                    <w:top w:val="none" w:sz="0" w:space="0" w:color="auto"/>
                    <w:left w:val="none" w:sz="0" w:space="0" w:color="auto"/>
                    <w:bottom w:val="none" w:sz="0" w:space="0" w:color="auto"/>
                    <w:right w:val="none" w:sz="0" w:space="0" w:color="auto"/>
                  </w:divBdr>
                  <w:divsChild>
                    <w:div w:id="19438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436950">
      <w:bodyDiv w:val="1"/>
      <w:marLeft w:val="0"/>
      <w:marRight w:val="0"/>
      <w:marTop w:val="0"/>
      <w:marBottom w:val="0"/>
      <w:divBdr>
        <w:top w:val="none" w:sz="0" w:space="0" w:color="auto"/>
        <w:left w:val="none" w:sz="0" w:space="0" w:color="auto"/>
        <w:bottom w:val="none" w:sz="0" w:space="0" w:color="auto"/>
        <w:right w:val="none" w:sz="0" w:space="0" w:color="auto"/>
      </w:divBdr>
    </w:div>
    <w:div w:id="882332646">
      <w:bodyDiv w:val="1"/>
      <w:marLeft w:val="0"/>
      <w:marRight w:val="0"/>
      <w:marTop w:val="0"/>
      <w:marBottom w:val="0"/>
      <w:divBdr>
        <w:top w:val="none" w:sz="0" w:space="0" w:color="auto"/>
        <w:left w:val="none" w:sz="0" w:space="0" w:color="auto"/>
        <w:bottom w:val="none" w:sz="0" w:space="0" w:color="auto"/>
        <w:right w:val="none" w:sz="0" w:space="0" w:color="auto"/>
      </w:divBdr>
    </w:div>
    <w:div w:id="884947963">
      <w:bodyDiv w:val="1"/>
      <w:marLeft w:val="0"/>
      <w:marRight w:val="0"/>
      <w:marTop w:val="0"/>
      <w:marBottom w:val="0"/>
      <w:divBdr>
        <w:top w:val="none" w:sz="0" w:space="0" w:color="auto"/>
        <w:left w:val="none" w:sz="0" w:space="0" w:color="auto"/>
        <w:bottom w:val="none" w:sz="0" w:space="0" w:color="auto"/>
        <w:right w:val="none" w:sz="0" w:space="0" w:color="auto"/>
      </w:divBdr>
    </w:div>
    <w:div w:id="887423886">
      <w:bodyDiv w:val="1"/>
      <w:marLeft w:val="0"/>
      <w:marRight w:val="0"/>
      <w:marTop w:val="0"/>
      <w:marBottom w:val="0"/>
      <w:divBdr>
        <w:top w:val="none" w:sz="0" w:space="0" w:color="auto"/>
        <w:left w:val="none" w:sz="0" w:space="0" w:color="auto"/>
        <w:bottom w:val="none" w:sz="0" w:space="0" w:color="auto"/>
        <w:right w:val="none" w:sz="0" w:space="0" w:color="auto"/>
      </w:divBdr>
    </w:div>
    <w:div w:id="913199180">
      <w:bodyDiv w:val="1"/>
      <w:marLeft w:val="0"/>
      <w:marRight w:val="0"/>
      <w:marTop w:val="0"/>
      <w:marBottom w:val="0"/>
      <w:divBdr>
        <w:top w:val="none" w:sz="0" w:space="0" w:color="auto"/>
        <w:left w:val="none" w:sz="0" w:space="0" w:color="auto"/>
        <w:bottom w:val="none" w:sz="0" w:space="0" w:color="auto"/>
        <w:right w:val="none" w:sz="0" w:space="0" w:color="auto"/>
      </w:divBdr>
    </w:div>
    <w:div w:id="919144008">
      <w:bodyDiv w:val="1"/>
      <w:marLeft w:val="0"/>
      <w:marRight w:val="0"/>
      <w:marTop w:val="0"/>
      <w:marBottom w:val="0"/>
      <w:divBdr>
        <w:top w:val="none" w:sz="0" w:space="0" w:color="auto"/>
        <w:left w:val="none" w:sz="0" w:space="0" w:color="auto"/>
        <w:bottom w:val="none" w:sz="0" w:space="0" w:color="auto"/>
        <w:right w:val="none" w:sz="0" w:space="0" w:color="auto"/>
      </w:divBdr>
    </w:div>
    <w:div w:id="926112796">
      <w:bodyDiv w:val="1"/>
      <w:marLeft w:val="0"/>
      <w:marRight w:val="0"/>
      <w:marTop w:val="0"/>
      <w:marBottom w:val="0"/>
      <w:divBdr>
        <w:top w:val="none" w:sz="0" w:space="0" w:color="auto"/>
        <w:left w:val="none" w:sz="0" w:space="0" w:color="auto"/>
        <w:bottom w:val="none" w:sz="0" w:space="0" w:color="auto"/>
        <w:right w:val="none" w:sz="0" w:space="0" w:color="auto"/>
      </w:divBdr>
    </w:div>
    <w:div w:id="929117287">
      <w:bodyDiv w:val="1"/>
      <w:marLeft w:val="0"/>
      <w:marRight w:val="0"/>
      <w:marTop w:val="0"/>
      <w:marBottom w:val="0"/>
      <w:divBdr>
        <w:top w:val="none" w:sz="0" w:space="0" w:color="auto"/>
        <w:left w:val="none" w:sz="0" w:space="0" w:color="auto"/>
        <w:bottom w:val="none" w:sz="0" w:space="0" w:color="auto"/>
        <w:right w:val="none" w:sz="0" w:space="0" w:color="auto"/>
      </w:divBdr>
    </w:div>
    <w:div w:id="930965978">
      <w:bodyDiv w:val="1"/>
      <w:marLeft w:val="0"/>
      <w:marRight w:val="0"/>
      <w:marTop w:val="0"/>
      <w:marBottom w:val="0"/>
      <w:divBdr>
        <w:top w:val="none" w:sz="0" w:space="0" w:color="auto"/>
        <w:left w:val="none" w:sz="0" w:space="0" w:color="auto"/>
        <w:bottom w:val="none" w:sz="0" w:space="0" w:color="auto"/>
        <w:right w:val="none" w:sz="0" w:space="0" w:color="auto"/>
      </w:divBdr>
    </w:div>
    <w:div w:id="938176807">
      <w:bodyDiv w:val="1"/>
      <w:marLeft w:val="0"/>
      <w:marRight w:val="0"/>
      <w:marTop w:val="0"/>
      <w:marBottom w:val="0"/>
      <w:divBdr>
        <w:top w:val="none" w:sz="0" w:space="0" w:color="auto"/>
        <w:left w:val="none" w:sz="0" w:space="0" w:color="auto"/>
        <w:bottom w:val="none" w:sz="0" w:space="0" w:color="auto"/>
        <w:right w:val="none" w:sz="0" w:space="0" w:color="auto"/>
      </w:divBdr>
    </w:div>
    <w:div w:id="965550911">
      <w:bodyDiv w:val="1"/>
      <w:marLeft w:val="0"/>
      <w:marRight w:val="0"/>
      <w:marTop w:val="0"/>
      <w:marBottom w:val="0"/>
      <w:divBdr>
        <w:top w:val="none" w:sz="0" w:space="0" w:color="auto"/>
        <w:left w:val="none" w:sz="0" w:space="0" w:color="auto"/>
        <w:bottom w:val="none" w:sz="0" w:space="0" w:color="auto"/>
        <w:right w:val="none" w:sz="0" w:space="0" w:color="auto"/>
      </w:divBdr>
    </w:div>
    <w:div w:id="970014358">
      <w:bodyDiv w:val="1"/>
      <w:marLeft w:val="0"/>
      <w:marRight w:val="0"/>
      <w:marTop w:val="0"/>
      <w:marBottom w:val="0"/>
      <w:divBdr>
        <w:top w:val="none" w:sz="0" w:space="0" w:color="auto"/>
        <w:left w:val="none" w:sz="0" w:space="0" w:color="auto"/>
        <w:bottom w:val="none" w:sz="0" w:space="0" w:color="auto"/>
        <w:right w:val="none" w:sz="0" w:space="0" w:color="auto"/>
      </w:divBdr>
    </w:div>
    <w:div w:id="994457279">
      <w:bodyDiv w:val="1"/>
      <w:marLeft w:val="0"/>
      <w:marRight w:val="0"/>
      <w:marTop w:val="0"/>
      <w:marBottom w:val="0"/>
      <w:divBdr>
        <w:top w:val="none" w:sz="0" w:space="0" w:color="auto"/>
        <w:left w:val="none" w:sz="0" w:space="0" w:color="auto"/>
        <w:bottom w:val="none" w:sz="0" w:space="0" w:color="auto"/>
        <w:right w:val="none" w:sz="0" w:space="0" w:color="auto"/>
      </w:divBdr>
    </w:div>
    <w:div w:id="1002200440">
      <w:bodyDiv w:val="1"/>
      <w:marLeft w:val="0"/>
      <w:marRight w:val="0"/>
      <w:marTop w:val="0"/>
      <w:marBottom w:val="0"/>
      <w:divBdr>
        <w:top w:val="none" w:sz="0" w:space="0" w:color="auto"/>
        <w:left w:val="none" w:sz="0" w:space="0" w:color="auto"/>
        <w:bottom w:val="none" w:sz="0" w:space="0" w:color="auto"/>
        <w:right w:val="none" w:sz="0" w:space="0" w:color="auto"/>
      </w:divBdr>
    </w:div>
    <w:div w:id="1007173051">
      <w:bodyDiv w:val="1"/>
      <w:marLeft w:val="0"/>
      <w:marRight w:val="0"/>
      <w:marTop w:val="0"/>
      <w:marBottom w:val="0"/>
      <w:divBdr>
        <w:top w:val="none" w:sz="0" w:space="0" w:color="auto"/>
        <w:left w:val="none" w:sz="0" w:space="0" w:color="auto"/>
        <w:bottom w:val="none" w:sz="0" w:space="0" w:color="auto"/>
        <w:right w:val="none" w:sz="0" w:space="0" w:color="auto"/>
      </w:divBdr>
    </w:div>
    <w:div w:id="1026441143">
      <w:bodyDiv w:val="1"/>
      <w:marLeft w:val="0"/>
      <w:marRight w:val="0"/>
      <w:marTop w:val="0"/>
      <w:marBottom w:val="0"/>
      <w:divBdr>
        <w:top w:val="none" w:sz="0" w:space="0" w:color="auto"/>
        <w:left w:val="none" w:sz="0" w:space="0" w:color="auto"/>
        <w:bottom w:val="none" w:sz="0" w:space="0" w:color="auto"/>
        <w:right w:val="none" w:sz="0" w:space="0" w:color="auto"/>
      </w:divBdr>
    </w:div>
    <w:div w:id="1035885189">
      <w:bodyDiv w:val="1"/>
      <w:marLeft w:val="0"/>
      <w:marRight w:val="0"/>
      <w:marTop w:val="0"/>
      <w:marBottom w:val="0"/>
      <w:divBdr>
        <w:top w:val="none" w:sz="0" w:space="0" w:color="auto"/>
        <w:left w:val="none" w:sz="0" w:space="0" w:color="auto"/>
        <w:bottom w:val="none" w:sz="0" w:space="0" w:color="auto"/>
        <w:right w:val="none" w:sz="0" w:space="0" w:color="auto"/>
      </w:divBdr>
    </w:div>
    <w:div w:id="1036588142">
      <w:bodyDiv w:val="1"/>
      <w:marLeft w:val="0"/>
      <w:marRight w:val="0"/>
      <w:marTop w:val="0"/>
      <w:marBottom w:val="0"/>
      <w:divBdr>
        <w:top w:val="none" w:sz="0" w:space="0" w:color="auto"/>
        <w:left w:val="none" w:sz="0" w:space="0" w:color="auto"/>
        <w:bottom w:val="none" w:sz="0" w:space="0" w:color="auto"/>
        <w:right w:val="none" w:sz="0" w:space="0" w:color="auto"/>
      </w:divBdr>
    </w:div>
    <w:div w:id="1039861769">
      <w:bodyDiv w:val="1"/>
      <w:marLeft w:val="0"/>
      <w:marRight w:val="0"/>
      <w:marTop w:val="0"/>
      <w:marBottom w:val="0"/>
      <w:divBdr>
        <w:top w:val="none" w:sz="0" w:space="0" w:color="auto"/>
        <w:left w:val="none" w:sz="0" w:space="0" w:color="auto"/>
        <w:bottom w:val="none" w:sz="0" w:space="0" w:color="auto"/>
        <w:right w:val="none" w:sz="0" w:space="0" w:color="auto"/>
      </w:divBdr>
    </w:div>
    <w:div w:id="1046178930">
      <w:bodyDiv w:val="1"/>
      <w:marLeft w:val="0"/>
      <w:marRight w:val="0"/>
      <w:marTop w:val="0"/>
      <w:marBottom w:val="0"/>
      <w:divBdr>
        <w:top w:val="none" w:sz="0" w:space="0" w:color="auto"/>
        <w:left w:val="none" w:sz="0" w:space="0" w:color="auto"/>
        <w:bottom w:val="none" w:sz="0" w:space="0" w:color="auto"/>
        <w:right w:val="none" w:sz="0" w:space="0" w:color="auto"/>
      </w:divBdr>
    </w:div>
    <w:div w:id="1054233110">
      <w:bodyDiv w:val="1"/>
      <w:marLeft w:val="0"/>
      <w:marRight w:val="0"/>
      <w:marTop w:val="0"/>
      <w:marBottom w:val="0"/>
      <w:divBdr>
        <w:top w:val="none" w:sz="0" w:space="0" w:color="auto"/>
        <w:left w:val="none" w:sz="0" w:space="0" w:color="auto"/>
        <w:bottom w:val="none" w:sz="0" w:space="0" w:color="auto"/>
        <w:right w:val="none" w:sz="0" w:space="0" w:color="auto"/>
      </w:divBdr>
    </w:div>
    <w:div w:id="1055618988">
      <w:bodyDiv w:val="1"/>
      <w:marLeft w:val="0"/>
      <w:marRight w:val="0"/>
      <w:marTop w:val="0"/>
      <w:marBottom w:val="0"/>
      <w:divBdr>
        <w:top w:val="none" w:sz="0" w:space="0" w:color="auto"/>
        <w:left w:val="none" w:sz="0" w:space="0" w:color="auto"/>
        <w:bottom w:val="none" w:sz="0" w:space="0" w:color="auto"/>
        <w:right w:val="none" w:sz="0" w:space="0" w:color="auto"/>
      </w:divBdr>
    </w:div>
    <w:div w:id="1058750833">
      <w:bodyDiv w:val="1"/>
      <w:marLeft w:val="0"/>
      <w:marRight w:val="0"/>
      <w:marTop w:val="0"/>
      <w:marBottom w:val="0"/>
      <w:divBdr>
        <w:top w:val="none" w:sz="0" w:space="0" w:color="auto"/>
        <w:left w:val="none" w:sz="0" w:space="0" w:color="auto"/>
        <w:bottom w:val="none" w:sz="0" w:space="0" w:color="auto"/>
        <w:right w:val="none" w:sz="0" w:space="0" w:color="auto"/>
      </w:divBdr>
    </w:div>
    <w:div w:id="1065567681">
      <w:bodyDiv w:val="1"/>
      <w:marLeft w:val="0"/>
      <w:marRight w:val="0"/>
      <w:marTop w:val="0"/>
      <w:marBottom w:val="0"/>
      <w:divBdr>
        <w:top w:val="none" w:sz="0" w:space="0" w:color="auto"/>
        <w:left w:val="none" w:sz="0" w:space="0" w:color="auto"/>
        <w:bottom w:val="none" w:sz="0" w:space="0" w:color="auto"/>
        <w:right w:val="none" w:sz="0" w:space="0" w:color="auto"/>
      </w:divBdr>
    </w:div>
    <w:div w:id="1069353061">
      <w:bodyDiv w:val="1"/>
      <w:marLeft w:val="0"/>
      <w:marRight w:val="0"/>
      <w:marTop w:val="0"/>
      <w:marBottom w:val="0"/>
      <w:divBdr>
        <w:top w:val="none" w:sz="0" w:space="0" w:color="auto"/>
        <w:left w:val="none" w:sz="0" w:space="0" w:color="auto"/>
        <w:bottom w:val="none" w:sz="0" w:space="0" w:color="auto"/>
        <w:right w:val="none" w:sz="0" w:space="0" w:color="auto"/>
      </w:divBdr>
    </w:div>
    <w:div w:id="1076823701">
      <w:bodyDiv w:val="1"/>
      <w:marLeft w:val="0"/>
      <w:marRight w:val="0"/>
      <w:marTop w:val="0"/>
      <w:marBottom w:val="0"/>
      <w:divBdr>
        <w:top w:val="none" w:sz="0" w:space="0" w:color="auto"/>
        <w:left w:val="none" w:sz="0" w:space="0" w:color="auto"/>
        <w:bottom w:val="none" w:sz="0" w:space="0" w:color="auto"/>
        <w:right w:val="none" w:sz="0" w:space="0" w:color="auto"/>
      </w:divBdr>
    </w:div>
    <w:div w:id="1077246502">
      <w:bodyDiv w:val="1"/>
      <w:marLeft w:val="0"/>
      <w:marRight w:val="0"/>
      <w:marTop w:val="0"/>
      <w:marBottom w:val="0"/>
      <w:divBdr>
        <w:top w:val="none" w:sz="0" w:space="0" w:color="auto"/>
        <w:left w:val="none" w:sz="0" w:space="0" w:color="auto"/>
        <w:bottom w:val="none" w:sz="0" w:space="0" w:color="auto"/>
        <w:right w:val="none" w:sz="0" w:space="0" w:color="auto"/>
      </w:divBdr>
    </w:div>
    <w:div w:id="1077937806">
      <w:bodyDiv w:val="1"/>
      <w:marLeft w:val="0"/>
      <w:marRight w:val="0"/>
      <w:marTop w:val="0"/>
      <w:marBottom w:val="0"/>
      <w:divBdr>
        <w:top w:val="none" w:sz="0" w:space="0" w:color="auto"/>
        <w:left w:val="none" w:sz="0" w:space="0" w:color="auto"/>
        <w:bottom w:val="none" w:sz="0" w:space="0" w:color="auto"/>
        <w:right w:val="none" w:sz="0" w:space="0" w:color="auto"/>
      </w:divBdr>
    </w:div>
    <w:div w:id="1099058703">
      <w:bodyDiv w:val="1"/>
      <w:marLeft w:val="0"/>
      <w:marRight w:val="0"/>
      <w:marTop w:val="0"/>
      <w:marBottom w:val="0"/>
      <w:divBdr>
        <w:top w:val="none" w:sz="0" w:space="0" w:color="auto"/>
        <w:left w:val="none" w:sz="0" w:space="0" w:color="auto"/>
        <w:bottom w:val="none" w:sz="0" w:space="0" w:color="auto"/>
        <w:right w:val="none" w:sz="0" w:space="0" w:color="auto"/>
      </w:divBdr>
    </w:div>
    <w:div w:id="1101871909">
      <w:bodyDiv w:val="1"/>
      <w:marLeft w:val="0"/>
      <w:marRight w:val="0"/>
      <w:marTop w:val="0"/>
      <w:marBottom w:val="0"/>
      <w:divBdr>
        <w:top w:val="none" w:sz="0" w:space="0" w:color="auto"/>
        <w:left w:val="none" w:sz="0" w:space="0" w:color="auto"/>
        <w:bottom w:val="none" w:sz="0" w:space="0" w:color="auto"/>
        <w:right w:val="none" w:sz="0" w:space="0" w:color="auto"/>
      </w:divBdr>
    </w:div>
    <w:div w:id="1103573638">
      <w:bodyDiv w:val="1"/>
      <w:marLeft w:val="0"/>
      <w:marRight w:val="0"/>
      <w:marTop w:val="0"/>
      <w:marBottom w:val="0"/>
      <w:divBdr>
        <w:top w:val="none" w:sz="0" w:space="0" w:color="auto"/>
        <w:left w:val="none" w:sz="0" w:space="0" w:color="auto"/>
        <w:bottom w:val="none" w:sz="0" w:space="0" w:color="auto"/>
        <w:right w:val="none" w:sz="0" w:space="0" w:color="auto"/>
      </w:divBdr>
    </w:div>
    <w:div w:id="1114711119">
      <w:bodyDiv w:val="1"/>
      <w:marLeft w:val="0"/>
      <w:marRight w:val="0"/>
      <w:marTop w:val="0"/>
      <w:marBottom w:val="0"/>
      <w:divBdr>
        <w:top w:val="none" w:sz="0" w:space="0" w:color="auto"/>
        <w:left w:val="none" w:sz="0" w:space="0" w:color="auto"/>
        <w:bottom w:val="none" w:sz="0" w:space="0" w:color="auto"/>
        <w:right w:val="none" w:sz="0" w:space="0" w:color="auto"/>
      </w:divBdr>
    </w:div>
    <w:div w:id="1121415981">
      <w:bodyDiv w:val="1"/>
      <w:marLeft w:val="0"/>
      <w:marRight w:val="0"/>
      <w:marTop w:val="0"/>
      <w:marBottom w:val="0"/>
      <w:divBdr>
        <w:top w:val="none" w:sz="0" w:space="0" w:color="auto"/>
        <w:left w:val="none" w:sz="0" w:space="0" w:color="auto"/>
        <w:bottom w:val="none" w:sz="0" w:space="0" w:color="auto"/>
        <w:right w:val="none" w:sz="0" w:space="0" w:color="auto"/>
      </w:divBdr>
    </w:div>
    <w:div w:id="1121806894">
      <w:bodyDiv w:val="1"/>
      <w:marLeft w:val="0"/>
      <w:marRight w:val="0"/>
      <w:marTop w:val="0"/>
      <w:marBottom w:val="0"/>
      <w:divBdr>
        <w:top w:val="none" w:sz="0" w:space="0" w:color="auto"/>
        <w:left w:val="none" w:sz="0" w:space="0" w:color="auto"/>
        <w:bottom w:val="none" w:sz="0" w:space="0" w:color="auto"/>
        <w:right w:val="none" w:sz="0" w:space="0" w:color="auto"/>
      </w:divBdr>
    </w:div>
    <w:div w:id="1126773612">
      <w:bodyDiv w:val="1"/>
      <w:marLeft w:val="0"/>
      <w:marRight w:val="0"/>
      <w:marTop w:val="0"/>
      <w:marBottom w:val="0"/>
      <w:divBdr>
        <w:top w:val="none" w:sz="0" w:space="0" w:color="auto"/>
        <w:left w:val="none" w:sz="0" w:space="0" w:color="auto"/>
        <w:bottom w:val="none" w:sz="0" w:space="0" w:color="auto"/>
        <w:right w:val="none" w:sz="0" w:space="0" w:color="auto"/>
      </w:divBdr>
    </w:div>
    <w:div w:id="1130126172">
      <w:bodyDiv w:val="1"/>
      <w:marLeft w:val="0"/>
      <w:marRight w:val="0"/>
      <w:marTop w:val="0"/>
      <w:marBottom w:val="0"/>
      <w:divBdr>
        <w:top w:val="none" w:sz="0" w:space="0" w:color="auto"/>
        <w:left w:val="none" w:sz="0" w:space="0" w:color="auto"/>
        <w:bottom w:val="none" w:sz="0" w:space="0" w:color="auto"/>
        <w:right w:val="none" w:sz="0" w:space="0" w:color="auto"/>
      </w:divBdr>
    </w:div>
    <w:div w:id="1132289593">
      <w:bodyDiv w:val="1"/>
      <w:marLeft w:val="0"/>
      <w:marRight w:val="0"/>
      <w:marTop w:val="0"/>
      <w:marBottom w:val="0"/>
      <w:divBdr>
        <w:top w:val="none" w:sz="0" w:space="0" w:color="auto"/>
        <w:left w:val="none" w:sz="0" w:space="0" w:color="auto"/>
        <w:bottom w:val="none" w:sz="0" w:space="0" w:color="auto"/>
        <w:right w:val="none" w:sz="0" w:space="0" w:color="auto"/>
      </w:divBdr>
    </w:div>
    <w:div w:id="1137917246">
      <w:bodyDiv w:val="1"/>
      <w:marLeft w:val="0"/>
      <w:marRight w:val="0"/>
      <w:marTop w:val="0"/>
      <w:marBottom w:val="0"/>
      <w:divBdr>
        <w:top w:val="none" w:sz="0" w:space="0" w:color="auto"/>
        <w:left w:val="none" w:sz="0" w:space="0" w:color="auto"/>
        <w:bottom w:val="none" w:sz="0" w:space="0" w:color="auto"/>
        <w:right w:val="none" w:sz="0" w:space="0" w:color="auto"/>
      </w:divBdr>
    </w:div>
    <w:div w:id="1147822395">
      <w:bodyDiv w:val="1"/>
      <w:marLeft w:val="0"/>
      <w:marRight w:val="0"/>
      <w:marTop w:val="0"/>
      <w:marBottom w:val="0"/>
      <w:divBdr>
        <w:top w:val="none" w:sz="0" w:space="0" w:color="auto"/>
        <w:left w:val="none" w:sz="0" w:space="0" w:color="auto"/>
        <w:bottom w:val="none" w:sz="0" w:space="0" w:color="auto"/>
        <w:right w:val="none" w:sz="0" w:space="0" w:color="auto"/>
      </w:divBdr>
    </w:div>
    <w:div w:id="1155030934">
      <w:bodyDiv w:val="1"/>
      <w:marLeft w:val="0"/>
      <w:marRight w:val="0"/>
      <w:marTop w:val="0"/>
      <w:marBottom w:val="0"/>
      <w:divBdr>
        <w:top w:val="none" w:sz="0" w:space="0" w:color="auto"/>
        <w:left w:val="none" w:sz="0" w:space="0" w:color="auto"/>
        <w:bottom w:val="none" w:sz="0" w:space="0" w:color="auto"/>
        <w:right w:val="none" w:sz="0" w:space="0" w:color="auto"/>
      </w:divBdr>
    </w:div>
    <w:div w:id="1157380783">
      <w:bodyDiv w:val="1"/>
      <w:marLeft w:val="0"/>
      <w:marRight w:val="0"/>
      <w:marTop w:val="0"/>
      <w:marBottom w:val="0"/>
      <w:divBdr>
        <w:top w:val="none" w:sz="0" w:space="0" w:color="auto"/>
        <w:left w:val="none" w:sz="0" w:space="0" w:color="auto"/>
        <w:bottom w:val="none" w:sz="0" w:space="0" w:color="auto"/>
        <w:right w:val="none" w:sz="0" w:space="0" w:color="auto"/>
      </w:divBdr>
    </w:div>
    <w:div w:id="1164319993">
      <w:bodyDiv w:val="1"/>
      <w:marLeft w:val="0"/>
      <w:marRight w:val="0"/>
      <w:marTop w:val="0"/>
      <w:marBottom w:val="0"/>
      <w:divBdr>
        <w:top w:val="none" w:sz="0" w:space="0" w:color="auto"/>
        <w:left w:val="none" w:sz="0" w:space="0" w:color="auto"/>
        <w:bottom w:val="none" w:sz="0" w:space="0" w:color="auto"/>
        <w:right w:val="none" w:sz="0" w:space="0" w:color="auto"/>
      </w:divBdr>
    </w:div>
    <w:div w:id="1164780808">
      <w:bodyDiv w:val="1"/>
      <w:marLeft w:val="0"/>
      <w:marRight w:val="0"/>
      <w:marTop w:val="0"/>
      <w:marBottom w:val="0"/>
      <w:divBdr>
        <w:top w:val="none" w:sz="0" w:space="0" w:color="auto"/>
        <w:left w:val="none" w:sz="0" w:space="0" w:color="auto"/>
        <w:bottom w:val="none" w:sz="0" w:space="0" w:color="auto"/>
        <w:right w:val="none" w:sz="0" w:space="0" w:color="auto"/>
      </w:divBdr>
    </w:div>
    <w:div w:id="1174764169">
      <w:bodyDiv w:val="1"/>
      <w:marLeft w:val="0"/>
      <w:marRight w:val="0"/>
      <w:marTop w:val="0"/>
      <w:marBottom w:val="0"/>
      <w:divBdr>
        <w:top w:val="none" w:sz="0" w:space="0" w:color="auto"/>
        <w:left w:val="none" w:sz="0" w:space="0" w:color="auto"/>
        <w:bottom w:val="none" w:sz="0" w:space="0" w:color="auto"/>
        <w:right w:val="none" w:sz="0" w:space="0" w:color="auto"/>
      </w:divBdr>
    </w:div>
    <w:div w:id="1191921318">
      <w:bodyDiv w:val="1"/>
      <w:marLeft w:val="0"/>
      <w:marRight w:val="0"/>
      <w:marTop w:val="0"/>
      <w:marBottom w:val="0"/>
      <w:divBdr>
        <w:top w:val="none" w:sz="0" w:space="0" w:color="auto"/>
        <w:left w:val="none" w:sz="0" w:space="0" w:color="auto"/>
        <w:bottom w:val="none" w:sz="0" w:space="0" w:color="auto"/>
        <w:right w:val="none" w:sz="0" w:space="0" w:color="auto"/>
      </w:divBdr>
    </w:div>
    <w:div w:id="1194342004">
      <w:bodyDiv w:val="1"/>
      <w:marLeft w:val="0"/>
      <w:marRight w:val="0"/>
      <w:marTop w:val="0"/>
      <w:marBottom w:val="0"/>
      <w:divBdr>
        <w:top w:val="none" w:sz="0" w:space="0" w:color="auto"/>
        <w:left w:val="none" w:sz="0" w:space="0" w:color="auto"/>
        <w:bottom w:val="none" w:sz="0" w:space="0" w:color="auto"/>
        <w:right w:val="none" w:sz="0" w:space="0" w:color="auto"/>
      </w:divBdr>
    </w:div>
    <w:div w:id="1196239057">
      <w:bodyDiv w:val="1"/>
      <w:marLeft w:val="0"/>
      <w:marRight w:val="0"/>
      <w:marTop w:val="0"/>
      <w:marBottom w:val="0"/>
      <w:divBdr>
        <w:top w:val="none" w:sz="0" w:space="0" w:color="auto"/>
        <w:left w:val="none" w:sz="0" w:space="0" w:color="auto"/>
        <w:bottom w:val="none" w:sz="0" w:space="0" w:color="auto"/>
        <w:right w:val="none" w:sz="0" w:space="0" w:color="auto"/>
      </w:divBdr>
    </w:div>
    <w:div w:id="1210339499">
      <w:bodyDiv w:val="1"/>
      <w:marLeft w:val="0"/>
      <w:marRight w:val="0"/>
      <w:marTop w:val="0"/>
      <w:marBottom w:val="0"/>
      <w:divBdr>
        <w:top w:val="none" w:sz="0" w:space="0" w:color="auto"/>
        <w:left w:val="none" w:sz="0" w:space="0" w:color="auto"/>
        <w:bottom w:val="none" w:sz="0" w:space="0" w:color="auto"/>
        <w:right w:val="none" w:sz="0" w:space="0" w:color="auto"/>
      </w:divBdr>
    </w:div>
    <w:div w:id="1215963709">
      <w:bodyDiv w:val="1"/>
      <w:marLeft w:val="0"/>
      <w:marRight w:val="0"/>
      <w:marTop w:val="0"/>
      <w:marBottom w:val="0"/>
      <w:divBdr>
        <w:top w:val="none" w:sz="0" w:space="0" w:color="auto"/>
        <w:left w:val="none" w:sz="0" w:space="0" w:color="auto"/>
        <w:bottom w:val="none" w:sz="0" w:space="0" w:color="auto"/>
        <w:right w:val="none" w:sz="0" w:space="0" w:color="auto"/>
      </w:divBdr>
    </w:div>
    <w:div w:id="1217089543">
      <w:bodyDiv w:val="1"/>
      <w:marLeft w:val="0"/>
      <w:marRight w:val="0"/>
      <w:marTop w:val="0"/>
      <w:marBottom w:val="0"/>
      <w:divBdr>
        <w:top w:val="none" w:sz="0" w:space="0" w:color="auto"/>
        <w:left w:val="none" w:sz="0" w:space="0" w:color="auto"/>
        <w:bottom w:val="none" w:sz="0" w:space="0" w:color="auto"/>
        <w:right w:val="none" w:sz="0" w:space="0" w:color="auto"/>
      </w:divBdr>
    </w:div>
    <w:div w:id="1221985055">
      <w:bodyDiv w:val="1"/>
      <w:marLeft w:val="0"/>
      <w:marRight w:val="0"/>
      <w:marTop w:val="0"/>
      <w:marBottom w:val="0"/>
      <w:divBdr>
        <w:top w:val="none" w:sz="0" w:space="0" w:color="auto"/>
        <w:left w:val="none" w:sz="0" w:space="0" w:color="auto"/>
        <w:bottom w:val="none" w:sz="0" w:space="0" w:color="auto"/>
        <w:right w:val="none" w:sz="0" w:space="0" w:color="auto"/>
      </w:divBdr>
    </w:div>
    <w:div w:id="1229730221">
      <w:bodyDiv w:val="1"/>
      <w:marLeft w:val="0"/>
      <w:marRight w:val="0"/>
      <w:marTop w:val="0"/>
      <w:marBottom w:val="0"/>
      <w:divBdr>
        <w:top w:val="none" w:sz="0" w:space="0" w:color="auto"/>
        <w:left w:val="none" w:sz="0" w:space="0" w:color="auto"/>
        <w:bottom w:val="none" w:sz="0" w:space="0" w:color="auto"/>
        <w:right w:val="none" w:sz="0" w:space="0" w:color="auto"/>
      </w:divBdr>
    </w:div>
    <w:div w:id="1230921079">
      <w:bodyDiv w:val="1"/>
      <w:marLeft w:val="0"/>
      <w:marRight w:val="0"/>
      <w:marTop w:val="0"/>
      <w:marBottom w:val="0"/>
      <w:divBdr>
        <w:top w:val="none" w:sz="0" w:space="0" w:color="auto"/>
        <w:left w:val="none" w:sz="0" w:space="0" w:color="auto"/>
        <w:bottom w:val="none" w:sz="0" w:space="0" w:color="auto"/>
        <w:right w:val="none" w:sz="0" w:space="0" w:color="auto"/>
      </w:divBdr>
    </w:div>
    <w:div w:id="1240403395">
      <w:bodyDiv w:val="1"/>
      <w:marLeft w:val="0"/>
      <w:marRight w:val="0"/>
      <w:marTop w:val="0"/>
      <w:marBottom w:val="0"/>
      <w:divBdr>
        <w:top w:val="none" w:sz="0" w:space="0" w:color="auto"/>
        <w:left w:val="none" w:sz="0" w:space="0" w:color="auto"/>
        <w:bottom w:val="none" w:sz="0" w:space="0" w:color="auto"/>
        <w:right w:val="none" w:sz="0" w:space="0" w:color="auto"/>
      </w:divBdr>
    </w:div>
    <w:div w:id="1240678616">
      <w:bodyDiv w:val="1"/>
      <w:marLeft w:val="0"/>
      <w:marRight w:val="0"/>
      <w:marTop w:val="0"/>
      <w:marBottom w:val="0"/>
      <w:divBdr>
        <w:top w:val="none" w:sz="0" w:space="0" w:color="auto"/>
        <w:left w:val="none" w:sz="0" w:space="0" w:color="auto"/>
        <w:bottom w:val="none" w:sz="0" w:space="0" w:color="auto"/>
        <w:right w:val="none" w:sz="0" w:space="0" w:color="auto"/>
      </w:divBdr>
    </w:div>
    <w:div w:id="1243831594">
      <w:bodyDiv w:val="1"/>
      <w:marLeft w:val="0"/>
      <w:marRight w:val="0"/>
      <w:marTop w:val="0"/>
      <w:marBottom w:val="0"/>
      <w:divBdr>
        <w:top w:val="none" w:sz="0" w:space="0" w:color="auto"/>
        <w:left w:val="none" w:sz="0" w:space="0" w:color="auto"/>
        <w:bottom w:val="none" w:sz="0" w:space="0" w:color="auto"/>
        <w:right w:val="none" w:sz="0" w:space="0" w:color="auto"/>
      </w:divBdr>
    </w:div>
    <w:div w:id="1248998766">
      <w:bodyDiv w:val="1"/>
      <w:marLeft w:val="0"/>
      <w:marRight w:val="0"/>
      <w:marTop w:val="0"/>
      <w:marBottom w:val="0"/>
      <w:divBdr>
        <w:top w:val="none" w:sz="0" w:space="0" w:color="auto"/>
        <w:left w:val="none" w:sz="0" w:space="0" w:color="auto"/>
        <w:bottom w:val="none" w:sz="0" w:space="0" w:color="auto"/>
        <w:right w:val="none" w:sz="0" w:space="0" w:color="auto"/>
      </w:divBdr>
    </w:div>
    <w:div w:id="1255436178">
      <w:bodyDiv w:val="1"/>
      <w:marLeft w:val="0"/>
      <w:marRight w:val="0"/>
      <w:marTop w:val="0"/>
      <w:marBottom w:val="0"/>
      <w:divBdr>
        <w:top w:val="none" w:sz="0" w:space="0" w:color="auto"/>
        <w:left w:val="none" w:sz="0" w:space="0" w:color="auto"/>
        <w:bottom w:val="none" w:sz="0" w:space="0" w:color="auto"/>
        <w:right w:val="none" w:sz="0" w:space="0" w:color="auto"/>
      </w:divBdr>
    </w:div>
    <w:div w:id="1274484604">
      <w:bodyDiv w:val="1"/>
      <w:marLeft w:val="0"/>
      <w:marRight w:val="0"/>
      <w:marTop w:val="0"/>
      <w:marBottom w:val="0"/>
      <w:divBdr>
        <w:top w:val="none" w:sz="0" w:space="0" w:color="auto"/>
        <w:left w:val="none" w:sz="0" w:space="0" w:color="auto"/>
        <w:bottom w:val="none" w:sz="0" w:space="0" w:color="auto"/>
        <w:right w:val="none" w:sz="0" w:space="0" w:color="auto"/>
      </w:divBdr>
    </w:div>
    <w:div w:id="1281455188">
      <w:bodyDiv w:val="1"/>
      <w:marLeft w:val="0"/>
      <w:marRight w:val="0"/>
      <w:marTop w:val="0"/>
      <w:marBottom w:val="0"/>
      <w:divBdr>
        <w:top w:val="none" w:sz="0" w:space="0" w:color="auto"/>
        <w:left w:val="none" w:sz="0" w:space="0" w:color="auto"/>
        <w:bottom w:val="none" w:sz="0" w:space="0" w:color="auto"/>
        <w:right w:val="none" w:sz="0" w:space="0" w:color="auto"/>
      </w:divBdr>
    </w:div>
    <w:div w:id="1282762833">
      <w:bodyDiv w:val="1"/>
      <w:marLeft w:val="0"/>
      <w:marRight w:val="0"/>
      <w:marTop w:val="0"/>
      <w:marBottom w:val="0"/>
      <w:divBdr>
        <w:top w:val="none" w:sz="0" w:space="0" w:color="auto"/>
        <w:left w:val="none" w:sz="0" w:space="0" w:color="auto"/>
        <w:bottom w:val="none" w:sz="0" w:space="0" w:color="auto"/>
        <w:right w:val="none" w:sz="0" w:space="0" w:color="auto"/>
      </w:divBdr>
    </w:div>
    <w:div w:id="1293946717">
      <w:bodyDiv w:val="1"/>
      <w:marLeft w:val="0"/>
      <w:marRight w:val="0"/>
      <w:marTop w:val="0"/>
      <w:marBottom w:val="0"/>
      <w:divBdr>
        <w:top w:val="none" w:sz="0" w:space="0" w:color="auto"/>
        <w:left w:val="none" w:sz="0" w:space="0" w:color="auto"/>
        <w:bottom w:val="none" w:sz="0" w:space="0" w:color="auto"/>
        <w:right w:val="none" w:sz="0" w:space="0" w:color="auto"/>
      </w:divBdr>
    </w:div>
    <w:div w:id="1298339661">
      <w:bodyDiv w:val="1"/>
      <w:marLeft w:val="0"/>
      <w:marRight w:val="0"/>
      <w:marTop w:val="0"/>
      <w:marBottom w:val="0"/>
      <w:divBdr>
        <w:top w:val="none" w:sz="0" w:space="0" w:color="auto"/>
        <w:left w:val="none" w:sz="0" w:space="0" w:color="auto"/>
        <w:bottom w:val="none" w:sz="0" w:space="0" w:color="auto"/>
        <w:right w:val="none" w:sz="0" w:space="0" w:color="auto"/>
      </w:divBdr>
    </w:div>
    <w:div w:id="1304236699">
      <w:bodyDiv w:val="1"/>
      <w:marLeft w:val="0"/>
      <w:marRight w:val="0"/>
      <w:marTop w:val="0"/>
      <w:marBottom w:val="0"/>
      <w:divBdr>
        <w:top w:val="none" w:sz="0" w:space="0" w:color="auto"/>
        <w:left w:val="none" w:sz="0" w:space="0" w:color="auto"/>
        <w:bottom w:val="none" w:sz="0" w:space="0" w:color="auto"/>
        <w:right w:val="none" w:sz="0" w:space="0" w:color="auto"/>
      </w:divBdr>
      <w:divsChild>
        <w:div w:id="1695183091">
          <w:marLeft w:val="0"/>
          <w:marRight w:val="0"/>
          <w:marTop w:val="0"/>
          <w:marBottom w:val="0"/>
          <w:divBdr>
            <w:top w:val="none" w:sz="0" w:space="0" w:color="auto"/>
            <w:left w:val="none" w:sz="0" w:space="0" w:color="auto"/>
            <w:bottom w:val="none" w:sz="0" w:space="0" w:color="auto"/>
            <w:right w:val="none" w:sz="0" w:space="0" w:color="auto"/>
          </w:divBdr>
          <w:divsChild>
            <w:div w:id="1890149335">
              <w:marLeft w:val="0"/>
              <w:marRight w:val="0"/>
              <w:marTop w:val="0"/>
              <w:marBottom w:val="0"/>
              <w:divBdr>
                <w:top w:val="none" w:sz="0" w:space="0" w:color="auto"/>
                <w:left w:val="none" w:sz="0" w:space="0" w:color="auto"/>
                <w:bottom w:val="none" w:sz="0" w:space="0" w:color="auto"/>
                <w:right w:val="none" w:sz="0" w:space="0" w:color="auto"/>
              </w:divBdr>
              <w:divsChild>
                <w:div w:id="1513639984">
                  <w:marLeft w:val="0"/>
                  <w:marRight w:val="0"/>
                  <w:marTop w:val="0"/>
                  <w:marBottom w:val="0"/>
                  <w:divBdr>
                    <w:top w:val="none" w:sz="0" w:space="0" w:color="auto"/>
                    <w:left w:val="none" w:sz="0" w:space="0" w:color="auto"/>
                    <w:bottom w:val="none" w:sz="0" w:space="0" w:color="auto"/>
                    <w:right w:val="none" w:sz="0" w:space="0" w:color="auto"/>
                  </w:divBdr>
                  <w:divsChild>
                    <w:div w:id="199800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89907">
      <w:bodyDiv w:val="1"/>
      <w:marLeft w:val="0"/>
      <w:marRight w:val="0"/>
      <w:marTop w:val="0"/>
      <w:marBottom w:val="0"/>
      <w:divBdr>
        <w:top w:val="none" w:sz="0" w:space="0" w:color="auto"/>
        <w:left w:val="none" w:sz="0" w:space="0" w:color="auto"/>
        <w:bottom w:val="none" w:sz="0" w:space="0" w:color="auto"/>
        <w:right w:val="none" w:sz="0" w:space="0" w:color="auto"/>
      </w:divBdr>
    </w:div>
    <w:div w:id="1327397998">
      <w:bodyDiv w:val="1"/>
      <w:marLeft w:val="0"/>
      <w:marRight w:val="0"/>
      <w:marTop w:val="0"/>
      <w:marBottom w:val="0"/>
      <w:divBdr>
        <w:top w:val="none" w:sz="0" w:space="0" w:color="auto"/>
        <w:left w:val="none" w:sz="0" w:space="0" w:color="auto"/>
        <w:bottom w:val="none" w:sz="0" w:space="0" w:color="auto"/>
        <w:right w:val="none" w:sz="0" w:space="0" w:color="auto"/>
      </w:divBdr>
    </w:div>
    <w:div w:id="1329139382">
      <w:bodyDiv w:val="1"/>
      <w:marLeft w:val="0"/>
      <w:marRight w:val="0"/>
      <w:marTop w:val="0"/>
      <w:marBottom w:val="0"/>
      <w:divBdr>
        <w:top w:val="none" w:sz="0" w:space="0" w:color="auto"/>
        <w:left w:val="none" w:sz="0" w:space="0" w:color="auto"/>
        <w:bottom w:val="none" w:sz="0" w:space="0" w:color="auto"/>
        <w:right w:val="none" w:sz="0" w:space="0" w:color="auto"/>
      </w:divBdr>
    </w:div>
    <w:div w:id="1332218707">
      <w:bodyDiv w:val="1"/>
      <w:marLeft w:val="0"/>
      <w:marRight w:val="0"/>
      <w:marTop w:val="0"/>
      <w:marBottom w:val="0"/>
      <w:divBdr>
        <w:top w:val="none" w:sz="0" w:space="0" w:color="auto"/>
        <w:left w:val="none" w:sz="0" w:space="0" w:color="auto"/>
        <w:bottom w:val="none" w:sz="0" w:space="0" w:color="auto"/>
        <w:right w:val="none" w:sz="0" w:space="0" w:color="auto"/>
      </w:divBdr>
    </w:div>
    <w:div w:id="1341666338">
      <w:bodyDiv w:val="1"/>
      <w:marLeft w:val="0"/>
      <w:marRight w:val="0"/>
      <w:marTop w:val="0"/>
      <w:marBottom w:val="0"/>
      <w:divBdr>
        <w:top w:val="none" w:sz="0" w:space="0" w:color="auto"/>
        <w:left w:val="none" w:sz="0" w:space="0" w:color="auto"/>
        <w:bottom w:val="none" w:sz="0" w:space="0" w:color="auto"/>
        <w:right w:val="none" w:sz="0" w:space="0" w:color="auto"/>
      </w:divBdr>
    </w:div>
    <w:div w:id="1352296047">
      <w:bodyDiv w:val="1"/>
      <w:marLeft w:val="0"/>
      <w:marRight w:val="0"/>
      <w:marTop w:val="0"/>
      <w:marBottom w:val="0"/>
      <w:divBdr>
        <w:top w:val="none" w:sz="0" w:space="0" w:color="auto"/>
        <w:left w:val="none" w:sz="0" w:space="0" w:color="auto"/>
        <w:bottom w:val="none" w:sz="0" w:space="0" w:color="auto"/>
        <w:right w:val="none" w:sz="0" w:space="0" w:color="auto"/>
      </w:divBdr>
    </w:div>
    <w:div w:id="1356731070">
      <w:bodyDiv w:val="1"/>
      <w:marLeft w:val="0"/>
      <w:marRight w:val="0"/>
      <w:marTop w:val="0"/>
      <w:marBottom w:val="0"/>
      <w:divBdr>
        <w:top w:val="none" w:sz="0" w:space="0" w:color="auto"/>
        <w:left w:val="none" w:sz="0" w:space="0" w:color="auto"/>
        <w:bottom w:val="none" w:sz="0" w:space="0" w:color="auto"/>
        <w:right w:val="none" w:sz="0" w:space="0" w:color="auto"/>
      </w:divBdr>
    </w:div>
    <w:div w:id="1373310999">
      <w:bodyDiv w:val="1"/>
      <w:marLeft w:val="0"/>
      <w:marRight w:val="0"/>
      <w:marTop w:val="0"/>
      <w:marBottom w:val="0"/>
      <w:divBdr>
        <w:top w:val="none" w:sz="0" w:space="0" w:color="auto"/>
        <w:left w:val="none" w:sz="0" w:space="0" w:color="auto"/>
        <w:bottom w:val="none" w:sz="0" w:space="0" w:color="auto"/>
        <w:right w:val="none" w:sz="0" w:space="0" w:color="auto"/>
      </w:divBdr>
    </w:div>
    <w:div w:id="1381830611">
      <w:bodyDiv w:val="1"/>
      <w:marLeft w:val="0"/>
      <w:marRight w:val="0"/>
      <w:marTop w:val="0"/>
      <w:marBottom w:val="0"/>
      <w:divBdr>
        <w:top w:val="none" w:sz="0" w:space="0" w:color="auto"/>
        <w:left w:val="none" w:sz="0" w:space="0" w:color="auto"/>
        <w:bottom w:val="none" w:sz="0" w:space="0" w:color="auto"/>
        <w:right w:val="none" w:sz="0" w:space="0" w:color="auto"/>
      </w:divBdr>
    </w:div>
    <w:div w:id="1410809887">
      <w:bodyDiv w:val="1"/>
      <w:marLeft w:val="0"/>
      <w:marRight w:val="0"/>
      <w:marTop w:val="0"/>
      <w:marBottom w:val="0"/>
      <w:divBdr>
        <w:top w:val="none" w:sz="0" w:space="0" w:color="auto"/>
        <w:left w:val="none" w:sz="0" w:space="0" w:color="auto"/>
        <w:bottom w:val="none" w:sz="0" w:space="0" w:color="auto"/>
        <w:right w:val="none" w:sz="0" w:space="0" w:color="auto"/>
      </w:divBdr>
    </w:div>
    <w:div w:id="1412891154">
      <w:bodyDiv w:val="1"/>
      <w:marLeft w:val="0"/>
      <w:marRight w:val="0"/>
      <w:marTop w:val="0"/>
      <w:marBottom w:val="0"/>
      <w:divBdr>
        <w:top w:val="none" w:sz="0" w:space="0" w:color="auto"/>
        <w:left w:val="none" w:sz="0" w:space="0" w:color="auto"/>
        <w:bottom w:val="none" w:sz="0" w:space="0" w:color="auto"/>
        <w:right w:val="none" w:sz="0" w:space="0" w:color="auto"/>
      </w:divBdr>
    </w:div>
    <w:div w:id="1419911301">
      <w:bodyDiv w:val="1"/>
      <w:marLeft w:val="0"/>
      <w:marRight w:val="0"/>
      <w:marTop w:val="0"/>
      <w:marBottom w:val="0"/>
      <w:divBdr>
        <w:top w:val="none" w:sz="0" w:space="0" w:color="auto"/>
        <w:left w:val="none" w:sz="0" w:space="0" w:color="auto"/>
        <w:bottom w:val="none" w:sz="0" w:space="0" w:color="auto"/>
        <w:right w:val="none" w:sz="0" w:space="0" w:color="auto"/>
      </w:divBdr>
    </w:div>
    <w:div w:id="1427994734">
      <w:bodyDiv w:val="1"/>
      <w:marLeft w:val="0"/>
      <w:marRight w:val="0"/>
      <w:marTop w:val="0"/>
      <w:marBottom w:val="0"/>
      <w:divBdr>
        <w:top w:val="none" w:sz="0" w:space="0" w:color="auto"/>
        <w:left w:val="none" w:sz="0" w:space="0" w:color="auto"/>
        <w:bottom w:val="none" w:sz="0" w:space="0" w:color="auto"/>
        <w:right w:val="none" w:sz="0" w:space="0" w:color="auto"/>
      </w:divBdr>
    </w:div>
    <w:div w:id="1428228242">
      <w:bodyDiv w:val="1"/>
      <w:marLeft w:val="0"/>
      <w:marRight w:val="0"/>
      <w:marTop w:val="0"/>
      <w:marBottom w:val="0"/>
      <w:divBdr>
        <w:top w:val="none" w:sz="0" w:space="0" w:color="auto"/>
        <w:left w:val="none" w:sz="0" w:space="0" w:color="auto"/>
        <w:bottom w:val="none" w:sz="0" w:space="0" w:color="auto"/>
        <w:right w:val="none" w:sz="0" w:space="0" w:color="auto"/>
      </w:divBdr>
    </w:div>
    <w:div w:id="1436369384">
      <w:bodyDiv w:val="1"/>
      <w:marLeft w:val="0"/>
      <w:marRight w:val="0"/>
      <w:marTop w:val="0"/>
      <w:marBottom w:val="0"/>
      <w:divBdr>
        <w:top w:val="none" w:sz="0" w:space="0" w:color="auto"/>
        <w:left w:val="none" w:sz="0" w:space="0" w:color="auto"/>
        <w:bottom w:val="none" w:sz="0" w:space="0" w:color="auto"/>
        <w:right w:val="none" w:sz="0" w:space="0" w:color="auto"/>
      </w:divBdr>
    </w:div>
    <w:div w:id="1443761550">
      <w:bodyDiv w:val="1"/>
      <w:marLeft w:val="0"/>
      <w:marRight w:val="0"/>
      <w:marTop w:val="0"/>
      <w:marBottom w:val="0"/>
      <w:divBdr>
        <w:top w:val="none" w:sz="0" w:space="0" w:color="auto"/>
        <w:left w:val="none" w:sz="0" w:space="0" w:color="auto"/>
        <w:bottom w:val="none" w:sz="0" w:space="0" w:color="auto"/>
        <w:right w:val="none" w:sz="0" w:space="0" w:color="auto"/>
      </w:divBdr>
    </w:div>
    <w:div w:id="1453864773">
      <w:bodyDiv w:val="1"/>
      <w:marLeft w:val="0"/>
      <w:marRight w:val="0"/>
      <w:marTop w:val="0"/>
      <w:marBottom w:val="0"/>
      <w:divBdr>
        <w:top w:val="none" w:sz="0" w:space="0" w:color="auto"/>
        <w:left w:val="none" w:sz="0" w:space="0" w:color="auto"/>
        <w:bottom w:val="none" w:sz="0" w:space="0" w:color="auto"/>
        <w:right w:val="none" w:sz="0" w:space="0" w:color="auto"/>
      </w:divBdr>
    </w:div>
    <w:div w:id="1469590252">
      <w:bodyDiv w:val="1"/>
      <w:marLeft w:val="0"/>
      <w:marRight w:val="0"/>
      <w:marTop w:val="0"/>
      <w:marBottom w:val="0"/>
      <w:divBdr>
        <w:top w:val="none" w:sz="0" w:space="0" w:color="auto"/>
        <w:left w:val="none" w:sz="0" w:space="0" w:color="auto"/>
        <w:bottom w:val="none" w:sz="0" w:space="0" w:color="auto"/>
        <w:right w:val="none" w:sz="0" w:space="0" w:color="auto"/>
      </w:divBdr>
    </w:div>
    <w:div w:id="1473644321">
      <w:bodyDiv w:val="1"/>
      <w:marLeft w:val="0"/>
      <w:marRight w:val="0"/>
      <w:marTop w:val="0"/>
      <w:marBottom w:val="0"/>
      <w:divBdr>
        <w:top w:val="none" w:sz="0" w:space="0" w:color="auto"/>
        <w:left w:val="none" w:sz="0" w:space="0" w:color="auto"/>
        <w:bottom w:val="none" w:sz="0" w:space="0" w:color="auto"/>
        <w:right w:val="none" w:sz="0" w:space="0" w:color="auto"/>
      </w:divBdr>
    </w:div>
    <w:div w:id="1500543136">
      <w:bodyDiv w:val="1"/>
      <w:marLeft w:val="0"/>
      <w:marRight w:val="0"/>
      <w:marTop w:val="0"/>
      <w:marBottom w:val="0"/>
      <w:divBdr>
        <w:top w:val="none" w:sz="0" w:space="0" w:color="auto"/>
        <w:left w:val="none" w:sz="0" w:space="0" w:color="auto"/>
        <w:bottom w:val="none" w:sz="0" w:space="0" w:color="auto"/>
        <w:right w:val="none" w:sz="0" w:space="0" w:color="auto"/>
      </w:divBdr>
    </w:div>
    <w:div w:id="1503280325">
      <w:bodyDiv w:val="1"/>
      <w:marLeft w:val="0"/>
      <w:marRight w:val="0"/>
      <w:marTop w:val="0"/>
      <w:marBottom w:val="0"/>
      <w:divBdr>
        <w:top w:val="none" w:sz="0" w:space="0" w:color="auto"/>
        <w:left w:val="none" w:sz="0" w:space="0" w:color="auto"/>
        <w:bottom w:val="none" w:sz="0" w:space="0" w:color="auto"/>
        <w:right w:val="none" w:sz="0" w:space="0" w:color="auto"/>
      </w:divBdr>
    </w:div>
    <w:div w:id="1508522281">
      <w:bodyDiv w:val="1"/>
      <w:marLeft w:val="0"/>
      <w:marRight w:val="0"/>
      <w:marTop w:val="0"/>
      <w:marBottom w:val="0"/>
      <w:divBdr>
        <w:top w:val="none" w:sz="0" w:space="0" w:color="auto"/>
        <w:left w:val="none" w:sz="0" w:space="0" w:color="auto"/>
        <w:bottom w:val="none" w:sz="0" w:space="0" w:color="auto"/>
        <w:right w:val="none" w:sz="0" w:space="0" w:color="auto"/>
      </w:divBdr>
      <w:divsChild>
        <w:div w:id="377121036">
          <w:marLeft w:val="0"/>
          <w:marRight w:val="0"/>
          <w:marTop w:val="0"/>
          <w:marBottom w:val="0"/>
          <w:divBdr>
            <w:top w:val="none" w:sz="0" w:space="0" w:color="auto"/>
            <w:left w:val="none" w:sz="0" w:space="0" w:color="auto"/>
            <w:bottom w:val="none" w:sz="0" w:space="0" w:color="auto"/>
            <w:right w:val="none" w:sz="0" w:space="0" w:color="auto"/>
          </w:divBdr>
          <w:divsChild>
            <w:div w:id="1824737032">
              <w:marLeft w:val="0"/>
              <w:marRight w:val="75"/>
              <w:marTop w:val="75"/>
              <w:marBottom w:val="75"/>
              <w:divBdr>
                <w:top w:val="none" w:sz="0" w:space="0" w:color="auto"/>
                <w:left w:val="none" w:sz="0" w:space="0" w:color="auto"/>
                <w:bottom w:val="none" w:sz="0" w:space="0" w:color="auto"/>
                <w:right w:val="none" w:sz="0" w:space="0" w:color="auto"/>
              </w:divBdr>
            </w:div>
          </w:divsChild>
        </w:div>
        <w:div w:id="822896863">
          <w:marLeft w:val="0"/>
          <w:marRight w:val="0"/>
          <w:marTop w:val="0"/>
          <w:marBottom w:val="0"/>
          <w:divBdr>
            <w:top w:val="none" w:sz="0" w:space="0" w:color="auto"/>
            <w:left w:val="none" w:sz="0" w:space="0" w:color="auto"/>
            <w:bottom w:val="none" w:sz="0" w:space="0" w:color="auto"/>
            <w:right w:val="none" w:sz="0" w:space="0" w:color="auto"/>
          </w:divBdr>
          <w:divsChild>
            <w:div w:id="7648822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11872877">
      <w:bodyDiv w:val="1"/>
      <w:marLeft w:val="0"/>
      <w:marRight w:val="0"/>
      <w:marTop w:val="0"/>
      <w:marBottom w:val="0"/>
      <w:divBdr>
        <w:top w:val="none" w:sz="0" w:space="0" w:color="auto"/>
        <w:left w:val="none" w:sz="0" w:space="0" w:color="auto"/>
        <w:bottom w:val="none" w:sz="0" w:space="0" w:color="auto"/>
        <w:right w:val="none" w:sz="0" w:space="0" w:color="auto"/>
      </w:divBdr>
    </w:div>
    <w:div w:id="1513642219">
      <w:bodyDiv w:val="1"/>
      <w:marLeft w:val="0"/>
      <w:marRight w:val="0"/>
      <w:marTop w:val="0"/>
      <w:marBottom w:val="0"/>
      <w:divBdr>
        <w:top w:val="none" w:sz="0" w:space="0" w:color="auto"/>
        <w:left w:val="none" w:sz="0" w:space="0" w:color="auto"/>
        <w:bottom w:val="none" w:sz="0" w:space="0" w:color="auto"/>
        <w:right w:val="none" w:sz="0" w:space="0" w:color="auto"/>
      </w:divBdr>
    </w:div>
    <w:div w:id="1514565948">
      <w:bodyDiv w:val="1"/>
      <w:marLeft w:val="0"/>
      <w:marRight w:val="0"/>
      <w:marTop w:val="0"/>
      <w:marBottom w:val="0"/>
      <w:divBdr>
        <w:top w:val="none" w:sz="0" w:space="0" w:color="auto"/>
        <w:left w:val="none" w:sz="0" w:space="0" w:color="auto"/>
        <w:bottom w:val="none" w:sz="0" w:space="0" w:color="auto"/>
        <w:right w:val="none" w:sz="0" w:space="0" w:color="auto"/>
      </w:divBdr>
    </w:div>
    <w:div w:id="1517452987">
      <w:bodyDiv w:val="1"/>
      <w:marLeft w:val="0"/>
      <w:marRight w:val="0"/>
      <w:marTop w:val="0"/>
      <w:marBottom w:val="0"/>
      <w:divBdr>
        <w:top w:val="none" w:sz="0" w:space="0" w:color="auto"/>
        <w:left w:val="none" w:sz="0" w:space="0" w:color="auto"/>
        <w:bottom w:val="none" w:sz="0" w:space="0" w:color="auto"/>
        <w:right w:val="none" w:sz="0" w:space="0" w:color="auto"/>
      </w:divBdr>
    </w:div>
    <w:div w:id="1519388663">
      <w:bodyDiv w:val="1"/>
      <w:marLeft w:val="0"/>
      <w:marRight w:val="0"/>
      <w:marTop w:val="0"/>
      <w:marBottom w:val="0"/>
      <w:divBdr>
        <w:top w:val="none" w:sz="0" w:space="0" w:color="auto"/>
        <w:left w:val="none" w:sz="0" w:space="0" w:color="auto"/>
        <w:bottom w:val="none" w:sz="0" w:space="0" w:color="auto"/>
        <w:right w:val="none" w:sz="0" w:space="0" w:color="auto"/>
      </w:divBdr>
    </w:div>
    <w:div w:id="1534687807">
      <w:bodyDiv w:val="1"/>
      <w:marLeft w:val="0"/>
      <w:marRight w:val="0"/>
      <w:marTop w:val="0"/>
      <w:marBottom w:val="0"/>
      <w:divBdr>
        <w:top w:val="none" w:sz="0" w:space="0" w:color="auto"/>
        <w:left w:val="none" w:sz="0" w:space="0" w:color="auto"/>
        <w:bottom w:val="none" w:sz="0" w:space="0" w:color="auto"/>
        <w:right w:val="none" w:sz="0" w:space="0" w:color="auto"/>
      </w:divBdr>
    </w:div>
    <w:div w:id="1538276455">
      <w:bodyDiv w:val="1"/>
      <w:marLeft w:val="0"/>
      <w:marRight w:val="0"/>
      <w:marTop w:val="0"/>
      <w:marBottom w:val="0"/>
      <w:divBdr>
        <w:top w:val="none" w:sz="0" w:space="0" w:color="auto"/>
        <w:left w:val="none" w:sz="0" w:space="0" w:color="auto"/>
        <w:bottom w:val="none" w:sz="0" w:space="0" w:color="auto"/>
        <w:right w:val="none" w:sz="0" w:space="0" w:color="auto"/>
      </w:divBdr>
    </w:div>
    <w:div w:id="1540631696">
      <w:bodyDiv w:val="1"/>
      <w:marLeft w:val="0"/>
      <w:marRight w:val="0"/>
      <w:marTop w:val="0"/>
      <w:marBottom w:val="0"/>
      <w:divBdr>
        <w:top w:val="none" w:sz="0" w:space="0" w:color="auto"/>
        <w:left w:val="none" w:sz="0" w:space="0" w:color="auto"/>
        <w:bottom w:val="none" w:sz="0" w:space="0" w:color="auto"/>
        <w:right w:val="none" w:sz="0" w:space="0" w:color="auto"/>
      </w:divBdr>
    </w:div>
    <w:div w:id="1541550574">
      <w:bodyDiv w:val="1"/>
      <w:marLeft w:val="0"/>
      <w:marRight w:val="0"/>
      <w:marTop w:val="0"/>
      <w:marBottom w:val="0"/>
      <w:divBdr>
        <w:top w:val="none" w:sz="0" w:space="0" w:color="auto"/>
        <w:left w:val="none" w:sz="0" w:space="0" w:color="auto"/>
        <w:bottom w:val="none" w:sz="0" w:space="0" w:color="auto"/>
        <w:right w:val="none" w:sz="0" w:space="0" w:color="auto"/>
      </w:divBdr>
    </w:div>
    <w:div w:id="1552306876">
      <w:bodyDiv w:val="1"/>
      <w:marLeft w:val="0"/>
      <w:marRight w:val="0"/>
      <w:marTop w:val="0"/>
      <w:marBottom w:val="0"/>
      <w:divBdr>
        <w:top w:val="none" w:sz="0" w:space="0" w:color="auto"/>
        <w:left w:val="none" w:sz="0" w:space="0" w:color="auto"/>
        <w:bottom w:val="none" w:sz="0" w:space="0" w:color="auto"/>
        <w:right w:val="none" w:sz="0" w:space="0" w:color="auto"/>
      </w:divBdr>
    </w:div>
    <w:div w:id="1555235318">
      <w:bodyDiv w:val="1"/>
      <w:marLeft w:val="0"/>
      <w:marRight w:val="0"/>
      <w:marTop w:val="0"/>
      <w:marBottom w:val="0"/>
      <w:divBdr>
        <w:top w:val="none" w:sz="0" w:space="0" w:color="auto"/>
        <w:left w:val="none" w:sz="0" w:space="0" w:color="auto"/>
        <w:bottom w:val="none" w:sz="0" w:space="0" w:color="auto"/>
        <w:right w:val="none" w:sz="0" w:space="0" w:color="auto"/>
      </w:divBdr>
    </w:div>
    <w:div w:id="1556500886">
      <w:bodyDiv w:val="1"/>
      <w:marLeft w:val="0"/>
      <w:marRight w:val="0"/>
      <w:marTop w:val="0"/>
      <w:marBottom w:val="0"/>
      <w:divBdr>
        <w:top w:val="none" w:sz="0" w:space="0" w:color="auto"/>
        <w:left w:val="none" w:sz="0" w:space="0" w:color="auto"/>
        <w:bottom w:val="none" w:sz="0" w:space="0" w:color="auto"/>
        <w:right w:val="none" w:sz="0" w:space="0" w:color="auto"/>
      </w:divBdr>
    </w:div>
    <w:div w:id="1557011119">
      <w:bodyDiv w:val="1"/>
      <w:marLeft w:val="0"/>
      <w:marRight w:val="0"/>
      <w:marTop w:val="0"/>
      <w:marBottom w:val="0"/>
      <w:divBdr>
        <w:top w:val="none" w:sz="0" w:space="0" w:color="auto"/>
        <w:left w:val="none" w:sz="0" w:space="0" w:color="auto"/>
        <w:bottom w:val="none" w:sz="0" w:space="0" w:color="auto"/>
        <w:right w:val="none" w:sz="0" w:space="0" w:color="auto"/>
      </w:divBdr>
    </w:div>
    <w:div w:id="1563324880">
      <w:bodyDiv w:val="1"/>
      <w:marLeft w:val="0"/>
      <w:marRight w:val="0"/>
      <w:marTop w:val="0"/>
      <w:marBottom w:val="0"/>
      <w:divBdr>
        <w:top w:val="none" w:sz="0" w:space="0" w:color="auto"/>
        <w:left w:val="none" w:sz="0" w:space="0" w:color="auto"/>
        <w:bottom w:val="none" w:sz="0" w:space="0" w:color="auto"/>
        <w:right w:val="none" w:sz="0" w:space="0" w:color="auto"/>
      </w:divBdr>
    </w:div>
    <w:div w:id="1565336614">
      <w:bodyDiv w:val="1"/>
      <w:marLeft w:val="0"/>
      <w:marRight w:val="0"/>
      <w:marTop w:val="0"/>
      <w:marBottom w:val="0"/>
      <w:divBdr>
        <w:top w:val="none" w:sz="0" w:space="0" w:color="auto"/>
        <w:left w:val="none" w:sz="0" w:space="0" w:color="auto"/>
        <w:bottom w:val="none" w:sz="0" w:space="0" w:color="auto"/>
        <w:right w:val="none" w:sz="0" w:space="0" w:color="auto"/>
      </w:divBdr>
    </w:div>
    <w:div w:id="1572883911">
      <w:bodyDiv w:val="1"/>
      <w:marLeft w:val="0"/>
      <w:marRight w:val="0"/>
      <w:marTop w:val="0"/>
      <w:marBottom w:val="0"/>
      <w:divBdr>
        <w:top w:val="none" w:sz="0" w:space="0" w:color="auto"/>
        <w:left w:val="none" w:sz="0" w:space="0" w:color="auto"/>
        <w:bottom w:val="none" w:sz="0" w:space="0" w:color="auto"/>
        <w:right w:val="none" w:sz="0" w:space="0" w:color="auto"/>
      </w:divBdr>
    </w:div>
    <w:div w:id="1578203165">
      <w:bodyDiv w:val="1"/>
      <w:marLeft w:val="0"/>
      <w:marRight w:val="0"/>
      <w:marTop w:val="0"/>
      <w:marBottom w:val="0"/>
      <w:divBdr>
        <w:top w:val="none" w:sz="0" w:space="0" w:color="auto"/>
        <w:left w:val="none" w:sz="0" w:space="0" w:color="auto"/>
        <w:bottom w:val="none" w:sz="0" w:space="0" w:color="auto"/>
        <w:right w:val="none" w:sz="0" w:space="0" w:color="auto"/>
      </w:divBdr>
    </w:div>
    <w:div w:id="1599286394">
      <w:bodyDiv w:val="1"/>
      <w:marLeft w:val="0"/>
      <w:marRight w:val="0"/>
      <w:marTop w:val="0"/>
      <w:marBottom w:val="0"/>
      <w:divBdr>
        <w:top w:val="none" w:sz="0" w:space="0" w:color="auto"/>
        <w:left w:val="none" w:sz="0" w:space="0" w:color="auto"/>
        <w:bottom w:val="none" w:sz="0" w:space="0" w:color="auto"/>
        <w:right w:val="none" w:sz="0" w:space="0" w:color="auto"/>
      </w:divBdr>
    </w:div>
    <w:div w:id="1601644927">
      <w:bodyDiv w:val="1"/>
      <w:marLeft w:val="0"/>
      <w:marRight w:val="0"/>
      <w:marTop w:val="0"/>
      <w:marBottom w:val="0"/>
      <w:divBdr>
        <w:top w:val="none" w:sz="0" w:space="0" w:color="auto"/>
        <w:left w:val="none" w:sz="0" w:space="0" w:color="auto"/>
        <w:bottom w:val="none" w:sz="0" w:space="0" w:color="auto"/>
        <w:right w:val="none" w:sz="0" w:space="0" w:color="auto"/>
      </w:divBdr>
      <w:divsChild>
        <w:div w:id="576794299">
          <w:marLeft w:val="0"/>
          <w:marRight w:val="0"/>
          <w:marTop w:val="0"/>
          <w:marBottom w:val="0"/>
          <w:divBdr>
            <w:top w:val="none" w:sz="0" w:space="0" w:color="auto"/>
            <w:left w:val="none" w:sz="0" w:space="0" w:color="auto"/>
            <w:bottom w:val="none" w:sz="0" w:space="0" w:color="auto"/>
            <w:right w:val="none" w:sz="0" w:space="0" w:color="auto"/>
          </w:divBdr>
          <w:divsChild>
            <w:div w:id="1429813750">
              <w:marLeft w:val="0"/>
              <w:marRight w:val="0"/>
              <w:marTop w:val="0"/>
              <w:marBottom w:val="0"/>
              <w:divBdr>
                <w:top w:val="none" w:sz="0" w:space="0" w:color="auto"/>
                <w:left w:val="none" w:sz="0" w:space="0" w:color="auto"/>
                <w:bottom w:val="none" w:sz="0" w:space="0" w:color="auto"/>
                <w:right w:val="none" w:sz="0" w:space="0" w:color="auto"/>
              </w:divBdr>
              <w:divsChild>
                <w:div w:id="1015615358">
                  <w:marLeft w:val="0"/>
                  <w:marRight w:val="0"/>
                  <w:marTop w:val="0"/>
                  <w:marBottom w:val="0"/>
                  <w:divBdr>
                    <w:top w:val="none" w:sz="0" w:space="0" w:color="auto"/>
                    <w:left w:val="none" w:sz="0" w:space="0" w:color="auto"/>
                    <w:bottom w:val="none" w:sz="0" w:space="0" w:color="auto"/>
                    <w:right w:val="none" w:sz="0" w:space="0" w:color="auto"/>
                  </w:divBdr>
                  <w:divsChild>
                    <w:div w:id="151043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111609">
      <w:bodyDiv w:val="1"/>
      <w:marLeft w:val="0"/>
      <w:marRight w:val="0"/>
      <w:marTop w:val="0"/>
      <w:marBottom w:val="0"/>
      <w:divBdr>
        <w:top w:val="none" w:sz="0" w:space="0" w:color="auto"/>
        <w:left w:val="none" w:sz="0" w:space="0" w:color="auto"/>
        <w:bottom w:val="none" w:sz="0" w:space="0" w:color="auto"/>
        <w:right w:val="none" w:sz="0" w:space="0" w:color="auto"/>
      </w:divBdr>
    </w:div>
    <w:div w:id="1625884236">
      <w:bodyDiv w:val="1"/>
      <w:marLeft w:val="0"/>
      <w:marRight w:val="0"/>
      <w:marTop w:val="0"/>
      <w:marBottom w:val="0"/>
      <w:divBdr>
        <w:top w:val="none" w:sz="0" w:space="0" w:color="auto"/>
        <w:left w:val="none" w:sz="0" w:space="0" w:color="auto"/>
        <w:bottom w:val="none" w:sz="0" w:space="0" w:color="auto"/>
        <w:right w:val="none" w:sz="0" w:space="0" w:color="auto"/>
      </w:divBdr>
    </w:div>
    <w:div w:id="1645506784">
      <w:bodyDiv w:val="1"/>
      <w:marLeft w:val="0"/>
      <w:marRight w:val="0"/>
      <w:marTop w:val="0"/>
      <w:marBottom w:val="0"/>
      <w:divBdr>
        <w:top w:val="none" w:sz="0" w:space="0" w:color="auto"/>
        <w:left w:val="none" w:sz="0" w:space="0" w:color="auto"/>
        <w:bottom w:val="none" w:sz="0" w:space="0" w:color="auto"/>
        <w:right w:val="none" w:sz="0" w:space="0" w:color="auto"/>
      </w:divBdr>
    </w:div>
    <w:div w:id="1652324484">
      <w:bodyDiv w:val="1"/>
      <w:marLeft w:val="0"/>
      <w:marRight w:val="0"/>
      <w:marTop w:val="0"/>
      <w:marBottom w:val="0"/>
      <w:divBdr>
        <w:top w:val="none" w:sz="0" w:space="0" w:color="auto"/>
        <w:left w:val="none" w:sz="0" w:space="0" w:color="auto"/>
        <w:bottom w:val="none" w:sz="0" w:space="0" w:color="auto"/>
        <w:right w:val="none" w:sz="0" w:space="0" w:color="auto"/>
      </w:divBdr>
    </w:div>
    <w:div w:id="1696689788">
      <w:bodyDiv w:val="1"/>
      <w:marLeft w:val="0"/>
      <w:marRight w:val="0"/>
      <w:marTop w:val="0"/>
      <w:marBottom w:val="0"/>
      <w:divBdr>
        <w:top w:val="none" w:sz="0" w:space="0" w:color="auto"/>
        <w:left w:val="none" w:sz="0" w:space="0" w:color="auto"/>
        <w:bottom w:val="none" w:sz="0" w:space="0" w:color="auto"/>
        <w:right w:val="none" w:sz="0" w:space="0" w:color="auto"/>
      </w:divBdr>
    </w:div>
    <w:div w:id="1698967355">
      <w:bodyDiv w:val="1"/>
      <w:marLeft w:val="0"/>
      <w:marRight w:val="0"/>
      <w:marTop w:val="0"/>
      <w:marBottom w:val="0"/>
      <w:divBdr>
        <w:top w:val="none" w:sz="0" w:space="0" w:color="auto"/>
        <w:left w:val="none" w:sz="0" w:space="0" w:color="auto"/>
        <w:bottom w:val="none" w:sz="0" w:space="0" w:color="auto"/>
        <w:right w:val="none" w:sz="0" w:space="0" w:color="auto"/>
      </w:divBdr>
    </w:div>
    <w:div w:id="1708413477">
      <w:bodyDiv w:val="1"/>
      <w:marLeft w:val="0"/>
      <w:marRight w:val="0"/>
      <w:marTop w:val="0"/>
      <w:marBottom w:val="0"/>
      <w:divBdr>
        <w:top w:val="none" w:sz="0" w:space="0" w:color="auto"/>
        <w:left w:val="none" w:sz="0" w:space="0" w:color="auto"/>
        <w:bottom w:val="none" w:sz="0" w:space="0" w:color="auto"/>
        <w:right w:val="none" w:sz="0" w:space="0" w:color="auto"/>
      </w:divBdr>
    </w:div>
    <w:div w:id="1714497244">
      <w:bodyDiv w:val="1"/>
      <w:marLeft w:val="0"/>
      <w:marRight w:val="0"/>
      <w:marTop w:val="0"/>
      <w:marBottom w:val="0"/>
      <w:divBdr>
        <w:top w:val="none" w:sz="0" w:space="0" w:color="auto"/>
        <w:left w:val="none" w:sz="0" w:space="0" w:color="auto"/>
        <w:bottom w:val="none" w:sz="0" w:space="0" w:color="auto"/>
        <w:right w:val="none" w:sz="0" w:space="0" w:color="auto"/>
      </w:divBdr>
    </w:div>
    <w:div w:id="1728413277">
      <w:bodyDiv w:val="1"/>
      <w:marLeft w:val="0"/>
      <w:marRight w:val="0"/>
      <w:marTop w:val="0"/>
      <w:marBottom w:val="0"/>
      <w:divBdr>
        <w:top w:val="none" w:sz="0" w:space="0" w:color="auto"/>
        <w:left w:val="none" w:sz="0" w:space="0" w:color="auto"/>
        <w:bottom w:val="none" w:sz="0" w:space="0" w:color="auto"/>
        <w:right w:val="none" w:sz="0" w:space="0" w:color="auto"/>
      </w:divBdr>
    </w:div>
    <w:div w:id="1729182073">
      <w:bodyDiv w:val="1"/>
      <w:marLeft w:val="0"/>
      <w:marRight w:val="0"/>
      <w:marTop w:val="0"/>
      <w:marBottom w:val="0"/>
      <w:divBdr>
        <w:top w:val="none" w:sz="0" w:space="0" w:color="auto"/>
        <w:left w:val="none" w:sz="0" w:space="0" w:color="auto"/>
        <w:bottom w:val="none" w:sz="0" w:space="0" w:color="auto"/>
        <w:right w:val="none" w:sz="0" w:space="0" w:color="auto"/>
      </w:divBdr>
    </w:div>
    <w:div w:id="1733965590">
      <w:bodyDiv w:val="1"/>
      <w:marLeft w:val="0"/>
      <w:marRight w:val="0"/>
      <w:marTop w:val="0"/>
      <w:marBottom w:val="0"/>
      <w:divBdr>
        <w:top w:val="none" w:sz="0" w:space="0" w:color="auto"/>
        <w:left w:val="none" w:sz="0" w:space="0" w:color="auto"/>
        <w:bottom w:val="none" w:sz="0" w:space="0" w:color="auto"/>
        <w:right w:val="none" w:sz="0" w:space="0" w:color="auto"/>
      </w:divBdr>
    </w:div>
    <w:div w:id="1735272420">
      <w:bodyDiv w:val="1"/>
      <w:marLeft w:val="0"/>
      <w:marRight w:val="0"/>
      <w:marTop w:val="0"/>
      <w:marBottom w:val="0"/>
      <w:divBdr>
        <w:top w:val="none" w:sz="0" w:space="0" w:color="auto"/>
        <w:left w:val="none" w:sz="0" w:space="0" w:color="auto"/>
        <w:bottom w:val="none" w:sz="0" w:space="0" w:color="auto"/>
        <w:right w:val="none" w:sz="0" w:space="0" w:color="auto"/>
      </w:divBdr>
    </w:div>
    <w:div w:id="1740249037">
      <w:bodyDiv w:val="1"/>
      <w:marLeft w:val="0"/>
      <w:marRight w:val="0"/>
      <w:marTop w:val="0"/>
      <w:marBottom w:val="0"/>
      <w:divBdr>
        <w:top w:val="none" w:sz="0" w:space="0" w:color="auto"/>
        <w:left w:val="none" w:sz="0" w:space="0" w:color="auto"/>
        <w:bottom w:val="none" w:sz="0" w:space="0" w:color="auto"/>
        <w:right w:val="none" w:sz="0" w:space="0" w:color="auto"/>
      </w:divBdr>
    </w:div>
    <w:div w:id="1751809050">
      <w:bodyDiv w:val="1"/>
      <w:marLeft w:val="0"/>
      <w:marRight w:val="0"/>
      <w:marTop w:val="0"/>
      <w:marBottom w:val="0"/>
      <w:divBdr>
        <w:top w:val="none" w:sz="0" w:space="0" w:color="auto"/>
        <w:left w:val="none" w:sz="0" w:space="0" w:color="auto"/>
        <w:bottom w:val="none" w:sz="0" w:space="0" w:color="auto"/>
        <w:right w:val="none" w:sz="0" w:space="0" w:color="auto"/>
      </w:divBdr>
    </w:div>
    <w:div w:id="1766919492">
      <w:bodyDiv w:val="1"/>
      <w:marLeft w:val="0"/>
      <w:marRight w:val="0"/>
      <w:marTop w:val="0"/>
      <w:marBottom w:val="0"/>
      <w:divBdr>
        <w:top w:val="none" w:sz="0" w:space="0" w:color="auto"/>
        <w:left w:val="none" w:sz="0" w:space="0" w:color="auto"/>
        <w:bottom w:val="none" w:sz="0" w:space="0" w:color="auto"/>
        <w:right w:val="none" w:sz="0" w:space="0" w:color="auto"/>
      </w:divBdr>
    </w:div>
    <w:div w:id="1782646529">
      <w:bodyDiv w:val="1"/>
      <w:marLeft w:val="0"/>
      <w:marRight w:val="0"/>
      <w:marTop w:val="0"/>
      <w:marBottom w:val="0"/>
      <w:divBdr>
        <w:top w:val="none" w:sz="0" w:space="0" w:color="auto"/>
        <w:left w:val="none" w:sz="0" w:space="0" w:color="auto"/>
        <w:bottom w:val="none" w:sz="0" w:space="0" w:color="auto"/>
        <w:right w:val="none" w:sz="0" w:space="0" w:color="auto"/>
      </w:divBdr>
    </w:div>
    <w:div w:id="1784231285">
      <w:bodyDiv w:val="1"/>
      <w:marLeft w:val="0"/>
      <w:marRight w:val="0"/>
      <w:marTop w:val="0"/>
      <w:marBottom w:val="0"/>
      <w:divBdr>
        <w:top w:val="none" w:sz="0" w:space="0" w:color="auto"/>
        <w:left w:val="none" w:sz="0" w:space="0" w:color="auto"/>
        <w:bottom w:val="none" w:sz="0" w:space="0" w:color="auto"/>
        <w:right w:val="none" w:sz="0" w:space="0" w:color="auto"/>
      </w:divBdr>
    </w:div>
    <w:div w:id="1793092757">
      <w:bodyDiv w:val="1"/>
      <w:marLeft w:val="0"/>
      <w:marRight w:val="0"/>
      <w:marTop w:val="0"/>
      <w:marBottom w:val="0"/>
      <w:divBdr>
        <w:top w:val="none" w:sz="0" w:space="0" w:color="auto"/>
        <w:left w:val="none" w:sz="0" w:space="0" w:color="auto"/>
        <w:bottom w:val="none" w:sz="0" w:space="0" w:color="auto"/>
        <w:right w:val="none" w:sz="0" w:space="0" w:color="auto"/>
      </w:divBdr>
    </w:div>
    <w:div w:id="1801456512">
      <w:bodyDiv w:val="1"/>
      <w:marLeft w:val="0"/>
      <w:marRight w:val="0"/>
      <w:marTop w:val="0"/>
      <w:marBottom w:val="0"/>
      <w:divBdr>
        <w:top w:val="none" w:sz="0" w:space="0" w:color="auto"/>
        <w:left w:val="none" w:sz="0" w:space="0" w:color="auto"/>
        <w:bottom w:val="none" w:sz="0" w:space="0" w:color="auto"/>
        <w:right w:val="none" w:sz="0" w:space="0" w:color="auto"/>
      </w:divBdr>
    </w:div>
    <w:div w:id="1803188256">
      <w:bodyDiv w:val="1"/>
      <w:marLeft w:val="0"/>
      <w:marRight w:val="0"/>
      <w:marTop w:val="0"/>
      <w:marBottom w:val="0"/>
      <w:divBdr>
        <w:top w:val="none" w:sz="0" w:space="0" w:color="auto"/>
        <w:left w:val="none" w:sz="0" w:space="0" w:color="auto"/>
        <w:bottom w:val="none" w:sz="0" w:space="0" w:color="auto"/>
        <w:right w:val="none" w:sz="0" w:space="0" w:color="auto"/>
      </w:divBdr>
    </w:div>
    <w:div w:id="1817793970">
      <w:bodyDiv w:val="1"/>
      <w:marLeft w:val="0"/>
      <w:marRight w:val="0"/>
      <w:marTop w:val="0"/>
      <w:marBottom w:val="0"/>
      <w:divBdr>
        <w:top w:val="none" w:sz="0" w:space="0" w:color="auto"/>
        <w:left w:val="none" w:sz="0" w:space="0" w:color="auto"/>
        <w:bottom w:val="none" w:sz="0" w:space="0" w:color="auto"/>
        <w:right w:val="none" w:sz="0" w:space="0" w:color="auto"/>
      </w:divBdr>
    </w:div>
    <w:div w:id="1821072162">
      <w:bodyDiv w:val="1"/>
      <w:marLeft w:val="0"/>
      <w:marRight w:val="0"/>
      <w:marTop w:val="0"/>
      <w:marBottom w:val="0"/>
      <w:divBdr>
        <w:top w:val="none" w:sz="0" w:space="0" w:color="auto"/>
        <w:left w:val="none" w:sz="0" w:space="0" w:color="auto"/>
        <w:bottom w:val="none" w:sz="0" w:space="0" w:color="auto"/>
        <w:right w:val="none" w:sz="0" w:space="0" w:color="auto"/>
      </w:divBdr>
      <w:divsChild>
        <w:div w:id="672026102">
          <w:marLeft w:val="0"/>
          <w:marRight w:val="0"/>
          <w:marTop w:val="0"/>
          <w:marBottom w:val="0"/>
          <w:divBdr>
            <w:top w:val="none" w:sz="0" w:space="0" w:color="auto"/>
            <w:left w:val="none" w:sz="0" w:space="0" w:color="auto"/>
            <w:bottom w:val="none" w:sz="0" w:space="0" w:color="auto"/>
            <w:right w:val="none" w:sz="0" w:space="0" w:color="auto"/>
          </w:divBdr>
          <w:divsChild>
            <w:div w:id="1587961086">
              <w:marLeft w:val="0"/>
              <w:marRight w:val="0"/>
              <w:marTop w:val="0"/>
              <w:marBottom w:val="0"/>
              <w:divBdr>
                <w:top w:val="none" w:sz="0" w:space="0" w:color="auto"/>
                <w:left w:val="none" w:sz="0" w:space="0" w:color="auto"/>
                <w:bottom w:val="none" w:sz="0" w:space="0" w:color="auto"/>
                <w:right w:val="none" w:sz="0" w:space="0" w:color="auto"/>
              </w:divBdr>
              <w:divsChild>
                <w:div w:id="951597910">
                  <w:marLeft w:val="0"/>
                  <w:marRight w:val="0"/>
                  <w:marTop w:val="0"/>
                  <w:marBottom w:val="0"/>
                  <w:divBdr>
                    <w:top w:val="none" w:sz="0" w:space="0" w:color="auto"/>
                    <w:left w:val="none" w:sz="0" w:space="0" w:color="auto"/>
                    <w:bottom w:val="none" w:sz="0" w:space="0" w:color="auto"/>
                    <w:right w:val="none" w:sz="0" w:space="0" w:color="auto"/>
                  </w:divBdr>
                  <w:divsChild>
                    <w:div w:id="21021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505200">
      <w:bodyDiv w:val="1"/>
      <w:marLeft w:val="0"/>
      <w:marRight w:val="0"/>
      <w:marTop w:val="0"/>
      <w:marBottom w:val="0"/>
      <w:divBdr>
        <w:top w:val="none" w:sz="0" w:space="0" w:color="auto"/>
        <w:left w:val="none" w:sz="0" w:space="0" w:color="auto"/>
        <w:bottom w:val="none" w:sz="0" w:space="0" w:color="auto"/>
        <w:right w:val="none" w:sz="0" w:space="0" w:color="auto"/>
      </w:divBdr>
    </w:div>
    <w:div w:id="1844975045">
      <w:bodyDiv w:val="1"/>
      <w:marLeft w:val="0"/>
      <w:marRight w:val="0"/>
      <w:marTop w:val="0"/>
      <w:marBottom w:val="0"/>
      <w:divBdr>
        <w:top w:val="none" w:sz="0" w:space="0" w:color="auto"/>
        <w:left w:val="none" w:sz="0" w:space="0" w:color="auto"/>
        <w:bottom w:val="none" w:sz="0" w:space="0" w:color="auto"/>
        <w:right w:val="none" w:sz="0" w:space="0" w:color="auto"/>
      </w:divBdr>
    </w:div>
    <w:div w:id="1852914014">
      <w:bodyDiv w:val="1"/>
      <w:marLeft w:val="0"/>
      <w:marRight w:val="0"/>
      <w:marTop w:val="0"/>
      <w:marBottom w:val="0"/>
      <w:divBdr>
        <w:top w:val="none" w:sz="0" w:space="0" w:color="auto"/>
        <w:left w:val="none" w:sz="0" w:space="0" w:color="auto"/>
        <w:bottom w:val="none" w:sz="0" w:space="0" w:color="auto"/>
        <w:right w:val="none" w:sz="0" w:space="0" w:color="auto"/>
      </w:divBdr>
    </w:div>
    <w:div w:id="1855997956">
      <w:bodyDiv w:val="1"/>
      <w:marLeft w:val="0"/>
      <w:marRight w:val="0"/>
      <w:marTop w:val="0"/>
      <w:marBottom w:val="0"/>
      <w:divBdr>
        <w:top w:val="none" w:sz="0" w:space="0" w:color="auto"/>
        <w:left w:val="none" w:sz="0" w:space="0" w:color="auto"/>
        <w:bottom w:val="none" w:sz="0" w:space="0" w:color="auto"/>
        <w:right w:val="none" w:sz="0" w:space="0" w:color="auto"/>
      </w:divBdr>
    </w:div>
    <w:div w:id="1859924450">
      <w:bodyDiv w:val="1"/>
      <w:marLeft w:val="0"/>
      <w:marRight w:val="0"/>
      <w:marTop w:val="0"/>
      <w:marBottom w:val="0"/>
      <w:divBdr>
        <w:top w:val="none" w:sz="0" w:space="0" w:color="auto"/>
        <w:left w:val="none" w:sz="0" w:space="0" w:color="auto"/>
        <w:bottom w:val="none" w:sz="0" w:space="0" w:color="auto"/>
        <w:right w:val="none" w:sz="0" w:space="0" w:color="auto"/>
      </w:divBdr>
      <w:divsChild>
        <w:div w:id="1344170014">
          <w:marLeft w:val="0"/>
          <w:marRight w:val="0"/>
          <w:marTop w:val="0"/>
          <w:marBottom w:val="0"/>
          <w:divBdr>
            <w:top w:val="none" w:sz="0" w:space="0" w:color="auto"/>
            <w:left w:val="none" w:sz="0" w:space="0" w:color="auto"/>
            <w:bottom w:val="none" w:sz="0" w:space="0" w:color="auto"/>
            <w:right w:val="none" w:sz="0" w:space="0" w:color="auto"/>
          </w:divBdr>
          <w:divsChild>
            <w:div w:id="735053009">
              <w:marLeft w:val="0"/>
              <w:marRight w:val="0"/>
              <w:marTop w:val="0"/>
              <w:marBottom w:val="0"/>
              <w:divBdr>
                <w:top w:val="none" w:sz="0" w:space="0" w:color="auto"/>
                <w:left w:val="none" w:sz="0" w:space="0" w:color="auto"/>
                <w:bottom w:val="none" w:sz="0" w:space="0" w:color="auto"/>
                <w:right w:val="none" w:sz="0" w:space="0" w:color="auto"/>
              </w:divBdr>
              <w:divsChild>
                <w:div w:id="275601762">
                  <w:marLeft w:val="0"/>
                  <w:marRight w:val="0"/>
                  <w:marTop w:val="0"/>
                  <w:marBottom w:val="0"/>
                  <w:divBdr>
                    <w:top w:val="none" w:sz="0" w:space="0" w:color="auto"/>
                    <w:left w:val="none" w:sz="0" w:space="0" w:color="auto"/>
                    <w:bottom w:val="none" w:sz="0" w:space="0" w:color="auto"/>
                    <w:right w:val="none" w:sz="0" w:space="0" w:color="auto"/>
                  </w:divBdr>
                  <w:divsChild>
                    <w:div w:id="91567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875830">
      <w:bodyDiv w:val="1"/>
      <w:marLeft w:val="0"/>
      <w:marRight w:val="0"/>
      <w:marTop w:val="0"/>
      <w:marBottom w:val="0"/>
      <w:divBdr>
        <w:top w:val="none" w:sz="0" w:space="0" w:color="auto"/>
        <w:left w:val="none" w:sz="0" w:space="0" w:color="auto"/>
        <w:bottom w:val="none" w:sz="0" w:space="0" w:color="auto"/>
        <w:right w:val="none" w:sz="0" w:space="0" w:color="auto"/>
      </w:divBdr>
    </w:div>
    <w:div w:id="1890534737">
      <w:bodyDiv w:val="1"/>
      <w:marLeft w:val="0"/>
      <w:marRight w:val="0"/>
      <w:marTop w:val="0"/>
      <w:marBottom w:val="0"/>
      <w:divBdr>
        <w:top w:val="none" w:sz="0" w:space="0" w:color="auto"/>
        <w:left w:val="none" w:sz="0" w:space="0" w:color="auto"/>
        <w:bottom w:val="none" w:sz="0" w:space="0" w:color="auto"/>
        <w:right w:val="none" w:sz="0" w:space="0" w:color="auto"/>
      </w:divBdr>
    </w:div>
    <w:div w:id="1893074997">
      <w:bodyDiv w:val="1"/>
      <w:marLeft w:val="0"/>
      <w:marRight w:val="0"/>
      <w:marTop w:val="0"/>
      <w:marBottom w:val="0"/>
      <w:divBdr>
        <w:top w:val="none" w:sz="0" w:space="0" w:color="auto"/>
        <w:left w:val="none" w:sz="0" w:space="0" w:color="auto"/>
        <w:bottom w:val="none" w:sz="0" w:space="0" w:color="auto"/>
        <w:right w:val="none" w:sz="0" w:space="0" w:color="auto"/>
      </w:divBdr>
    </w:div>
    <w:div w:id="1897202366">
      <w:bodyDiv w:val="1"/>
      <w:marLeft w:val="0"/>
      <w:marRight w:val="0"/>
      <w:marTop w:val="0"/>
      <w:marBottom w:val="0"/>
      <w:divBdr>
        <w:top w:val="none" w:sz="0" w:space="0" w:color="auto"/>
        <w:left w:val="none" w:sz="0" w:space="0" w:color="auto"/>
        <w:bottom w:val="none" w:sz="0" w:space="0" w:color="auto"/>
        <w:right w:val="none" w:sz="0" w:space="0" w:color="auto"/>
      </w:divBdr>
    </w:div>
    <w:div w:id="1902053173">
      <w:bodyDiv w:val="1"/>
      <w:marLeft w:val="0"/>
      <w:marRight w:val="0"/>
      <w:marTop w:val="0"/>
      <w:marBottom w:val="0"/>
      <w:divBdr>
        <w:top w:val="none" w:sz="0" w:space="0" w:color="auto"/>
        <w:left w:val="none" w:sz="0" w:space="0" w:color="auto"/>
        <w:bottom w:val="none" w:sz="0" w:space="0" w:color="auto"/>
        <w:right w:val="none" w:sz="0" w:space="0" w:color="auto"/>
      </w:divBdr>
    </w:div>
    <w:div w:id="1904828635">
      <w:bodyDiv w:val="1"/>
      <w:marLeft w:val="0"/>
      <w:marRight w:val="0"/>
      <w:marTop w:val="0"/>
      <w:marBottom w:val="0"/>
      <w:divBdr>
        <w:top w:val="none" w:sz="0" w:space="0" w:color="auto"/>
        <w:left w:val="none" w:sz="0" w:space="0" w:color="auto"/>
        <w:bottom w:val="none" w:sz="0" w:space="0" w:color="auto"/>
        <w:right w:val="none" w:sz="0" w:space="0" w:color="auto"/>
      </w:divBdr>
    </w:div>
    <w:div w:id="1917282709">
      <w:bodyDiv w:val="1"/>
      <w:marLeft w:val="0"/>
      <w:marRight w:val="0"/>
      <w:marTop w:val="0"/>
      <w:marBottom w:val="0"/>
      <w:divBdr>
        <w:top w:val="none" w:sz="0" w:space="0" w:color="auto"/>
        <w:left w:val="none" w:sz="0" w:space="0" w:color="auto"/>
        <w:bottom w:val="none" w:sz="0" w:space="0" w:color="auto"/>
        <w:right w:val="none" w:sz="0" w:space="0" w:color="auto"/>
      </w:divBdr>
    </w:div>
    <w:div w:id="1918635642">
      <w:bodyDiv w:val="1"/>
      <w:marLeft w:val="0"/>
      <w:marRight w:val="0"/>
      <w:marTop w:val="0"/>
      <w:marBottom w:val="0"/>
      <w:divBdr>
        <w:top w:val="none" w:sz="0" w:space="0" w:color="auto"/>
        <w:left w:val="none" w:sz="0" w:space="0" w:color="auto"/>
        <w:bottom w:val="none" w:sz="0" w:space="0" w:color="auto"/>
        <w:right w:val="none" w:sz="0" w:space="0" w:color="auto"/>
      </w:divBdr>
    </w:div>
    <w:div w:id="1928995791">
      <w:bodyDiv w:val="1"/>
      <w:marLeft w:val="0"/>
      <w:marRight w:val="0"/>
      <w:marTop w:val="0"/>
      <w:marBottom w:val="0"/>
      <w:divBdr>
        <w:top w:val="none" w:sz="0" w:space="0" w:color="auto"/>
        <w:left w:val="none" w:sz="0" w:space="0" w:color="auto"/>
        <w:bottom w:val="none" w:sz="0" w:space="0" w:color="auto"/>
        <w:right w:val="none" w:sz="0" w:space="0" w:color="auto"/>
      </w:divBdr>
    </w:div>
    <w:div w:id="1935018390">
      <w:bodyDiv w:val="1"/>
      <w:marLeft w:val="0"/>
      <w:marRight w:val="0"/>
      <w:marTop w:val="0"/>
      <w:marBottom w:val="0"/>
      <w:divBdr>
        <w:top w:val="none" w:sz="0" w:space="0" w:color="auto"/>
        <w:left w:val="none" w:sz="0" w:space="0" w:color="auto"/>
        <w:bottom w:val="none" w:sz="0" w:space="0" w:color="auto"/>
        <w:right w:val="none" w:sz="0" w:space="0" w:color="auto"/>
      </w:divBdr>
    </w:div>
    <w:div w:id="1936669630">
      <w:bodyDiv w:val="1"/>
      <w:marLeft w:val="0"/>
      <w:marRight w:val="0"/>
      <w:marTop w:val="0"/>
      <w:marBottom w:val="0"/>
      <w:divBdr>
        <w:top w:val="none" w:sz="0" w:space="0" w:color="auto"/>
        <w:left w:val="none" w:sz="0" w:space="0" w:color="auto"/>
        <w:bottom w:val="none" w:sz="0" w:space="0" w:color="auto"/>
        <w:right w:val="none" w:sz="0" w:space="0" w:color="auto"/>
      </w:divBdr>
    </w:div>
    <w:div w:id="1944533718">
      <w:bodyDiv w:val="1"/>
      <w:marLeft w:val="0"/>
      <w:marRight w:val="0"/>
      <w:marTop w:val="0"/>
      <w:marBottom w:val="0"/>
      <w:divBdr>
        <w:top w:val="none" w:sz="0" w:space="0" w:color="auto"/>
        <w:left w:val="none" w:sz="0" w:space="0" w:color="auto"/>
        <w:bottom w:val="none" w:sz="0" w:space="0" w:color="auto"/>
        <w:right w:val="none" w:sz="0" w:space="0" w:color="auto"/>
      </w:divBdr>
    </w:div>
    <w:div w:id="1951280629">
      <w:bodyDiv w:val="1"/>
      <w:marLeft w:val="0"/>
      <w:marRight w:val="0"/>
      <w:marTop w:val="0"/>
      <w:marBottom w:val="0"/>
      <w:divBdr>
        <w:top w:val="none" w:sz="0" w:space="0" w:color="auto"/>
        <w:left w:val="none" w:sz="0" w:space="0" w:color="auto"/>
        <w:bottom w:val="none" w:sz="0" w:space="0" w:color="auto"/>
        <w:right w:val="none" w:sz="0" w:space="0" w:color="auto"/>
      </w:divBdr>
    </w:div>
    <w:div w:id="1955670612">
      <w:bodyDiv w:val="1"/>
      <w:marLeft w:val="0"/>
      <w:marRight w:val="0"/>
      <w:marTop w:val="0"/>
      <w:marBottom w:val="0"/>
      <w:divBdr>
        <w:top w:val="none" w:sz="0" w:space="0" w:color="auto"/>
        <w:left w:val="none" w:sz="0" w:space="0" w:color="auto"/>
        <w:bottom w:val="none" w:sz="0" w:space="0" w:color="auto"/>
        <w:right w:val="none" w:sz="0" w:space="0" w:color="auto"/>
      </w:divBdr>
    </w:div>
    <w:div w:id="1958414200">
      <w:bodyDiv w:val="1"/>
      <w:marLeft w:val="0"/>
      <w:marRight w:val="0"/>
      <w:marTop w:val="0"/>
      <w:marBottom w:val="0"/>
      <w:divBdr>
        <w:top w:val="none" w:sz="0" w:space="0" w:color="auto"/>
        <w:left w:val="none" w:sz="0" w:space="0" w:color="auto"/>
        <w:bottom w:val="none" w:sz="0" w:space="0" w:color="auto"/>
        <w:right w:val="none" w:sz="0" w:space="0" w:color="auto"/>
      </w:divBdr>
    </w:div>
    <w:div w:id="1990671486">
      <w:bodyDiv w:val="1"/>
      <w:marLeft w:val="0"/>
      <w:marRight w:val="0"/>
      <w:marTop w:val="0"/>
      <w:marBottom w:val="0"/>
      <w:divBdr>
        <w:top w:val="none" w:sz="0" w:space="0" w:color="auto"/>
        <w:left w:val="none" w:sz="0" w:space="0" w:color="auto"/>
        <w:bottom w:val="none" w:sz="0" w:space="0" w:color="auto"/>
        <w:right w:val="none" w:sz="0" w:space="0" w:color="auto"/>
      </w:divBdr>
      <w:divsChild>
        <w:div w:id="2101951498">
          <w:marLeft w:val="0"/>
          <w:marRight w:val="0"/>
          <w:marTop w:val="0"/>
          <w:marBottom w:val="0"/>
          <w:divBdr>
            <w:top w:val="none" w:sz="0" w:space="0" w:color="auto"/>
            <w:left w:val="none" w:sz="0" w:space="0" w:color="auto"/>
            <w:bottom w:val="none" w:sz="0" w:space="0" w:color="auto"/>
            <w:right w:val="none" w:sz="0" w:space="0" w:color="auto"/>
          </w:divBdr>
          <w:divsChild>
            <w:div w:id="303463503">
              <w:marLeft w:val="0"/>
              <w:marRight w:val="0"/>
              <w:marTop w:val="0"/>
              <w:marBottom w:val="0"/>
              <w:divBdr>
                <w:top w:val="none" w:sz="0" w:space="0" w:color="auto"/>
                <w:left w:val="none" w:sz="0" w:space="0" w:color="auto"/>
                <w:bottom w:val="none" w:sz="0" w:space="0" w:color="auto"/>
                <w:right w:val="none" w:sz="0" w:space="0" w:color="auto"/>
              </w:divBdr>
              <w:divsChild>
                <w:div w:id="1557233296">
                  <w:marLeft w:val="0"/>
                  <w:marRight w:val="0"/>
                  <w:marTop w:val="0"/>
                  <w:marBottom w:val="0"/>
                  <w:divBdr>
                    <w:top w:val="none" w:sz="0" w:space="0" w:color="auto"/>
                    <w:left w:val="none" w:sz="0" w:space="0" w:color="auto"/>
                    <w:bottom w:val="none" w:sz="0" w:space="0" w:color="auto"/>
                    <w:right w:val="none" w:sz="0" w:space="0" w:color="auto"/>
                  </w:divBdr>
                  <w:divsChild>
                    <w:div w:id="11291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684708">
      <w:bodyDiv w:val="1"/>
      <w:marLeft w:val="0"/>
      <w:marRight w:val="0"/>
      <w:marTop w:val="0"/>
      <w:marBottom w:val="0"/>
      <w:divBdr>
        <w:top w:val="none" w:sz="0" w:space="0" w:color="auto"/>
        <w:left w:val="none" w:sz="0" w:space="0" w:color="auto"/>
        <w:bottom w:val="none" w:sz="0" w:space="0" w:color="auto"/>
        <w:right w:val="none" w:sz="0" w:space="0" w:color="auto"/>
      </w:divBdr>
    </w:div>
    <w:div w:id="2004431219">
      <w:bodyDiv w:val="1"/>
      <w:marLeft w:val="0"/>
      <w:marRight w:val="0"/>
      <w:marTop w:val="0"/>
      <w:marBottom w:val="0"/>
      <w:divBdr>
        <w:top w:val="none" w:sz="0" w:space="0" w:color="auto"/>
        <w:left w:val="none" w:sz="0" w:space="0" w:color="auto"/>
        <w:bottom w:val="none" w:sz="0" w:space="0" w:color="auto"/>
        <w:right w:val="none" w:sz="0" w:space="0" w:color="auto"/>
      </w:divBdr>
    </w:div>
    <w:div w:id="2004550560">
      <w:bodyDiv w:val="1"/>
      <w:marLeft w:val="0"/>
      <w:marRight w:val="0"/>
      <w:marTop w:val="0"/>
      <w:marBottom w:val="0"/>
      <w:divBdr>
        <w:top w:val="none" w:sz="0" w:space="0" w:color="auto"/>
        <w:left w:val="none" w:sz="0" w:space="0" w:color="auto"/>
        <w:bottom w:val="none" w:sz="0" w:space="0" w:color="auto"/>
        <w:right w:val="none" w:sz="0" w:space="0" w:color="auto"/>
      </w:divBdr>
    </w:div>
    <w:div w:id="2013726735">
      <w:bodyDiv w:val="1"/>
      <w:marLeft w:val="0"/>
      <w:marRight w:val="0"/>
      <w:marTop w:val="0"/>
      <w:marBottom w:val="0"/>
      <w:divBdr>
        <w:top w:val="none" w:sz="0" w:space="0" w:color="auto"/>
        <w:left w:val="none" w:sz="0" w:space="0" w:color="auto"/>
        <w:bottom w:val="none" w:sz="0" w:space="0" w:color="auto"/>
        <w:right w:val="none" w:sz="0" w:space="0" w:color="auto"/>
      </w:divBdr>
    </w:div>
    <w:div w:id="2024626419">
      <w:bodyDiv w:val="1"/>
      <w:marLeft w:val="0"/>
      <w:marRight w:val="0"/>
      <w:marTop w:val="0"/>
      <w:marBottom w:val="0"/>
      <w:divBdr>
        <w:top w:val="none" w:sz="0" w:space="0" w:color="auto"/>
        <w:left w:val="none" w:sz="0" w:space="0" w:color="auto"/>
        <w:bottom w:val="none" w:sz="0" w:space="0" w:color="auto"/>
        <w:right w:val="none" w:sz="0" w:space="0" w:color="auto"/>
      </w:divBdr>
    </w:div>
    <w:div w:id="2026637017">
      <w:bodyDiv w:val="1"/>
      <w:marLeft w:val="0"/>
      <w:marRight w:val="0"/>
      <w:marTop w:val="0"/>
      <w:marBottom w:val="0"/>
      <w:divBdr>
        <w:top w:val="none" w:sz="0" w:space="0" w:color="auto"/>
        <w:left w:val="none" w:sz="0" w:space="0" w:color="auto"/>
        <w:bottom w:val="none" w:sz="0" w:space="0" w:color="auto"/>
        <w:right w:val="none" w:sz="0" w:space="0" w:color="auto"/>
      </w:divBdr>
    </w:div>
    <w:div w:id="2028865552">
      <w:bodyDiv w:val="1"/>
      <w:marLeft w:val="0"/>
      <w:marRight w:val="0"/>
      <w:marTop w:val="0"/>
      <w:marBottom w:val="0"/>
      <w:divBdr>
        <w:top w:val="none" w:sz="0" w:space="0" w:color="auto"/>
        <w:left w:val="none" w:sz="0" w:space="0" w:color="auto"/>
        <w:bottom w:val="none" w:sz="0" w:space="0" w:color="auto"/>
        <w:right w:val="none" w:sz="0" w:space="0" w:color="auto"/>
      </w:divBdr>
    </w:div>
    <w:div w:id="2048289033">
      <w:bodyDiv w:val="1"/>
      <w:marLeft w:val="0"/>
      <w:marRight w:val="0"/>
      <w:marTop w:val="0"/>
      <w:marBottom w:val="0"/>
      <w:divBdr>
        <w:top w:val="none" w:sz="0" w:space="0" w:color="auto"/>
        <w:left w:val="none" w:sz="0" w:space="0" w:color="auto"/>
        <w:bottom w:val="none" w:sz="0" w:space="0" w:color="auto"/>
        <w:right w:val="none" w:sz="0" w:space="0" w:color="auto"/>
      </w:divBdr>
    </w:div>
    <w:div w:id="2048597538">
      <w:bodyDiv w:val="1"/>
      <w:marLeft w:val="0"/>
      <w:marRight w:val="0"/>
      <w:marTop w:val="0"/>
      <w:marBottom w:val="0"/>
      <w:divBdr>
        <w:top w:val="none" w:sz="0" w:space="0" w:color="auto"/>
        <w:left w:val="none" w:sz="0" w:space="0" w:color="auto"/>
        <w:bottom w:val="none" w:sz="0" w:space="0" w:color="auto"/>
        <w:right w:val="none" w:sz="0" w:space="0" w:color="auto"/>
      </w:divBdr>
    </w:div>
    <w:div w:id="2066752424">
      <w:bodyDiv w:val="1"/>
      <w:marLeft w:val="0"/>
      <w:marRight w:val="0"/>
      <w:marTop w:val="0"/>
      <w:marBottom w:val="0"/>
      <w:divBdr>
        <w:top w:val="none" w:sz="0" w:space="0" w:color="auto"/>
        <w:left w:val="none" w:sz="0" w:space="0" w:color="auto"/>
        <w:bottom w:val="none" w:sz="0" w:space="0" w:color="auto"/>
        <w:right w:val="none" w:sz="0" w:space="0" w:color="auto"/>
      </w:divBdr>
    </w:div>
    <w:div w:id="2082438882">
      <w:bodyDiv w:val="1"/>
      <w:marLeft w:val="0"/>
      <w:marRight w:val="0"/>
      <w:marTop w:val="0"/>
      <w:marBottom w:val="0"/>
      <w:divBdr>
        <w:top w:val="none" w:sz="0" w:space="0" w:color="auto"/>
        <w:left w:val="none" w:sz="0" w:space="0" w:color="auto"/>
        <w:bottom w:val="none" w:sz="0" w:space="0" w:color="auto"/>
        <w:right w:val="none" w:sz="0" w:space="0" w:color="auto"/>
      </w:divBdr>
    </w:div>
    <w:div w:id="2083789670">
      <w:bodyDiv w:val="1"/>
      <w:marLeft w:val="0"/>
      <w:marRight w:val="0"/>
      <w:marTop w:val="0"/>
      <w:marBottom w:val="0"/>
      <w:divBdr>
        <w:top w:val="none" w:sz="0" w:space="0" w:color="auto"/>
        <w:left w:val="none" w:sz="0" w:space="0" w:color="auto"/>
        <w:bottom w:val="none" w:sz="0" w:space="0" w:color="auto"/>
        <w:right w:val="none" w:sz="0" w:space="0" w:color="auto"/>
      </w:divBdr>
    </w:div>
    <w:div w:id="2099447633">
      <w:bodyDiv w:val="1"/>
      <w:marLeft w:val="0"/>
      <w:marRight w:val="0"/>
      <w:marTop w:val="0"/>
      <w:marBottom w:val="0"/>
      <w:divBdr>
        <w:top w:val="none" w:sz="0" w:space="0" w:color="auto"/>
        <w:left w:val="none" w:sz="0" w:space="0" w:color="auto"/>
        <w:bottom w:val="none" w:sz="0" w:space="0" w:color="auto"/>
        <w:right w:val="none" w:sz="0" w:space="0" w:color="auto"/>
      </w:divBdr>
    </w:div>
    <w:div w:id="2101363302">
      <w:bodyDiv w:val="1"/>
      <w:marLeft w:val="0"/>
      <w:marRight w:val="0"/>
      <w:marTop w:val="0"/>
      <w:marBottom w:val="0"/>
      <w:divBdr>
        <w:top w:val="none" w:sz="0" w:space="0" w:color="auto"/>
        <w:left w:val="none" w:sz="0" w:space="0" w:color="auto"/>
        <w:bottom w:val="none" w:sz="0" w:space="0" w:color="auto"/>
        <w:right w:val="none" w:sz="0" w:space="0" w:color="auto"/>
      </w:divBdr>
    </w:div>
    <w:div w:id="2103986044">
      <w:bodyDiv w:val="1"/>
      <w:marLeft w:val="0"/>
      <w:marRight w:val="0"/>
      <w:marTop w:val="0"/>
      <w:marBottom w:val="0"/>
      <w:divBdr>
        <w:top w:val="none" w:sz="0" w:space="0" w:color="auto"/>
        <w:left w:val="none" w:sz="0" w:space="0" w:color="auto"/>
        <w:bottom w:val="none" w:sz="0" w:space="0" w:color="auto"/>
        <w:right w:val="none" w:sz="0" w:space="0" w:color="auto"/>
      </w:divBdr>
    </w:div>
    <w:div w:id="2104186167">
      <w:bodyDiv w:val="1"/>
      <w:marLeft w:val="0"/>
      <w:marRight w:val="0"/>
      <w:marTop w:val="0"/>
      <w:marBottom w:val="0"/>
      <w:divBdr>
        <w:top w:val="none" w:sz="0" w:space="0" w:color="auto"/>
        <w:left w:val="none" w:sz="0" w:space="0" w:color="auto"/>
        <w:bottom w:val="none" w:sz="0" w:space="0" w:color="auto"/>
        <w:right w:val="none" w:sz="0" w:space="0" w:color="auto"/>
      </w:divBdr>
    </w:div>
    <w:div w:id="2117947512">
      <w:bodyDiv w:val="1"/>
      <w:marLeft w:val="0"/>
      <w:marRight w:val="0"/>
      <w:marTop w:val="0"/>
      <w:marBottom w:val="0"/>
      <w:divBdr>
        <w:top w:val="none" w:sz="0" w:space="0" w:color="auto"/>
        <w:left w:val="none" w:sz="0" w:space="0" w:color="auto"/>
        <w:bottom w:val="none" w:sz="0" w:space="0" w:color="auto"/>
        <w:right w:val="none" w:sz="0" w:space="0" w:color="auto"/>
      </w:divBdr>
    </w:div>
    <w:div w:id="2141722903">
      <w:bodyDiv w:val="1"/>
      <w:marLeft w:val="0"/>
      <w:marRight w:val="0"/>
      <w:marTop w:val="0"/>
      <w:marBottom w:val="0"/>
      <w:divBdr>
        <w:top w:val="none" w:sz="0" w:space="0" w:color="auto"/>
        <w:left w:val="none" w:sz="0" w:space="0" w:color="auto"/>
        <w:bottom w:val="none" w:sz="0" w:space="0" w:color="auto"/>
        <w:right w:val="none" w:sz="0" w:space="0" w:color="auto"/>
      </w:divBdr>
    </w:div>
    <w:div w:id="2144274737">
      <w:bodyDiv w:val="1"/>
      <w:marLeft w:val="0"/>
      <w:marRight w:val="0"/>
      <w:marTop w:val="0"/>
      <w:marBottom w:val="0"/>
      <w:divBdr>
        <w:top w:val="none" w:sz="0" w:space="0" w:color="auto"/>
        <w:left w:val="none" w:sz="0" w:space="0" w:color="auto"/>
        <w:bottom w:val="none" w:sz="0" w:space="0" w:color="auto"/>
        <w:right w:val="none" w:sz="0" w:space="0" w:color="auto"/>
      </w:divBdr>
    </w:div>
    <w:div w:id="214581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oderjudicial.es/search/AN/openDocument/b47909f5625a63faa0a8778d75e36f0d/20221228" TargetMode="External"/><Relationship Id="rId21" Type="http://schemas.openxmlformats.org/officeDocument/2006/relationships/hyperlink" Target="https://www.poderjudicial.es/search/AN/openDocument/210c470f34c5aa3aa0a8778d75e36f0d/20221228" TargetMode="External"/><Relationship Id="rId42" Type="http://schemas.openxmlformats.org/officeDocument/2006/relationships/hyperlink" Target="https://www.poderjudicial.es/search/AN/openDocument/74534e34754fe857a0a8778d75e36f0d/20221228" TargetMode="External"/><Relationship Id="rId47" Type="http://schemas.openxmlformats.org/officeDocument/2006/relationships/hyperlink" Target="https://www.poderjudicial.es/search/AN/openDocument/fe033a793f0bd958a0a8778d75e36f0d/20230112" TargetMode="External"/><Relationship Id="rId63" Type="http://schemas.openxmlformats.org/officeDocument/2006/relationships/hyperlink" Target="https://www.poderjudicial.es/search/AN/openDocument/89c9267411ef37c1a0a8778d75e36f0d/20230112" TargetMode="External"/><Relationship Id="rId68" Type="http://schemas.openxmlformats.org/officeDocument/2006/relationships/hyperlink" Target="https://www.poderjudicial.es/search/AN/openDocument/f58725571d7c13c3a0a8778d75e36f0d/20221228" TargetMode="External"/><Relationship Id="rId84" Type="http://schemas.openxmlformats.org/officeDocument/2006/relationships/hyperlink" Target="https://www.poderjudicial.es/search/AN/openDocument/3953fa8ea0a76dcca0a8778d75e36f0d/20221014" TargetMode="External"/><Relationship Id="rId89" Type="http://schemas.openxmlformats.org/officeDocument/2006/relationships/hyperlink" Target="https://www.poderjudicial.es/search/AN/openDocument/cbb40d641b2a91cda0a8778d75e36f0d/20221021" TargetMode="External"/><Relationship Id="rId16" Type="http://schemas.openxmlformats.org/officeDocument/2006/relationships/hyperlink" Target="https://hj.tribunalconstitucional.es/docs/BOE/BOE-A-2022-22243.pdf" TargetMode="External"/><Relationship Id="rId11" Type="http://schemas.openxmlformats.org/officeDocument/2006/relationships/hyperlink" Target="https://curia.europa.eu/juris/document/document.jsf?text=%2522consumidores%2522&amp;docid=267610&amp;pageIndex=0&amp;doclang=es&amp;mode=req&amp;dir=&amp;occ=first&amp;part=1&amp;cid=7874" TargetMode="External"/><Relationship Id="rId32" Type="http://schemas.openxmlformats.org/officeDocument/2006/relationships/hyperlink" Target="https://www.poderjudicial.es/search/AN/openDocument/032f2f328f48dc47a0a8778d75e36f0d/20230112" TargetMode="External"/><Relationship Id="rId37" Type="http://schemas.openxmlformats.org/officeDocument/2006/relationships/hyperlink" Target="https://www.poderjudicial.es/search/AN/openDocument/a45738f145b40d15a0a8778d75e36f0d/20221220" TargetMode="External"/><Relationship Id="rId53" Type="http://schemas.openxmlformats.org/officeDocument/2006/relationships/hyperlink" Target="https://www.poderjudicial.es/search/AN/openDocument/1346367e818739c9a0a8778d75e36f0d/20221202" TargetMode="External"/><Relationship Id="rId58" Type="http://schemas.openxmlformats.org/officeDocument/2006/relationships/hyperlink" Target="https://www.poderjudicial.es/search/AN/openDocument/4d143b9b5bb04dc9a0a8778d75e36f0d/20221122" TargetMode="External"/><Relationship Id="rId74" Type="http://schemas.openxmlformats.org/officeDocument/2006/relationships/hyperlink" Target="https://www.poderjudicial.es/search/AN/openDocument/a3492198ee4a9d2aa0a8778d75e36f0d/20230112" TargetMode="External"/><Relationship Id="rId79" Type="http://schemas.openxmlformats.org/officeDocument/2006/relationships/hyperlink" Target="https://www.poderjudicial.es/search/AN/openDocument/5d9e6b57aad6b04ba0a8778d75e36f0d/20230112" TargetMode="External"/><Relationship Id="rId5" Type="http://schemas.openxmlformats.org/officeDocument/2006/relationships/webSettings" Target="webSettings.xml"/><Relationship Id="rId90" Type="http://schemas.openxmlformats.org/officeDocument/2006/relationships/hyperlink" Target="https://www.poderjudicial.es/search/AN/openDocument/9d95e6aca5b2b76ca0a8778d75e36f0d/20221021" TargetMode="External"/><Relationship Id="rId95" Type="http://schemas.openxmlformats.org/officeDocument/2006/relationships/hyperlink" Target="https://www.notariosyregistradores.com/web/resoluciones/por-meses/resoluciones-octubre-2022-direccion-general-seguridad-juridica-y-fe-publica/" TargetMode="External"/><Relationship Id="rId22" Type="http://schemas.openxmlformats.org/officeDocument/2006/relationships/hyperlink" Target="https://www.poderjudicial.es/search/AN/openDocument/854948535580ffd2a0a8778d75e36f0d/20221102" TargetMode="External"/><Relationship Id="rId27" Type="http://schemas.openxmlformats.org/officeDocument/2006/relationships/hyperlink" Target="https://www.poderjudicial.es/search/AN/openDocument/ab9231095fcf2400a0a8778d75e36f0d/20221230" TargetMode="External"/><Relationship Id="rId43" Type="http://schemas.openxmlformats.org/officeDocument/2006/relationships/hyperlink" Target="https://www.poderjudicial.es/search/AN/openDocument/d670f0602caafb73a0a8778d75e36f0d/20221230" TargetMode="External"/><Relationship Id="rId48" Type="http://schemas.openxmlformats.org/officeDocument/2006/relationships/hyperlink" Target="https://www.poderjudicial.es/search/AN/openDocument/7560075cd01f8e37a0a8778d75e36f0d/20230119" TargetMode="External"/><Relationship Id="rId64" Type="http://schemas.openxmlformats.org/officeDocument/2006/relationships/hyperlink" Target="https://www.poderjudicial.es/search/AN/openDocument/dff8be420c7c181ba0a8778d75e36f0d/20230112" TargetMode="External"/><Relationship Id="rId69" Type="http://schemas.openxmlformats.org/officeDocument/2006/relationships/hyperlink" Target="https://www.poderjudicial.es/search/AN/openDocument/8f00ee6eac14b38fa0a8778d75e36f0d/20221228" TargetMode="External"/><Relationship Id="rId80" Type="http://schemas.openxmlformats.org/officeDocument/2006/relationships/hyperlink" Target="https://www.poderjudicial.es/search/AN/openDocument/ea70753e5dce1011a0a8778d75e36f0d/20221213" TargetMode="External"/><Relationship Id="rId85" Type="http://schemas.openxmlformats.org/officeDocument/2006/relationships/hyperlink" Target="https://www.poderjudicial.es/search/AN/openDocument/d9632816ba7ec597a0a8778d75e36f0d/20221021" TargetMode="External"/><Relationship Id="rId3" Type="http://schemas.openxmlformats.org/officeDocument/2006/relationships/styles" Target="styles.xml"/><Relationship Id="rId12" Type="http://schemas.openxmlformats.org/officeDocument/2006/relationships/hyperlink" Target="https://curia.europa.eu/juris/document/document.jsf?text=%2522consumidores%2522&amp;docid=268237&amp;pageIndex=0&amp;doclang=es&amp;mode=req&amp;dir=&amp;occ=first&amp;part=1&amp;cid=7874" TargetMode="External"/><Relationship Id="rId17" Type="http://schemas.openxmlformats.org/officeDocument/2006/relationships/hyperlink" Target="https://hj.tribunalconstitucional.es/docs/BOE/BOE-A-2023-464.pdf" TargetMode="External"/><Relationship Id="rId25" Type="http://schemas.openxmlformats.org/officeDocument/2006/relationships/hyperlink" Target="https://www.poderjudicial.es/search/AN/openDocument/71e926ad544bfe97a0a8778d75e36f0d/20221228" TargetMode="External"/><Relationship Id="rId33" Type="http://schemas.openxmlformats.org/officeDocument/2006/relationships/hyperlink" Target="https://www.poderjudicial.es/search/AN/openDocument/aea236218fce6384a0a8778d75e36f0d/20230119" TargetMode="External"/><Relationship Id="rId38" Type="http://schemas.openxmlformats.org/officeDocument/2006/relationships/hyperlink" Target="https://www.poderjudicial.es/search/AN/openDocument/b107d998b0d8f1b7a0a8778d75e36f0d/20221213" TargetMode="External"/><Relationship Id="rId46" Type="http://schemas.openxmlformats.org/officeDocument/2006/relationships/hyperlink" Target="https://www.poderjudicial.es/search/AN/openDocument/9ecff5586e1ad5e1a0a8778d75e36f0d/20230119" TargetMode="External"/><Relationship Id="rId59" Type="http://schemas.openxmlformats.org/officeDocument/2006/relationships/hyperlink" Target="https://www.poderjudicial.es/search/AN/openDocument/d507d2c40562726aa0a8778d75e36f0d/20221130" TargetMode="External"/><Relationship Id="rId67" Type="http://schemas.openxmlformats.org/officeDocument/2006/relationships/hyperlink" Target="https://www.poderjudicial.es/search/AN/openDocument/bf0482730ff4f67ba0a8778d75e36f0d/20221228" TargetMode="External"/><Relationship Id="rId20" Type="http://schemas.openxmlformats.org/officeDocument/2006/relationships/hyperlink" Target="https://www.poderjudicial.es/search/AN/openDocument/05cf2d28c74882fda0a8778d75e36f0d/20221202" TargetMode="External"/><Relationship Id="rId41" Type="http://schemas.openxmlformats.org/officeDocument/2006/relationships/hyperlink" Target="https://www.poderjudicial.es/search/AN/openDocument/61e8dcf6fb0d8753a0a8778d75e36f0d/20221228" TargetMode="External"/><Relationship Id="rId54" Type="http://schemas.openxmlformats.org/officeDocument/2006/relationships/hyperlink" Target="https://www.poderjudicial.es/search/AN/openDocument/ea663f8a3cc0db31a0a8778d75e36f0d/20221213" TargetMode="External"/><Relationship Id="rId62" Type="http://schemas.openxmlformats.org/officeDocument/2006/relationships/hyperlink" Target="https://www.poderjudicial.es/search/AN/openDocument/bb878553caa79666a0a8778d75e36f0d/20230112" TargetMode="External"/><Relationship Id="rId70" Type="http://schemas.openxmlformats.org/officeDocument/2006/relationships/hyperlink" Target="https://www.poderjudicial.es/search/AN/openDocument/b7bd6deba925e734a0a8778d75e36f0d/20221230" TargetMode="External"/><Relationship Id="rId75" Type="http://schemas.openxmlformats.org/officeDocument/2006/relationships/hyperlink" Target="https://www.poderjudicial.es/search/AN/openDocument/4fa05b6a36b8f59ba0a8778d75e36f0d/20230119" TargetMode="External"/><Relationship Id="rId83" Type="http://schemas.openxmlformats.org/officeDocument/2006/relationships/hyperlink" Target="https://www.poderjudicial.es/search/AN/openDocument/9ce85eaa62172092a0a8778d75e36f0d/20221230" TargetMode="External"/><Relationship Id="rId88" Type="http://schemas.openxmlformats.org/officeDocument/2006/relationships/hyperlink" Target="https://www.poderjudicial.es/search/AN/openDocument/c247dd0dd7fba8b9a0a8778d75e36f0d/20221021" TargetMode="External"/><Relationship Id="rId91" Type="http://schemas.openxmlformats.org/officeDocument/2006/relationships/hyperlink" Target="https://www.poderjudicial.es/search/AN/openDocument/c076ef18a2b44645a0a8778d75e36f0d/20221216" TargetMode="External"/><Relationship Id="rId96" Type="http://schemas.openxmlformats.org/officeDocument/2006/relationships/hyperlink" Target="https://www.boe.es/boe/dias/2022/10/27/pdfs/BOE-A-2022-17574.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j.tribunalconstitucional.es/docs/BOE/BOE-A-2022-19078.pdf" TargetMode="External"/><Relationship Id="rId23" Type="http://schemas.openxmlformats.org/officeDocument/2006/relationships/hyperlink" Target="https://www.poderjudicial.es/search/AN/openDocument/453f82960a445adda0a8778d75e36f0d/20221014" TargetMode="External"/><Relationship Id="rId28" Type="http://schemas.openxmlformats.org/officeDocument/2006/relationships/hyperlink" Target="https://www.poderjudicial.es/search/AN/openDocument/a7eda4a1ba048221a0a8778d75e36f0d/20230112" TargetMode="External"/><Relationship Id="rId36" Type="http://schemas.openxmlformats.org/officeDocument/2006/relationships/hyperlink" Target="https://www.poderjudicial.es/search/contenidos.action" TargetMode="External"/><Relationship Id="rId49" Type="http://schemas.openxmlformats.org/officeDocument/2006/relationships/hyperlink" Target="https://www.poderjudicial.es/search/AN/openDocument/5b69337b5844f03ea0a8778d75e36f0d/20230119" TargetMode="External"/><Relationship Id="rId57" Type="http://schemas.openxmlformats.org/officeDocument/2006/relationships/hyperlink" Target="https://www.poderjudicial.es/search/AN/openDocument/f58ef81349c1bc4ea0a8778d75e36f0d/20221115" TargetMode="External"/><Relationship Id="rId10" Type="http://schemas.openxmlformats.org/officeDocument/2006/relationships/hyperlink" Target="https://curia.europa.eu/juris/document/document.jsf?text=%2522consumidores%2522&amp;docid=267137&amp;pageIndex=0&amp;doclang=es&amp;mode=req&amp;dir=&amp;occ=first&amp;part=1&amp;cid=7874" TargetMode="External"/><Relationship Id="rId31" Type="http://schemas.openxmlformats.org/officeDocument/2006/relationships/hyperlink" Target="https://www.poderjudicial.es/search/AN/openDocument/a3048d8dece24ae9a0a8778d75e36f0d/20230119" TargetMode="External"/><Relationship Id="rId44" Type="http://schemas.openxmlformats.org/officeDocument/2006/relationships/hyperlink" Target="https://www.poderjudicial.es/search/contenidos.action" TargetMode="External"/><Relationship Id="rId52" Type="http://schemas.openxmlformats.org/officeDocument/2006/relationships/hyperlink" Target="https://www.poderjudicial.es/search/AN/openDocument/b100dc69993c1baca0a8778d75e36f0d/20221125" TargetMode="External"/><Relationship Id="rId60" Type="http://schemas.openxmlformats.org/officeDocument/2006/relationships/hyperlink" Target="https://www.poderjudicial.es/search/AN/openDocument/5b2149171fe50edaa0a8778d75e36f0d/20221228" TargetMode="External"/><Relationship Id="rId65" Type="http://schemas.openxmlformats.org/officeDocument/2006/relationships/hyperlink" Target="https://www.poderjudicial.es/search/AN/openDocument/7e9ff843ac57e7eea0a8778d75e36f0d/20221130" TargetMode="External"/><Relationship Id="rId73" Type="http://schemas.openxmlformats.org/officeDocument/2006/relationships/hyperlink" Target="https://www.poderjudicial.es/search/AN/openDocument/56743ca41c60addaa0a8778d75e36f0d/20221230" TargetMode="External"/><Relationship Id="rId78" Type="http://schemas.openxmlformats.org/officeDocument/2006/relationships/hyperlink" Target="https://www.poderjudicial.es/search/AN/openDocument/fe477e59d5f8fcc4a0a8778d75e36f0d/20230112" TargetMode="External"/><Relationship Id="rId81" Type="http://schemas.openxmlformats.org/officeDocument/2006/relationships/hyperlink" Target="https://www.poderjudicial.es/search/AN/openDocument/5e2fdea25111043ca0a8778d75e36f0d/20221014" TargetMode="External"/><Relationship Id="rId86" Type="http://schemas.openxmlformats.org/officeDocument/2006/relationships/hyperlink" Target="https://www.poderjudicial.es/search/AN/openDocument/2aafe1a5392cd9e9a0a8778d75e36f0d/20221228" TargetMode="External"/><Relationship Id="rId94" Type="http://schemas.openxmlformats.org/officeDocument/2006/relationships/hyperlink" Target="https://www.boe.es/boe/dias/2022/10/27/pdfs/BOE-A-2022-17569.pdf"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uria.europa.eu/juris/document/document.jsf?text=%2522consumidores%2522&amp;docid=266828&amp;pageIndex=0&amp;doclang=es&amp;mode=req&amp;dir=&amp;occ=first&amp;part=1&amp;cid=7874" TargetMode="External"/><Relationship Id="rId13" Type="http://schemas.openxmlformats.org/officeDocument/2006/relationships/hyperlink" Target="https://curia.europa.eu/juris/document/document.jsf?text=%2522consumidores%2522&amp;docid=268435&amp;pageIndex=0&amp;doclang=es&amp;mode=req&amp;dir=&amp;occ=first&amp;part=1&amp;cid=7874" TargetMode="External"/><Relationship Id="rId18" Type="http://schemas.openxmlformats.org/officeDocument/2006/relationships/hyperlink" Target="https://www.poderjudicial.es/search/AN/openDocument/db78848590af58e3a0a8778d75e36f0d/20221108" TargetMode="External"/><Relationship Id="rId39" Type="http://schemas.openxmlformats.org/officeDocument/2006/relationships/hyperlink" Target="https://www.poderjudicial.es/search/AN/openDocument/4522b6ca50acb17ba0a8778d75e36f0d/20221228" TargetMode="External"/><Relationship Id="rId34" Type="http://schemas.openxmlformats.org/officeDocument/2006/relationships/hyperlink" Target="https://www.poderjudicial.es/search/AN/openDocument/911f33d3a13d0571a0a8778d75e36f0d/20221115" TargetMode="External"/><Relationship Id="rId50" Type="http://schemas.openxmlformats.org/officeDocument/2006/relationships/hyperlink" Target="https://www.poderjudicial.es/search/AN/openDocument/d75dddc8b317ff65a0a8778d75e36f0d/20230112" TargetMode="External"/><Relationship Id="rId55" Type="http://schemas.openxmlformats.org/officeDocument/2006/relationships/hyperlink" Target="https://www.poderjudicial.es/search/AN/openDocument/a7f36b99a860547ba0a8778d75e36f0d/20221213" TargetMode="External"/><Relationship Id="rId76" Type="http://schemas.openxmlformats.org/officeDocument/2006/relationships/hyperlink" Target="https://www.poderjudicial.es/search/AN/openDocument/e74e9db5867f4622a0a8778d75e36f0d/20230112" TargetMode="External"/><Relationship Id="rId97" Type="http://schemas.openxmlformats.org/officeDocument/2006/relationships/hyperlink" Target="https://www.notariosyregistradores.com/web/resoluciones/por-meses/resoluciones-octubre-2022-direccion-general-seguridad-juridica-y-fe-publica/" TargetMode="External"/><Relationship Id="rId7" Type="http://schemas.openxmlformats.org/officeDocument/2006/relationships/endnotes" Target="endnotes.xml"/><Relationship Id="rId71" Type="http://schemas.openxmlformats.org/officeDocument/2006/relationships/hyperlink" Target="https://www.poderjudicial.es/search/AN/openDocument/e2283f1760db049da0a8778d75e36f0d/20221230" TargetMode="External"/><Relationship Id="rId92" Type="http://schemas.openxmlformats.org/officeDocument/2006/relationships/hyperlink" Target="https://www.poderjudicial.es/search/AN/openDocument/fa40ef0f98c1866aa0a8778d75e36f0d/20221202" TargetMode="External"/><Relationship Id="rId2" Type="http://schemas.openxmlformats.org/officeDocument/2006/relationships/numbering" Target="numbering.xml"/><Relationship Id="rId29" Type="http://schemas.openxmlformats.org/officeDocument/2006/relationships/hyperlink" Target="https://www.poderjudicial.es/search/AN/openDocument/1dbd3b317c5679ada0a8778d75e36f0d/20221230" TargetMode="External"/><Relationship Id="rId24" Type="http://schemas.openxmlformats.org/officeDocument/2006/relationships/hyperlink" Target="https://www.poderjudicial.es/search/AN/openDocument/86e6045075465246a0a8778d75e36f0d/20221021" TargetMode="External"/><Relationship Id="rId40" Type="http://schemas.openxmlformats.org/officeDocument/2006/relationships/hyperlink" Target="https://www.poderjudicial.es/search/AN/openDocument/cd2a67dd5518cf74a0a8778d75e36f0d/20221228" TargetMode="External"/><Relationship Id="rId45" Type="http://schemas.openxmlformats.org/officeDocument/2006/relationships/hyperlink" Target="https://www.poderjudicial.es/search/AN/openDocument/1d340bce4176d90ea0a8778d75e36f0d/20221230" TargetMode="External"/><Relationship Id="rId66" Type="http://schemas.openxmlformats.org/officeDocument/2006/relationships/hyperlink" Target="https://www.poderjudicial.es/search/AN/openDocument/3e389324ba01cac8a0a8778d75e36f0d/20221220" TargetMode="External"/><Relationship Id="rId87" Type="http://schemas.openxmlformats.org/officeDocument/2006/relationships/hyperlink" Target="https://www.poderjudicial.es/search/AN/openDocument/4284d709db16f787a0a8778d75e36f0d/20221230" TargetMode="External"/><Relationship Id="rId61" Type="http://schemas.openxmlformats.org/officeDocument/2006/relationships/hyperlink" Target="https://www.poderjudicial.es/search/AN/openDocument/69255c5acaee5822a0a8778d75e36f0d/20221228" TargetMode="External"/><Relationship Id="rId82" Type="http://schemas.openxmlformats.org/officeDocument/2006/relationships/hyperlink" Target="https://www.poderjudicial.es/search/AN/openDocument/b1400648edb98c10a0a8778d75e36f0d/20221102" TargetMode="External"/><Relationship Id="rId19" Type="http://schemas.openxmlformats.org/officeDocument/2006/relationships/hyperlink" Target="https://www.poderjudicial.es/search/AN/openDocument/8dbfff0e4d978e4da0a8778d75e36f0d/20221108" TargetMode="External"/><Relationship Id="rId14" Type="http://schemas.openxmlformats.org/officeDocument/2006/relationships/hyperlink" Target="https://curia.europa.eu/juris/document/document.jsf?text=%2522consumidores%2522&amp;docid=268559&amp;pageIndex=0&amp;doclang=es&amp;mode=req&amp;dir=&amp;occ=first&amp;part=1&amp;cid=7874" TargetMode="External"/><Relationship Id="rId30" Type="http://schemas.openxmlformats.org/officeDocument/2006/relationships/hyperlink" Target="https://www.poderjudicial.es/search/AN/openDocument/4be5378aeb8e50f0a0a8778d75e36f0d/20230112" TargetMode="External"/><Relationship Id="rId35" Type="http://schemas.openxmlformats.org/officeDocument/2006/relationships/hyperlink" Target="https://www.poderjudicial.es/search/AN/openDocument/4df50a47103f435aa0a8778d75e36f0d/20221130" TargetMode="External"/><Relationship Id="rId56" Type="http://schemas.openxmlformats.org/officeDocument/2006/relationships/hyperlink" Target="https://www.poderjudicial.es/search/AN/openDocument/58b05981f8d18f07a0a8778d75e36f0d/20221230" TargetMode="External"/><Relationship Id="rId77" Type="http://schemas.openxmlformats.org/officeDocument/2006/relationships/hyperlink" Target="https://www.poderjudicial.es/search/AN/openDocument/f16b1c323bc35219a0a8778d75e36f0d/20230112"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poderjudicial.es/search/AN/openDocument/4406a4d87d5f080ea0a8778d75e36f0d/20230119" TargetMode="External"/><Relationship Id="rId72" Type="http://schemas.openxmlformats.org/officeDocument/2006/relationships/hyperlink" Target="https://www.poderjudicial.es/search/AN/openDocument/a0e27d75e4a48d94a0a8778d75e36f0d/20230119" TargetMode="External"/><Relationship Id="rId93" Type="http://schemas.openxmlformats.org/officeDocument/2006/relationships/hyperlink" Target="https://www.poderjudicial.es/search/AN/openDocument/83f8659ef58efa8aa0a8778d75e36f0d/20221212" TargetMode="External"/><Relationship Id="rId98"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2B697-58E4-7442-BD9E-AA75D07CE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11</Pages>
  <Words>5618</Words>
  <Characters>30904</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BASTANTE GONZALEZ</dc:creator>
  <cp:lastModifiedBy>Lucía Moreno García</cp:lastModifiedBy>
  <cp:revision>12</cp:revision>
  <cp:lastPrinted>2021-04-08T11:14:00Z</cp:lastPrinted>
  <dcterms:created xsi:type="dcterms:W3CDTF">2023-01-24T11:14:00Z</dcterms:created>
  <dcterms:modified xsi:type="dcterms:W3CDTF">2023-01-26T13:09:00Z</dcterms:modified>
</cp:coreProperties>
</file>