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5C6307BB" w:rsidR="00827C04" w:rsidRDefault="00F475F0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Julio-Septiembre</w:t>
                            </w:r>
                            <w:r w:rsidR="00567AA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2022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3B2CAF3F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 Contratado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5C6307BB" w:rsidR="00827C04" w:rsidRDefault="00F475F0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Julio-Septiembre</w:t>
                      </w:r>
                      <w:r w:rsidR="00567AAA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2022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3B2CAF3F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 Contratado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5C5117FE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5C333FA2" w:rsidR="00827C04" w:rsidRDefault="00567AAA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Enero-Marzo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5C333FA2" w:rsidR="00827C04" w:rsidRDefault="00567AAA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Enero-Marzo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0781AEA6" w14:textId="77777777" w:rsidR="00226C2F" w:rsidRPr="005F0DEC" w:rsidRDefault="00226C2F" w:rsidP="00C943B2">
      <w:pPr>
        <w:rPr>
          <w:rFonts w:ascii="Segoe UI" w:hAnsi="Segoe UI" w:cs="Segoe UI"/>
          <w:b/>
          <w:color w:val="000000" w:themeColor="text1"/>
          <w:sz w:val="20"/>
          <w:szCs w:val="20"/>
        </w:rPr>
      </w:pPr>
    </w:p>
    <w:p w14:paraId="5F826395" w14:textId="77777777" w:rsidR="00CA5B7B" w:rsidRPr="00F475F0" w:rsidRDefault="00AB05F9" w:rsidP="00F475F0">
      <w:pPr>
        <w:pStyle w:val="Prrafodelista"/>
        <w:numPr>
          <w:ilvl w:val="0"/>
          <w:numId w:val="10"/>
        </w:numPr>
        <w:ind w:left="697" w:hanging="357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Achón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Bruñén</w:t>
      </w:r>
      <w:proofErr w:type="spellEnd"/>
      <w:r w:rsidRPr="00F475F0">
        <w:rPr>
          <w:rFonts w:cstheme="minorHAnsi"/>
          <w:sz w:val="20"/>
          <w:szCs w:val="20"/>
        </w:rPr>
        <w:t xml:space="preserve">, María José. “Casos en que resulta conflictivo otorgar al adherente la condición de consumidor”: </w:t>
      </w:r>
      <w:r w:rsidRPr="00F475F0">
        <w:rPr>
          <w:rFonts w:cstheme="minorHAnsi"/>
          <w:i/>
          <w:sz w:val="20"/>
          <w:szCs w:val="20"/>
        </w:rPr>
        <w:t>Proceso civil: cuaderno jurídico</w:t>
      </w:r>
      <w:r w:rsidRPr="00F475F0">
        <w:rPr>
          <w:rFonts w:cstheme="minorHAnsi"/>
          <w:sz w:val="20"/>
          <w:szCs w:val="20"/>
        </w:rPr>
        <w:t>, Nº. 148, 2022, págs. 16-30.</w:t>
      </w:r>
    </w:p>
    <w:p w14:paraId="28332904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Alamar Casares, María José. “Comentario de jurisprudencia sobre el índice IRPH en los préstamos hipotecarios de los consumidores: La tormenta perfecta”: </w:t>
      </w:r>
      <w:r w:rsidRPr="00F475F0">
        <w:rPr>
          <w:rFonts w:cstheme="minorHAnsi"/>
          <w:i/>
          <w:sz w:val="20"/>
          <w:szCs w:val="20"/>
        </w:rPr>
        <w:t>Revista jurídica de la Comunidad Valenciana</w:t>
      </w:r>
      <w:r w:rsidRPr="00F475F0">
        <w:rPr>
          <w:rFonts w:cstheme="minorHAnsi"/>
          <w:sz w:val="20"/>
          <w:szCs w:val="20"/>
        </w:rPr>
        <w:t>, Nº. 82, 2022, págs. 369-387.</w:t>
      </w:r>
    </w:p>
    <w:p w14:paraId="4DB948C8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Alemany</w:t>
      </w:r>
      <w:proofErr w:type="spellEnd"/>
      <w:r w:rsidRPr="00F475F0">
        <w:rPr>
          <w:rFonts w:cstheme="minorHAnsi"/>
          <w:sz w:val="20"/>
          <w:szCs w:val="20"/>
        </w:rPr>
        <w:t xml:space="preserve"> Castell, Marta; Pellejero, Javier. “Comentarios sobre la reciente sentencia de la Audiencia Provincial de A Coruña en materia de usura en las tarjetas </w:t>
      </w:r>
      <w:proofErr w:type="spellStart"/>
      <w:r w:rsidRPr="00F475F0">
        <w:rPr>
          <w:rFonts w:cstheme="minorHAnsi"/>
          <w:sz w:val="20"/>
          <w:szCs w:val="20"/>
        </w:rPr>
        <w:t>revolving</w:t>
      </w:r>
      <w:proofErr w:type="spellEnd"/>
      <w:r w:rsidRPr="00F475F0">
        <w:rPr>
          <w:rFonts w:cstheme="minorHAnsi"/>
          <w:sz w:val="20"/>
          <w:szCs w:val="20"/>
        </w:rPr>
        <w:t xml:space="preserve"> y Sentencia del Tribunal Supremo de 4 de mayo de 2022”: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10100, 2022.</w:t>
      </w:r>
    </w:p>
    <w:p w14:paraId="582A01B0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Álvarez Moreno, María Teresa. “La libre disposición por las partes en el arbitraje de consumo”: </w:t>
      </w:r>
      <w:r w:rsidRPr="00F475F0">
        <w:rPr>
          <w:rFonts w:cstheme="minorHAnsi"/>
          <w:i/>
          <w:sz w:val="20"/>
          <w:szCs w:val="20"/>
        </w:rPr>
        <w:t>Revista de derecho privado</w:t>
      </w:r>
      <w:r w:rsidRPr="00F475F0">
        <w:rPr>
          <w:rFonts w:cstheme="minorHAnsi"/>
          <w:sz w:val="20"/>
          <w:szCs w:val="20"/>
        </w:rPr>
        <w:t>, Año nº 106, Mes 5, 2022, págs. 77-100.</w:t>
      </w:r>
    </w:p>
    <w:p w14:paraId="5E8F9F64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Álvarez Sánchez, Samara. “La protección del asegurado en México”: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431-447.</w:t>
      </w:r>
    </w:p>
    <w:p w14:paraId="46E2B318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Álvaro Gámez, Claudio Agiló; Ibiza, </w:t>
      </w:r>
      <w:r w:rsidR="00F475F0" w:rsidRPr="00F475F0">
        <w:rPr>
          <w:rFonts w:cstheme="minorHAnsi"/>
          <w:sz w:val="20"/>
          <w:szCs w:val="20"/>
        </w:rPr>
        <w:t xml:space="preserve">Jordi; </w:t>
      </w:r>
      <w:r w:rsidRPr="00F475F0">
        <w:rPr>
          <w:rFonts w:cstheme="minorHAnsi"/>
          <w:sz w:val="20"/>
          <w:szCs w:val="20"/>
        </w:rPr>
        <w:t>Mayoral Olmos</w:t>
      </w:r>
      <w:r w:rsidR="00F475F0" w:rsidRPr="00F475F0">
        <w:rPr>
          <w:rFonts w:cstheme="minorHAnsi"/>
          <w:sz w:val="20"/>
          <w:szCs w:val="20"/>
        </w:rPr>
        <w:t xml:space="preserve">, </w:t>
      </w:r>
      <w:r w:rsidRPr="00F475F0">
        <w:rPr>
          <w:rFonts w:cstheme="minorHAnsi"/>
          <w:sz w:val="20"/>
          <w:szCs w:val="20"/>
        </w:rPr>
        <w:t xml:space="preserve">Paula. “Comentario de urgencia a la Ley 16/2022, de 5 de septiembre, de reforma del Texto Refundido de la Ley Concursal”: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10126, 2022.</w:t>
      </w:r>
    </w:p>
    <w:p w14:paraId="01FD6B8D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Asensi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Merás</w:t>
      </w:r>
      <w:proofErr w:type="spellEnd"/>
      <w:r w:rsidRPr="00F475F0">
        <w:rPr>
          <w:rFonts w:cstheme="minorHAnsi"/>
          <w:sz w:val="20"/>
          <w:szCs w:val="20"/>
        </w:rPr>
        <w:t xml:space="preserve">, Altea. “La utilización de sistemas basados en algoritmos para la evaluación de la solvencia y la protección de datos personales en el mercado”: </w:t>
      </w:r>
      <w:r w:rsidRPr="00F475F0">
        <w:rPr>
          <w:rFonts w:cstheme="minorHAnsi"/>
          <w:i/>
          <w:sz w:val="20"/>
          <w:szCs w:val="20"/>
        </w:rPr>
        <w:t>Revista jurídica de la Comunidad Valenciana</w:t>
      </w:r>
      <w:r w:rsidRPr="00F475F0">
        <w:rPr>
          <w:rFonts w:cstheme="minorHAnsi"/>
          <w:sz w:val="20"/>
          <w:szCs w:val="20"/>
        </w:rPr>
        <w:t>, Nº. 82, 2022, págs. 29-61.</w:t>
      </w:r>
    </w:p>
    <w:p w14:paraId="7213ACCD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Benito Osma, Félix. “El contrato de seguro: Digitalización, transparencia y protección del asegurado”: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7-17.</w:t>
      </w:r>
    </w:p>
    <w:p w14:paraId="77D93799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Bravo Molina, Juan Carlos. “Garantías, cláusulas abusivas y protección al consumidor inmobiliario en el contrato de compraventa de vivienda”: </w:t>
      </w:r>
      <w:r w:rsidRPr="00F475F0">
        <w:rPr>
          <w:rFonts w:cstheme="minorHAnsi"/>
          <w:i/>
          <w:sz w:val="20"/>
          <w:szCs w:val="20"/>
        </w:rPr>
        <w:t>Prolegómenos: Derechos y valores</w:t>
      </w:r>
      <w:r w:rsidRPr="00F475F0">
        <w:rPr>
          <w:rFonts w:cstheme="minorHAnsi"/>
          <w:sz w:val="20"/>
          <w:szCs w:val="20"/>
        </w:rPr>
        <w:t>, Vol. 25, Nº. 49, 2022, págs. 65-85.</w:t>
      </w:r>
    </w:p>
    <w:p w14:paraId="6336D48D" w14:textId="6B466D7B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C</w:t>
      </w:r>
      <w:r w:rsidR="00F475F0">
        <w:rPr>
          <w:rFonts w:cstheme="minorHAnsi"/>
          <w:sz w:val="20"/>
          <w:szCs w:val="20"/>
        </w:rPr>
        <w:t>arrasco Perera</w:t>
      </w:r>
      <w:r w:rsidRPr="00F475F0">
        <w:rPr>
          <w:rFonts w:cstheme="minorHAnsi"/>
          <w:sz w:val="20"/>
          <w:szCs w:val="20"/>
        </w:rPr>
        <w:t>, Ángel Francisco; P</w:t>
      </w:r>
      <w:r w:rsidR="00F475F0">
        <w:rPr>
          <w:rFonts w:cstheme="minorHAnsi"/>
          <w:sz w:val="20"/>
          <w:szCs w:val="20"/>
        </w:rPr>
        <w:t>alomino Moraleda</w:t>
      </w:r>
      <w:r w:rsidRPr="00F475F0">
        <w:rPr>
          <w:rFonts w:cstheme="minorHAnsi"/>
          <w:sz w:val="20"/>
          <w:szCs w:val="20"/>
        </w:rPr>
        <w:t xml:space="preserve">, Helena. “Imposición de los servicios de gestoría en las escrituras de compraventa y cancelación de hipoteca: análisis de la praxis bancaria”: </w:t>
      </w:r>
      <w:r w:rsidRPr="00F475F0">
        <w:rPr>
          <w:rFonts w:cstheme="minorHAnsi"/>
          <w:i/>
          <w:sz w:val="20"/>
          <w:szCs w:val="20"/>
        </w:rPr>
        <w:t>Revista CESCO de Derecho de Consumo</w:t>
      </w:r>
      <w:r w:rsidRPr="00F475F0">
        <w:rPr>
          <w:rFonts w:cstheme="minorHAnsi"/>
          <w:sz w:val="20"/>
          <w:szCs w:val="20"/>
        </w:rPr>
        <w:t xml:space="preserve">, Nº 43 (julio-septiembre), 2022, págs. 1-33. </w:t>
      </w:r>
    </w:p>
    <w:p w14:paraId="49851BAF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Costa, </w:t>
      </w:r>
      <w:proofErr w:type="spellStart"/>
      <w:r w:rsidRPr="00F475F0">
        <w:rPr>
          <w:rFonts w:cstheme="minorHAnsi"/>
          <w:sz w:val="20"/>
          <w:szCs w:val="20"/>
        </w:rPr>
        <w:t>Graça</w:t>
      </w:r>
      <w:proofErr w:type="spellEnd"/>
      <w:r w:rsidRPr="00F475F0">
        <w:rPr>
          <w:rFonts w:cstheme="minorHAnsi"/>
          <w:sz w:val="20"/>
          <w:szCs w:val="20"/>
        </w:rPr>
        <w:t xml:space="preserve">; Peris Brines, Nerea; Cervera Navas, Leonardo. “La protección de datos en la era digital”: </w:t>
      </w:r>
      <w:r w:rsidRPr="00F475F0">
        <w:rPr>
          <w:rFonts w:cstheme="minorHAnsi"/>
          <w:i/>
          <w:sz w:val="20"/>
          <w:szCs w:val="20"/>
        </w:rPr>
        <w:t>La Ley privacidad</w:t>
      </w:r>
      <w:r w:rsidRPr="00F475F0">
        <w:rPr>
          <w:rFonts w:cstheme="minorHAnsi"/>
          <w:sz w:val="20"/>
          <w:szCs w:val="20"/>
        </w:rPr>
        <w:t>, Nº. 10, 2021.</w:t>
      </w:r>
    </w:p>
    <w:p w14:paraId="1283E916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lastRenderedPageBreak/>
        <w:t xml:space="preserve">Cuesta </w:t>
      </w:r>
      <w:proofErr w:type="spellStart"/>
      <w:r w:rsidRPr="00F475F0">
        <w:rPr>
          <w:rFonts w:cstheme="minorHAnsi"/>
          <w:sz w:val="20"/>
          <w:szCs w:val="20"/>
        </w:rPr>
        <w:t>Barberá</w:t>
      </w:r>
      <w:proofErr w:type="spellEnd"/>
      <w:r w:rsidRPr="00F475F0">
        <w:rPr>
          <w:rFonts w:cstheme="minorHAnsi"/>
          <w:sz w:val="20"/>
          <w:szCs w:val="20"/>
        </w:rPr>
        <w:t xml:space="preserve">, Lázaro. “Obstáculos a la digitalización e innovación en el seguro”: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27-48.</w:t>
      </w:r>
    </w:p>
    <w:p w14:paraId="6991A2AB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del Campo López, Alba. “</w:t>
      </w:r>
      <w:proofErr w:type="spellStart"/>
      <w:r w:rsidRPr="00F475F0">
        <w:rPr>
          <w:rFonts w:cstheme="minorHAnsi"/>
          <w:sz w:val="20"/>
          <w:szCs w:val="20"/>
        </w:rPr>
        <w:t>Blockchain</w:t>
      </w:r>
      <w:proofErr w:type="spellEnd"/>
      <w:r w:rsidRPr="00F475F0">
        <w:rPr>
          <w:rFonts w:cstheme="minorHAnsi"/>
          <w:sz w:val="20"/>
          <w:szCs w:val="20"/>
        </w:rPr>
        <w:t xml:space="preserve"> y Protección de Datos: aplicabilidad y tipología de los datos almacenados”: </w:t>
      </w:r>
      <w:r w:rsidRPr="00F475F0">
        <w:rPr>
          <w:rFonts w:cstheme="minorHAnsi"/>
          <w:i/>
          <w:sz w:val="20"/>
          <w:szCs w:val="20"/>
        </w:rPr>
        <w:t>La Ley privacidad</w:t>
      </w:r>
      <w:r w:rsidRPr="00F475F0">
        <w:rPr>
          <w:rFonts w:cstheme="minorHAnsi"/>
          <w:sz w:val="20"/>
          <w:szCs w:val="20"/>
        </w:rPr>
        <w:t>, Nº. 10, 2021.</w:t>
      </w:r>
    </w:p>
    <w:p w14:paraId="131A645F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Deyá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Cerdá</w:t>
      </w:r>
      <w:proofErr w:type="spellEnd"/>
      <w:r w:rsidRPr="00F475F0">
        <w:rPr>
          <w:rFonts w:cstheme="minorHAnsi"/>
          <w:sz w:val="20"/>
          <w:szCs w:val="20"/>
        </w:rPr>
        <w:t xml:space="preserve">, Antonio. “El régimen jurídico de la dispensa en materia de establecimientos de alojamiento hotelero”: </w:t>
      </w:r>
      <w:r w:rsidRPr="00F475F0">
        <w:rPr>
          <w:rFonts w:cstheme="minorHAnsi"/>
          <w:i/>
          <w:sz w:val="20"/>
          <w:szCs w:val="20"/>
        </w:rPr>
        <w:t>Revista General de Derecho del Turismo RGDT</w:t>
      </w:r>
      <w:r w:rsidRPr="00F475F0">
        <w:rPr>
          <w:rFonts w:cstheme="minorHAnsi"/>
          <w:sz w:val="20"/>
          <w:szCs w:val="20"/>
        </w:rPr>
        <w:t>, Nº. 5, 2022.</w:t>
      </w:r>
    </w:p>
    <w:p w14:paraId="768959B7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Diéguez Aguilera, Laura. “Sobre la condición de consumidor mixto y su prueba: a propósito de la STS 43/2022 y otras resoluciones judiciales”: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10116, 2022.</w:t>
      </w:r>
    </w:p>
    <w:p w14:paraId="0E43AD15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Franquet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Sugrañes</w:t>
      </w:r>
      <w:proofErr w:type="spellEnd"/>
      <w:r w:rsidRPr="00F475F0">
        <w:rPr>
          <w:rFonts w:cstheme="minorHAnsi"/>
          <w:sz w:val="20"/>
          <w:szCs w:val="20"/>
        </w:rPr>
        <w:t xml:space="preserve">, Teresa. “El principio de transparencia y las condiciones generales en el contrato de seguro”: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347-361.</w:t>
      </w:r>
    </w:p>
    <w:p w14:paraId="5553ABCF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Fuentes </w:t>
      </w:r>
      <w:proofErr w:type="spellStart"/>
      <w:r w:rsidRPr="00F475F0">
        <w:rPr>
          <w:rFonts w:cstheme="minorHAnsi"/>
          <w:sz w:val="20"/>
          <w:szCs w:val="20"/>
        </w:rPr>
        <w:t>Naharro</w:t>
      </w:r>
      <w:proofErr w:type="spellEnd"/>
      <w:r w:rsidRPr="00F475F0">
        <w:rPr>
          <w:rFonts w:cstheme="minorHAnsi"/>
          <w:sz w:val="20"/>
          <w:szCs w:val="20"/>
        </w:rPr>
        <w:t xml:space="preserve">, Mónica. “Los principios procesales españoles no pueden impedir que el tribunal de apelación examine de oficio la devolución de todo lo abonado indebidamente por la cláusula suelo”: </w:t>
      </w:r>
      <w:r w:rsidRPr="00F475F0">
        <w:rPr>
          <w:rFonts w:cstheme="minorHAnsi"/>
          <w:i/>
          <w:sz w:val="20"/>
          <w:szCs w:val="20"/>
        </w:rPr>
        <w:t>Revista de derecho bancario y bursátil</w:t>
      </w:r>
      <w:r w:rsidRPr="00F475F0">
        <w:rPr>
          <w:rFonts w:cstheme="minorHAnsi"/>
          <w:sz w:val="20"/>
          <w:szCs w:val="20"/>
        </w:rPr>
        <w:t>, Año nº 41, Nº 166, 2022, págs. 299-300.</w:t>
      </w:r>
    </w:p>
    <w:p w14:paraId="05F31259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Fuentes </w:t>
      </w:r>
      <w:proofErr w:type="spellStart"/>
      <w:r w:rsidRPr="00F475F0">
        <w:rPr>
          <w:rFonts w:cstheme="minorHAnsi"/>
          <w:sz w:val="20"/>
          <w:szCs w:val="20"/>
        </w:rPr>
        <w:t>Naharro</w:t>
      </w:r>
      <w:proofErr w:type="spellEnd"/>
      <w:r w:rsidRPr="00F475F0">
        <w:rPr>
          <w:rFonts w:cstheme="minorHAnsi"/>
          <w:sz w:val="20"/>
          <w:szCs w:val="20"/>
        </w:rPr>
        <w:t xml:space="preserve">, Mónica. “OPS de </w:t>
      </w:r>
      <w:proofErr w:type="spellStart"/>
      <w:r w:rsidRPr="00F475F0">
        <w:rPr>
          <w:rFonts w:cstheme="minorHAnsi"/>
          <w:sz w:val="20"/>
          <w:szCs w:val="20"/>
        </w:rPr>
        <w:t>Bankia</w:t>
      </w:r>
      <w:proofErr w:type="spellEnd"/>
      <w:r w:rsidRPr="00F475F0">
        <w:rPr>
          <w:rFonts w:cstheme="minorHAnsi"/>
          <w:sz w:val="20"/>
          <w:szCs w:val="20"/>
        </w:rPr>
        <w:t xml:space="preserve"> e inversor cualificado: responsabilidad por falta de veracidad en el folleto”: </w:t>
      </w:r>
      <w:r w:rsidRPr="00F475F0">
        <w:rPr>
          <w:rFonts w:cstheme="minorHAnsi"/>
          <w:i/>
          <w:sz w:val="20"/>
          <w:szCs w:val="20"/>
        </w:rPr>
        <w:t>Revista de derecho bancario y bursátil</w:t>
      </w:r>
      <w:r w:rsidRPr="00F475F0">
        <w:rPr>
          <w:rFonts w:cstheme="minorHAnsi"/>
          <w:sz w:val="20"/>
          <w:szCs w:val="20"/>
        </w:rPr>
        <w:t>, Año nº 41, Nº 166, 2022, págs. 269-270.</w:t>
      </w:r>
    </w:p>
    <w:p w14:paraId="59139442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Fuentes-</w:t>
      </w:r>
      <w:proofErr w:type="spellStart"/>
      <w:r w:rsidRPr="00F475F0">
        <w:rPr>
          <w:rFonts w:cstheme="minorHAnsi"/>
          <w:sz w:val="20"/>
          <w:szCs w:val="20"/>
        </w:rPr>
        <w:t>Lojo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Rius</w:t>
      </w:r>
      <w:proofErr w:type="spellEnd"/>
      <w:r w:rsidRPr="00F475F0">
        <w:rPr>
          <w:rFonts w:cstheme="minorHAnsi"/>
          <w:sz w:val="20"/>
          <w:szCs w:val="20"/>
        </w:rPr>
        <w:t xml:space="preserve">, Alejandro. “El riesgo de desahucio ante la negativa al pago de la actualización de la renta”: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10136, 2022.</w:t>
      </w:r>
    </w:p>
    <w:p w14:paraId="5F2B7D18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Fuentes-</w:t>
      </w:r>
      <w:proofErr w:type="spellStart"/>
      <w:r w:rsidRPr="00F475F0">
        <w:rPr>
          <w:rFonts w:cstheme="minorHAnsi"/>
          <w:sz w:val="20"/>
          <w:szCs w:val="20"/>
        </w:rPr>
        <w:t>Lojo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Rius</w:t>
      </w:r>
      <w:proofErr w:type="spellEnd"/>
      <w:r w:rsidRPr="00F475F0">
        <w:rPr>
          <w:rFonts w:cstheme="minorHAnsi"/>
          <w:sz w:val="20"/>
          <w:szCs w:val="20"/>
        </w:rPr>
        <w:t xml:space="preserve">, Alejandro; Salas </w:t>
      </w:r>
      <w:proofErr w:type="spellStart"/>
      <w:r w:rsidRPr="00F475F0">
        <w:rPr>
          <w:rFonts w:cstheme="minorHAnsi"/>
          <w:sz w:val="20"/>
          <w:szCs w:val="20"/>
        </w:rPr>
        <w:t>Carceller</w:t>
      </w:r>
      <w:proofErr w:type="spellEnd"/>
      <w:r w:rsidRPr="00F475F0">
        <w:rPr>
          <w:rFonts w:cstheme="minorHAnsi"/>
          <w:sz w:val="20"/>
          <w:szCs w:val="20"/>
        </w:rPr>
        <w:t xml:space="preserve">, Antonio; Carrasco Perera, Ángel; </w:t>
      </w:r>
      <w:proofErr w:type="spellStart"/>
      <w:r w:rsidRPr="00F475F0">
        <w:rPr>
          <w:rFonts w:cstheme="minorHAnsi"/>
          <w:sz w:val="20"/>
          <w:szCs w:val="20"/>
        </w:rPr>
        <w:t>Perarnau</w:t>
      </w:r>
      <w:proofErr w:type="spellEnd"/>
      <w:r w:rsidRPr="00F475F0">
        <w:rPr>
          <w:rFonts w:cstheme="minorHAnsi"/>
          <w:sz w:val="20"/>
          <w:szCs w:val="20"/>
        </w:rPr>
        <w:t xml:space="preserve"> Moya, Joan; Echeverría </w:t>
      </w:r>
      <w:proofErr w:type="spellStart"/>
      <w:r w:rsidRPr="00F475F0">
        <w:rPr>
          <w:rFonts w:cstheme="minorHAnsi"/>
          <w:sz w:val="20"/>
          <w:szCs w:val="20"/>
        </w:rPr>
        <w:t>Summers</w:t>
      </w:r>
      <w:proofErr w:type="spellEnd"/>
      <w:r w:rsidRPr="00F475F0">
        <w:rPr>
          <w:rFonts w:cstheme="minorHAnsi"/>
          <w:sz w:val="20"/>
          <w:szCs w:val="20"/>
        </w:rPr>
        <w:t xml:space="preserve">, Francisco Manuel. “Morosidad y cláusula </w:t>
      </w:r>
      <w:proofErr w:type="spellStart"/>
      <w:r w:rsidRPr="00F475F0">
        <w:rPr>
          <w:rFonts w:cstheme="minorHAnsi"/>
          <w:sz w:val="20"/>
          <w:szCs w:val="20"/>
        </w:rPr>
        <w:t>rebus</w:t>
      </w:r>
      <w:proofErr w:type="spellEnd"/>
      <w:r w:rsidRPr="00F475F0">
        <w:rPr>
          <w:rFonts w:cstheme="minorHAnsi"/>
          <w:sz w:val="20"/>
          <w:szCs w:val="20"/>
        </w:rPr>
        <w:t xml:space="preserve"> sic </w:t>
      </w:r>
      <w:proofErr w:type="spellStart"/>
      <w:r w:rsidRPr="00F475F0">
        <w:rPr>
          <w:rFonts w:cstheme="minorHAnsi"/>
          <w:sz w:val="20"/>
          <w:szCs w:val="20"/>
        </w:rPr>
        <w:t>stanibus</w:t>
      </w:r>
      <w:proofErr w:type="spellEnd"/>
      <w:r w:rsidRPr="00F475F0">
        <w:rPr>
          <w:rFonts w:cstheme="minorHAnsi"/>
          <w:sz w:val="20"/>
          <w:szCs w:val="20"/>
        </w:rPr>
        <w:t xml:space="preserve">”: </w:t>
      </w:r>
      <w:r w:rsidRPr="00F475F0">
        <w:rPr>
          <w:rFonts w:cstheme="minorHAnsi"/>
          <w:i/>
          <w:sz w:val="20"/>
          <w:szCs w:val="20"/>
        </w:rPr>
        <w:t>Actualidad civil</w:t>
      </w:r>
      <w:r w:rsidRPr="00F475F0">
        <w:rPr>
          <w:rFonts w:cstheme="minorHAnsi"/>
          <w:sz w:val="20"/>
          <w:szCs w:val="20"/>
        </w:rPr>
        <w:t>, Nº 6, 2022.</w:t>
      </w:r>
    </w:p>
    <w:p w14:paraId="226AE8BF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Gámez, Álvaro; </w:t>
      </w:r>
      <w:proofErr w:type="spellStart"/>
      <w:r w:rsidRPr="00F475F0">
        <w:rPr>
          <w:rFonts w:cstheme="minorHAnsi"/>
          <w:sz w:val="20"/>
          <w:szCs w:val="20"/>
        </w:rPr>
        <w:t>Aguiló</w:t>
      </w:r>
      <w:proofErr w:type="spellEnd"/>
      <w:r w:rsidRPr="00F475F0">
        <w:rPr>
          <w:rFonts w:cstheme="minorHAnsi"/>
          <w:sz w:val="20"/>
          <w:szCs w:val="20"/>
        </w:rPr>
        <w:t xml:space="preserve">, Claudio; Ibiza, Jordi; Mayoral Olmos, Paula. “Comentario de urgencia a la Ley 16/2022, de 5 de septiembre, de reforma del Texto Refundido de la Ley Concursal”: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10133, 2022.</w:t>
      </w:r>
    </w:p>
    <w:p w14:paraId="7A6FB7DB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González </w:t>
      </w:r>
      <w:proofErr w:type="spellStart"/>
      <w:r w:rsidRPr="00F475F0">
        <w:rPr>
          <w:rFonts w:cstheme="minorHAnsi"/>
          <w:sz w:val="20"/>
          <w:szCs w:val="20"/>
        </w:rPr>
        <w:t>González</w:t>
      </w:r>
      <w:proofErr w:type="spellEnd"/>
      <w:r w:rsidRPr="00F475F0">
        <w:rPr>
          <w:rFonts w:cstheme="minorHAnsi"/>
          <w:sz w:val="20"/>
          <w:szCs w:val="20"/>
        </w:rPr>
        <w:t xml:space="preserve">, Marta. “El derecho de defensa del asegurado. Especial referencia a los seguros de responsabilidad medioambiental y civil medioambiental”: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411-430.</w:t>
      </w:r>
    </w:p>
    <w:p w14:paraId="2AED4FE9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Guerra Pérez, Miguel. “¿Caben compensaciones y reconvenciones en los desahucios y otros procedimientos arrendaticios?”: </w:t>
      </w:r>
      <w:r w:rsidRPr="00F475F0">
        <w:rPr>
          <w:rFonts w:cstheme="minorHAnsi"/>
          <w:i/>
          <w:sz w:val="20"/>
          <w:szCs w:val="20"/>
        </w:rPr>
        <w:t>Proceso civil: cuaderno jurídico</w:t>
      </w:r>
      <w:r w:rsidRPr="00F475F0">
        <w:rPr>
          <w:rFonts w:cstheme="minorHAnsi"/>
          <w:sz w:val="20"/>
          <w:szCs w:val="20"/>
        </w:rPr>
        <w:t>, Nº. 148, 2022, págs. 31-38.</w:t>
      </w:r>
    </w:p>
    <w:p w14:paraId="6D1F6127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Hernández </w:t>
      </w:r>
      <w:proofErr w:type="spellStart"/>
      <w:r w:rsidRPr="00F475F0">
        <w:rPr>
          <w:rFonts w:cstheme="minorHAnsi"/>
          <w:sz w:val="20"/>
          <w:szCs w:val="20"/>
        </w:rPr>
        <w:t>Paulsen</w:t>
      </w:r>
      <w:proofErr w:type="spellEnd"/>
      <w:r w:rsidRPr="00F475F0">
        <w:rPr>
          <w:rFonts w:cstheme="minorHAnsi"/>
          <w:sz w:val="20"/>
          <w:szCs w:val="20"/>
        </w:rPr>
        <w:t xml:space="preserve">, Gabriel; Ponce Márquez,  Matías. “Daños punitivos, especialmente para proteger el interés colectivo o difuso de los consumidores”: </w:t>
      </w:r>
      <w:r w:rsidRPr="00F475F0">
        <w:rPr>
          <w:rFonts w:cstheme="minorHAnsi"/>
          <w:i/>
          <w:sz w:val="20"/>
          <w:szCs w:val="20"/>
        </w:rPr>
        <w:t>Revista chilena de derecho privado</w:t>
      </w:r>
      <w:r w:rsidRPr="00F475F0">
        <w:rPr>
          <w:rFonts w:cstheme="minorHAnsi"/>
          <w:sz w:val="20"/>
          <w:szCs w:val="20"/>
        </w:rPr>
        <w:t>, Nº. 38 (julio), 2022, págs. 63-107.</w:t>
      </w:r>
    </w:p>
    <w:p w14:paraId="67DF0841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lastRenderedPageBreak/>
        <w:t xml:space="preserve">Hernández </w:t>
      </w:r>
      <w:proofErr w:type="spellStart"/>
      <w:r w:rsidRPr="00F475F0">
        <w:rPr>
          <w:rFonts w:cstheme="minorHAnsi"/>
          <w:sz w:val="20"/>
          <w:szCs w:val="20"/>
        </w:rPr>
        <w:t>Sáinz</w:t>
      </w:r>
      <w:proofErr w:type="spellEnd"/>
      <w:r w:rsidRPr="00F475F0">
        <w:rPr>
          <w:rFonts w:cstheme="minorHAnsi"/>
          <w:sz w:val="20"/>
          <w:szCs w:val="20"/>
        </w:rPr>
        <w:t xml:space="preserve">, Esther. “La oferta vinculante (irrevocable) en los préstamos o créditos a consumidores y su consecuente naturaleza consensual”: </w:t>
      </w:r>
      <w:r w:rsidRPr="00F475F0">
        <w:rPr>
          <w:rFonts w:cstheme="minorHAnsi"/>
          <w:i/>
          <w:sz w:val="20"/>
          <w:szCs w:val="20"/>
        </w:rPr>
        <w:t>Revista de derecho bancario y bursátil</w:t>
      </w:r>
      <w:r w:rsidRPr="00F475F0">
        <w:rPr>
          <w:rFonts w:cstheme="minorHAnsi"/>
          <w:sz w:val="20"/>
          <w:szCs w:val="20"/>
        </w:rPr>
        <w:t>, Año nº 41, Nº 166, 2022, págs. 11-50</w:t>
      </w:r>
    </w:p>
    <w:p w14:paraId="724CA5D0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Illescas</w:t>
      </w:r>
      <w:proofErr w:type="spellEnd"/>
      <w:r w:rsidRPr="00F475F0">
        <w:rPr>
          <w:rFonts w:cstheme="minorHAnsi"/>
          <w:sz w:val="20"/>
          <w:szCs w:val="20"/>
        </w:rPr>
        <w:t xml:space="preserve"> Ortiz, Rafael. “El renovado entorno legal del tomador de seguros: las leyes de capacidad, identidad electrónica y Registro Civil de 2020-2021”: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21-25.</w:t>
      </w:r>
    </w:p>
    <w:p w14:paraId="0182149A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Jault-Seseke</w:t>
      </w:r>
      <w:proofErr w:type="spellEnd"/>
      <w:r w:rsidRPr="00F475F0">
        <w:rPr>
          <w:rFonts w:cstheme="minorHAnsi"/>
          <w:sz w:val="20"/>
          <w:szCs w:val="20"/>
        </w:rPr>
        <w:t xml:space="preserve">, </w:t>
      </w:r>
      <w:proofErr w:type="spellStart"/>
      <w:r w:rsidRPr="00F475F0">
        <w:rPr>
          <w:rFonts w:cstheme="minorHAnsi"/>
          <w:sz w:val="20"/>
          <w:szCs w:val="20"/>
        </w:rPr>
        <w:t>Fabienne</w:t>
      </w:r>
      <w:proofErr w:type="spellEnd"/>
      <w:r w:rsidRPr="00F475F0">
        <w:rPr>
          <w:rFonts w:cstheme="minorHAnsi"/>
          <w:sz w:val="20"/>
          <w:szCs w:val="20"/>
        </w:rPr>
        <w:t>. “</w:t>
      </w:r>
      <w:proofErr w:type="spellStart"/>
      <w:r w:rsidRPr="00F475F0">
        <w:rPr>
          <w:rFonts w:cstheme="minorHAnsi"/>
          <w:sz w:val="20"/>
          <w:szCs w:val="20"/>
        </w:rPr>
        <w:t>Protection</w:t>
      </w:r>
      <w:proofErr w:type="spellEnd"/>
      <w:r w:rsidRPr="00F475F0">
        <w:rPr>
          <w:rFonts w:cstheme="minorHAnsi"/>
          <w:sz w:val="20"/>
          <w:szCs w:val="20"/>
        </w:rPr>
        <w:t xml:space="preserve"> des </w:t>
      </w:r>
      <w:proofErr w:type="spellStart"/>
      <w:r w:rsidRPr="00F475F0">
        <w:rPr>
          <w:rFonts w:cstheme="minorHAnsi"/>
          <w:sz w:val="20"/>
          <w:szCs w:val="20"/>
        </w:rPr>
        <w:t>données</w:t>
      </w:r>
      <w:proofErr w:type="spellEnd"/>
      <w:r w:rsidRPr="00F475F0">
        <w:rPr>
          <w:rFonts w:cstheme="minorHAnsi"/>
          <w:sz w:val="20"/>
          <w:szCs w:val="20"/>
        </w:rPr>
        <w:t xml:space="preserve">: la mise en </w:t>
      </w:r>
      <w:proofErr w:type="spellStart"/>
      <w:r w:rsidRPr="00F475F0">
        <w:rPr>
          <w:rFonts w:cstheme="minorHAnsi"/>
          <w:sz w:val="20"/>
          <w:szCs w:val="20"/>
        </w:rPr>
        <w:t>oeuvre</w:t>
      </w:r>
      <w:proofErr w:type="spellEnd"/>
      <w:r w:rsidRPr="00F475F0">
        <w:rPr>
          <w:rFonts w:cstheme="minorHAnsi"/>
          <w:sz w:val="20"/>
          <w:szCs w:val="20"/>
        </w:rPr>
        <w:t xml:space="preserve"> du </w:t>
      </w:r>
      <w:proofErr w:type="spellStart"/>
      <w:r w:rsidRPr="00F475F0">
        <w:rPr>
          <w:rFonts w:cstheme="minorHAnsi"/>
          <w:sz w:val="20"/>
          <w:szCs w:val="20"/>
        </w:rPr>
        <w:t>guichet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unique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ou</w:t>
      </w:r>
      <w:proofErr w:type="spellEnd"/>
      <w:r w:rsidRPr="00F475F0">
        <w:rPr>
          <w:rFonts w:cstheme="minorHAnsi"/>
          <w:sz w:val="20"/>
          <w:szCs w:val="20"/>
        </w:rPr>
        <w:t xml:space="preserve"> les </w:t>
      </w:r>
      <w:proofErr w:type="spellStart"/>
      <w:r w:rsidRPr="00F475F0">
        <w:rPr>
          <w:rFonts w:cstheme="minorHAnsi"/>
          <w:sz w:val="20"/>
          <w:szCs w:val="20"/>
        </w:rPr>
        <w:t>limites</w:t>
      </w:r>
      <w:proofErr w:type="spellEnd"/>
      <w:r w:rsidRPr="00F475F0">
        <w:rPr>
          <w:rFonts w:cstheme="minorHAnsi"/>
          <w:sz w:val="20"/>
          <w:szCs w:val="20"/>
        </w:rPr>
        <w:t xml:space="preserve"> de </w:t>
      </w:r>
      <w:proofErr w:type="spellStart"/>
      <w:r w:rsidRPr="00F475F0">
        <w:rPr>
          <w:rFonts w:cstheme="minorHAnsi"/>
          <w:sz w:val="20"/>
          <w:szCs w:val="20"/>
        </w:rPr>
        <w:t>l'intégration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européenne</w:t>
      </w:r>
      <w:proofErr w:type="spellEnd"/>
      <w:r w:rsidRPr="00F475F0">
        <w:rPr>
          <w:rFonts w:cstheme="minorHAnsi"/>
          <w:sz w:val="20"/>
          <w:szCs w:val="20"/>
        </w:rPr>
        <w:t xml:space="preserve">”: </w:t>
      </w:r>
      <w:proofErr w:type="spellStart"/>
      <w:r w:rsidRPr="00F475F0">
        <w:rPr>
          <w:rFonts w:cstheme="minorHAnsi"/>
          <w:i/>
          <w:sz w:val="20"/>
          <w:szCs w:val="20"/>
        </w:rPr>
        <w:t>Revue</w:t>
      </w:r>
      <w:proofErr w:type="spellEnd"/>
      <w:r w:rsidRPr="00F475F0">
        <w:rPr>
          <w:rFonts w:cstheme="minorHAnsi"/>
          <w:i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i/>
          <w:sz w:val="20"/>
          <w:szCs w:val="20"/>
        </w:rPr>
        <w:t>trimestrielle</w:t>
      </w:r>
      <w:proofErr w:type="spellEnd"/>
      <w:r w:rsidRPr="00F475F0">
        <w:rPr>
          <w:rFonts w:cstheme="minorHAnsi"/>
          <w:i/>
          <w:sz w:val="20"/>
          <w:szCs w:val="20"/>
        </w:rPr>
        <w:t xml:space="preserve"> de </w:t>
      </w:r>
      <w:proofErr w:type="spellStart"/>
      <w:r w:rsidRPr="00F475F0">
        <w:rPr>
          <w:rFonts w:cstheme="minorHAnsi"/>
          <w:i/>
          <w:sz w:val="20"/>
          <w:szCs w:val="20"/>
        </w:rPr>
        <w:t>droit</w:t>
      </w:r>
      <w:proofErr w:type="spellEnd"/>
      <w:r w:rsidRPr="00F475F0">
        <w:rPr>
          <w:rFonts w:cstheme="minorHAnsi"/>
          <w:i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i/>
          <w:sz w:val="20"/>
          <w:szCs w:val="20"/>
        </w:rPr>
        <w:t>europeen</w:t>
      </w:r>
      <w:proofErr w:type="spellEnd"/>
      <w:r w:rsidRPr="00F475F0">
        <w:rPr>
          <w:rFonts w:cstheme="minorHAnsi"/>
          <w:sz w:val="20"/>
          <w:szCs w:val="20"/>
        </w:rPr>
        <w:t>, Vol. 58, Nº 1, 2022, págs. 81-91.</w:t>
      </w:r>
    </w:p>
    <w:p w14:paraId="765D0B1E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López Casal, Yuri. “Los riesgos de desarrollo en el contexto de la responsabilidad civil por productos defectuosos”: </w:t>
      </w:r>
      <w:r w:rsidRPr="00F475F0">
        <w:rPr>
          <w:rFonts w:cstheme="minorHAnsi"/>
          <w:i/>
          <w:sz w:val="20"/>
          <w:szCs w:val="20"/>
        </w:rPr>
        <w:t>Revista de Ciencias Jurídicas</w:t>
      </w:r>
      <w:r w:rsidRPr="00F475F0">
        <w:rPr>
          <w:rFonts w:cstheme="minorHAnsi"/>
          <w:sz w:val="20"/>
          <w:szCs w:val="20"/>
        </w:rPr>
        <w:t>, Nº. 158, 2022.</w:t>
      </w:r>
    </w:p>
    <w:p w14:paraId="6A80806C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Marín López, Manuel Jesús. “La jurisprudencia del Tribunal Supremo relativa a los acuerdos novatorios sobre cláusula suelo”: </w:t>
      </w:r>
      <w:r w:rsidRPr="00F475F0">
        <w:rPr>
          <w:rFonts w:cstheme="minorHAnsi"/>
          <w:i/>
          <w:sz w:val="20"/>
          <w:szCs w:val="20"/>
        </w:rPr>
        <w:t>Cuadernos de derecho privado: CDP</w:t>
      </w:r>
      <w:r w:rsidRPr="00F475F0">
        <w:rPr>
          <w:rFonts w:cstheme="minorHAnsi"/>
          <w:sz w:val="20"/>
          <w:szCs w:val="20"/>
        </w:rPr>
        <w:t>, Nº. 3, 2022, págs. 85-155.</w:t>
      </w:r>
    </w:p>
    <w:p w14:paraId="5ECBA4A5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Martín Faba, José María. “Cuestiones interesantes sobre cantidades anticipadas destinadas a la compra de viviendas en construcción en la jurisprudencia civil actual”: </w:t>
      </w:r>
      <w:r w:rsidRPr="00F475F0">
        <w:rPr>
          <w:rFonts w:cstheme="minorHAnsi"/>
          <w:i/>
          <w:sz w:val="20"/>
          <w:szCs w:val="20"/>
        </w:rPr>
        <w:t>Cuadernos de derecho privado</w:t>
      </w:r>
      <w:r w:rsidRPr="00F475F0">
        <w:rPr>
          <w:rFonts w:cstheme="minorHAnsi"/>
          <w:sz w:val="20"/>
          <w:szCs w:val="20"/>
        </w:rPr>
        <w:t xml:space="preserve">: </w:t>
      </w:r>
      <w:r w:rsidRPr="00F475F0">
        <w:rPr>
          <w:rFonts w:cstheme="minorHAnsi"/>
          <w:i/>
          <w:sz w:val="20"/>
          <w:szCs w:val="20"/>
        </w:rPr>
        <w:t>CDP</w:t>
      </w:r>
      <w:r w:rsidRPr="00F475F0">
        <w:rPr>
          <w:rFonts w:cstheme="minorHAnsi"/>
          <w:sz w:val="20"/>
          <w:szCs w:val="20"/>
        </w:rPr>
        <w:t>, Nº. 3, 2022, págs. 156-209.</w:t>
      </w:r>
    </w:p>
    <w:p w14:paraId="45783FFB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Martín </w:t>
      </w:r>
      <w:proofErr w:type="spellStart"/>
      <w:r w:rsidRPr="00F475F0">
        <w:rPr>
          <w:rFonts w:cstheme="minorHAnsi"/>
          <w:sz w:val="20"/>
          <w:szCs w:val="20"/>
        </w:rPr>
        <w:t>Osante</w:t>
      </w:r>
      <w:proofErr w:type="spellEnd"/>
      <w:r w:rsidRPr="00F475F0">
        <w:rPr>
          <w:rFonts w:cstheme="minorHAnsi"/>
          <w:sz w:val="20"/>
          <w:szCs w:val="20"/>
        </w:rPr>
        <w:t xml:space="preserve">, José Manuel. “Incidencia de la digitalización en los seguros de transporte”: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119-144.</w:t>
      </w:r>
    </w:p>
    <w:p w14:paraId="313B6B8F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Miralles Bonilla, Lucía. “Directrices y recomendaciones del Comité Europeo de Protección de Datos en relación con el articulado del RGPD”: </w:t>
      </w:r>
      <w:r w:rsidRPr="00F475F0">
        <w:rPr>
          <w:rFonts w:cstheme="minorHAnsi"/>
          <w:i/>
          <w:sz w:val="20"/>
          <w:szCs w:val="20"/>
        </w:rPr>
        <w:t>La Ley privacidad</w:t>
      </w:r>
      <w:r w:rsidRPr="00F475F0">
        <w:rPr>
          <w:rFonts w:cstheme="minorHAnsi"/>
          <w:sz w:val="20"/>
          <w:szCs w:val="20"/>
        </w:rPr>
        <w:t>, Nº. 10, 2021.</w:t>
      </w:r>
    </w:p>
    <w:p w14:paraId="4F9A0B97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Miranda Anguita, Ana. “Mecanismos legales de protección del asegurado frente a la letra pequeña de las pólizas”: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389-409.</w:t>
      </w:r>
    </w:p>
    <w:p w14:paraId="63BB7400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Miranda Serrano, Luis María. “La necesaria distinción entre los controles de transparencia formal y material de las cláusulas limitativas de los derechos de los asegurados”: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191-228.</w:t>
      </w:r>
    </w:p>
    <w:p w14:paraId="295DFD2B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Mora </w:t>
      </w:r>
      <w:proofErr w:type="spellStart"/>
      <w:r w:rsidRPr="00F475F0">
        <w:rPr>
          <w:rFonts w:cstheme="minorHAnsi"/>
          <w:sz w:val="20"/>
          <w:szCs w:val="20"/>
        </w:rPr>
        <w:t>Gonzalez</w:t>
      </w:r>
      <w:proofErr w:type="spellEnd"/>
      <w:r w:rsidRPr="00F475F0">
        <w:rPr>
          <w:rFonts w:cstheme="minorHAnsi"/>
          <w:sz w:val="20"/>
          <w:szCs w:val="20"/>
        </w:rPr>
        <w:t xml:space="preserve">, Jesús Iván. “Intermediarios y posición de garante en el mercado único digital”: </w:t>
      </w:r>
      <w:r w:rsidRPr="00F475F0">
        <w:rPr>
          <w:rFonts w:cstheme="minorHAnsi"/>
          <w:i/>
          <w:sz w:val="20"/>
          <w:szCs w:val="20"/>
        </w:rPr>
        <w:t>REDE. Revista española de derecho europeo</w:t>
      </w:r>
      <w:r w:rsidRPr="00F475F0">
        <w:rPr>
          <w:rFonts w:cstheme="minorHAnsi"/>
          <w:sz w:val="20"/>
          <w:szCs w:val="20"/>
        </w:rPr>
        <w:t>, Nº. 81, 2022, págs. 69-99.</w:t>
      </w:r>
    </w:p>
    <w:p w14:paraId="15C613F2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Morales Barceló,  Judith. “El difícil equilibrio entre el régimen de los contratos de suministro de contenidos y servicios digitales y la protección de los datos personales”: </w:t>
      </w:r>
      <w:r w:rsidRPr="00F475F0">
        <w:rPr>
          <w:rFonts w:cstheme="minorHAnsi"/>
          <w:i/>
          <w:sz w:val="20"/>
          <w:szCs w:val="20"/>
        </w:rPr>
        <w:t>Revista Aranzadi de derecho y nuevas tecnologías</w:t>
      </w:r>
      <w:r w:rsidRPr="00F475F0">
        <w:rPr>
          <w:rFonts w:cstheme="minorHAnsi"/>
          <w:sz w:val="20"/>
          <w:szCs w:val="20"/>
        </w:rPr>
        <w:t>, Nº. 59, 2022.</w:t>
      </w:r>
    </w:p>
    <w:p w14:paraId="6AF7DCAA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lastRenderedPageBreak/>
        <w:t>Moralo</w:t>
      </w:r>
      <w:proofErr w:type="spellEnd"/>
      <w:r w:rsidRPr="00F475F0">
        <w:rPr>
          <w:rFonts w:cstheme="minorHAnsi"/>
          <w:sz w:val="20"/>
          <w:szCs w:val="20"/>
        </w:rPr>
        <w:t xml:space="preserve"> Iza, Víctor M. “Pasaporte digital de productos y </w:t>
      </w:r>
      <w:proofErr w:type="spellStart"/>
      <w:r w:rsidRPr="00F475F0">
        <w:rPr>
          <w:rFonts w:cstheme="minorHAnsi"/>
          <w:sz w:val="20"/>
          <w:szCs w:val="20"/>
        </w:rPr>
        <w:t>ecodiseño</w:t>
      </w:r>
      <w:proofErr w:type="spellEnd"/>
      <w:r w:rsidRPr="00F475F0">
        <w:rPr>
          <w:rFonts w:cstheme="minorHAnsi"/>
          <w:sz w:val="20"/>
          <w:szCs w:val="20"/>
        </w:rPr>
        <w:t xml:space="preserve">”: </w:t>
      </w:r>
      <w:r w:rsidRPr="00F475F0">
        <w:rPr>
          <w:rFonts w:cstheme="minorHAnsi"/>
          <w:i/>
          <w:sz w:val="20"/>
          <w:szCs w:val="20"/>
        </w:rPr>
        <w:t>Actualidad jurídica Aranzadi</w:t>
      </w:r>
      <w:r w:rsidRPr="00F475F0">
        <w:rPr>
          <w:rFonts w:cstheme="minorHAnsi"/>
          <w:sz w:val="20"/>
          <w:szCs w:val="20"/>
        </w:rPr>
        <w:t>, Nº 986, 2022.</w:t>
      </w:r>
    </w:p>
    <w:p w14:paraId="41D956FA" w14:textId="77777777" w:rsidR="008A7202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Moreno Flórez, Rosa María. </w:t>
      </w:r>
      <w:r w:rsidRPr="00F475F0">
        <w:rPr>
          <w:rFonts w:cstheme="minorHAnsi"/>
          <w:i/>
          <w:sz w:val="20"/>
          <w:szCs w:val="20"/>
        </w:rPr>
        <w:t>Problemática jurídica de las personas con discapacidad intelectual</w:t>
      </w:r>
      <w:r w:rsidRPr="00F475F0">
        <w:rPr>
          <w:rFonts w:cstheme="minorHAnsi"/>
          <w:sz w:val="20"/>
          <w:szCs w:val="20"/>
        </w:rPr>
        <w:t xml:space="preserve">, </w:t>
      </w:r>
      <w:proofErr w:type="spellStart"/>
      <w:r w:rsidRPr="00F475F0">
        <w:rPr>
          <w:rFonts w:cstheme="minorHAnsi"/>
          <w:sz w:val="20"/>
          <w:szCs w:val="20"/>
        </w:rPr>
        <w:t>Dykinson</w:t>
      </w:r>
      <w:proofErr w:type="spellEnd"/>
      <w:r w:rsidRPr="00F475F0">
        <w:rPr>
          <w:rFonts w:cstheme="minorHAnsi"/>
          <w:sz w:val="20"/>
          <w:szCs w:val="20"/>
        </w:rPr>
        <w:t xml:space="preserve">, Madrid, 2022. </w:t>
      </w:r>
    </w:p>
    <w:p w14:paraId="49EA79FB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Moret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Millás</w:t>
      </w:r>
      <w:proofErr w:type="spellEnd"/>
      <w:r w:rsidRPr="00F475F0">
        <w:rPr>
          <w:rFonts w:cstheme="minorHAnsi"/>
          <w:sz w:val="20"/>
          <w:szCs w:val="20"/>
        </w:rPr>
        <w:t xml:space="preserve">, Vicente; Sánchez Gil, Ignacio. “Una aproximación de Derecho Comparado a la regulación de las plataformas de redes sociales”: </w:t>
      </w:r>
      <w:r w:rsidRPr="00F475F0">
        <w:rPr>
          <w:rFonts w:cstheme="minorHAnsi"/>
          <w:i/>
          <w:sz w:val="20"/>
          <w:szCs w:val="20"/>
        </w:rPr>
        <w:t>Revista de las Cortes Generales</w:t>
      </w:r>
      <w:r w:rsidRPr="00F475F0">
        <w:rPr>
          <w:rFonts w:cstheme="minorHAnsi"/>
          <w:sz w:val="20"/>
          <w:szCs w:val="20"/>
        </w:rPr>
        <w:t>, Nº 112, 2022, págs. 287-316.</w:t>
      </w:r>
    </w:p>
    <w:p w14:paraId="43565EC3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Muñoz Paredes, Alfonso. “Cuestiones sobre la reforma concursal (I): Cronología de la insolvencia”: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10133, 2022.</w:t>
      </w:r>
    </w:p>
    <w:p w14:paraId="637E2ABE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Muñoz Paredes, Alfonso. “La exoneración de pasivo insatisfecho y el "</w:t>
      </w:r>
      <w:proofErr w:type="spellStart"/>
      <w:r w:rsidRPr="00F475F0">
        <w:rPr>
          <w:rFonts w:cstheme="minorHAnsi"/>
          <w:sz w:val="20"/>
          <w:szCs w:val="20"/>
        </w:rPr>
        <w:t>ius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naufragii</w:t>
      </w:r>
      <w:proofErr w:type="spellEnd"/>
      <w:r w:rsidRPr="00F475F0">
        <w:rPr>
          <w:rFonts w:cstheme="minorHAnsi"/>
          <w:sz w:val="20"/>
          <w:szCs w:val="20"/>
        </w:rPr>
        <w:t xml:space="preserve">"”: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10120, 2022.</w:t>
      </w:r>
    </w:p>
    <w:p w14:paraId="7A3A94EF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Nikitas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Michail</w:t>
      </w:r>
      <w:proofErr w:type="spellEnd"/>
      <w:r w:rsidRPr="00F475F0">
        <w:rPr>
          <w:rFonts w:cstheme="minorHAnsi"/>
          <w:sz w:val="20"/>
          <w:szCs w:val="20"/>
        </w:rPr>
        <w:t xml:space="preserve">, </w:t>
      </w:r>
      <w:proofErr w:type="spellStart"/>
      <w:r w:rsidRPr="00F475F0">
        <w:rPr>
          <w:rFonts w:cstheme="minorHAnsi"/>
          <w:sz w:val="20"/>
          <w:szCs w:val="20"/>
        </w:rPr>
        <w:t>Chloé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Ponsart</w:t>
      </w:r>
      <w:proofErr w:type="spellEnd"/>
      <w:r w:rsidRPr="00F475F0">
        <w:rPr>
          <w:rFonts w:cstheme="minorHAnsi"/>
          <w:sz w:val="20"/>
          <w:szCs w:val="20"/>
        </w:rPr>
        <w:t xml:space="preserve">. </w:t>
      </w:r>
      <w:r w:rsidR="00F475F0" w:rsidRPr="00F475F0">
        <w:rPr>
          <w:rFonts w:cstheme="minorHAnsi"/>
          <w:sz w:val="20"/>
          <w:szCs w:val="20"/>
        </w:rPr>
        <w:t>“Le RGPD</w:t>
      </w:r>
      <w:r w:rsidRPr="00F475F0">
        <w:rPr>
          <w:rFonts w:cstheme="minorHAnsi"/>
          <w:sz w:val="20"/>
          <w:szCs w:val="20"/>
        </w:rPr>
        <w:t xml:space="preserve">: </w:t>
      </w:r>
      <w:proofErr w:type="spellStart"/>
      <w:r w:rsidRPr="00F475F0">
        <w:rPr>
          <w:rFonts w:cstheme="minorHAnsi"/>
          <w:sz w:val="20"/>
          <w:szCs w:val="20"/>
        </w:rPr>
        <w:t>état</w:t>
      </w:r>
      <w:proofErr w:type="spellEnd"/>
      <w:r w:rsidRPr="00F475F0">
        <w:rPr>
          <w:rFonts w:cstheme="minorHAnsi"/>
          <w:sz w:val="20"/>
          <w:szCs w:val="20"/>
        </w:rPr>
        <w:t xml:space="preserve"> des </w:t>
      </w:r>
      <w:proofErr w:type="spellStart"/>
      <w:r w:rsidRPr="00F475F0">
        <w:rPr>
          <w:rFonts w:cstheme="minorHAnsi"/>
          <w:sz w:val="20"/>
          <w:szCs w:val="20"/>
        </w:rPr>
        <w:t>lieux</w:t>
      </w:r>
      <w:proofErr w:type="spellEnd"/>
      <w:r w:rsidRPr="00F475F0">
        <w:rPr>
          <w:rFonts w:cstheme="minorHAnsi"/>
          <w:sz w:val="20"/>
          <w:szCs w:val="20"/>
        </w:rPr>
        <w:t xml:space="preserve"> du </w:t>
      </w:r>
      <w:proofErr w:type="spellStart"/>
      <w:r w:rsidRPr="00F475F0">
        <w:rPr>
          <w:rFonts w:cstheme="minorHAnsi"/>
          <w:sz w:val="20"/>
          <w:szCs w:val="20"/>
        </w:rPr>
        <w:t>règlement</w:t>
      </w:r>
      <w:proofErr w:type="spellEnd"/>
      <w:r w:rsidRPr="00F475F0">
        <w:rPr>
          <w:rFonts w:cstheme="minorHAnsi"/>
          <w:sz w:val="20"/>
          <w:szCs w:val="20"/>
        </w:rPr>
        <w:t xml:space="preserve"> central du </w:t>
      </w:r>
      <w:proofErr w:type="spellStart"/>
      <w:r w:rsidRPr="00F475F0">
        <w:rPr>
          <w:rFonts w:cstheme="minorHAnsi"/>
          <w:sz w:val="20"/>
          <w:szCs w:val="20"/>
        </w:rPr>
        <w:t>droit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européen</w:t>
      </w:r>
      <w:proofErr w:type="spellEnd"/>
      <w:r w:rsidRPr="00F475F0">
        <w:rPr>
          <w:rFonts w:cstheme="minorHAnsi"/>
          <w:sz w:val="20"/>
          <w:szCs w:val="20"/>
        </w:rPr>
        <w:t xml:space="preserve"> de la </w:t>
      </w:r>
      <w:proofErr w:type="spellStart"/>
      <w:r w:rsidRPr="00F475F0">
        <w:rPr>
          <w:rFonts w:cstheme="minorHAnsi"/>
          <w:sz w:val="20"/>
          <w:szCs w:val="20"/>
        </w:rPr>
        <w:t>protection</w:t>
      </w:r>
      <w:proofErr w:type="spellEnd"/>
      <w:r w:rsidRPr="00F475F0">
        <w:rPr>
          <w:rFonts w:cstheme="minorHAnsi"/>
          <w:sz w:val="20"/>
          <w:szCs w:val="20"/>
        </w:rPr>
        <w:t xml:space="preserve"> et de la libre </w:t>
      </w:r>
      <w:proofErr w:type="spellStart"/>
      <w:r w:rsidRPr="00F475F0">
        <w:rPr>
          <w:rFonts w:cstheme="minorHAnsi"/>
          <w:sz w:val="20"/>
          <w:szCs w:val="20"/>
        </w:rPr>
        <w:t>circulation</w:t>
      </w:r>
      <w:proofErr w:type="spellEnd"/>
      <w:r w:rsidRPr="00F475F0">
        <w:rPr>
          <w:rFonts w:cstheme="minorHAnsi"/>
          <w:sz w:val="20"/>
          <w:szCs w:val="20"/>
        </w:rPr>
        <w:t xml:space="preserve"> des </w:t>
      </w:r>
      <w:proofErr w:type="spellStart"/>
      <w:r w:rsidRPr="00F475F0">
        <w:rPr>
          <w:rFonts w:cstheme="minorHAnsi"/>
          <w:sz w:val="20"/>
          <w:szCs w:val="20"/>
        </w:rPr>
        <w:t>données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personnelles</w:t>
      </w:r>
      <w:proofErr w:type="spellEnd"/>
      <w:r w:rsidRPr="00F475F0">
        <w:rPr>
          <w:rFonts w:cstheme="minorHAnsi"/>
          <w:sz w:val="20"/>
          <w:szCs w:val="20"/>
        </w:rPr>
        <w:t xml:space="preserve">”: </w:t>
      </w:r>
      <w:proofErr w:type="spellStart"/>
      <w:r w:rsidRPr="00F475F0">
        <w:rPr>
          <w:rFonts w:cstheme="minorHAnsi"/>
          <w:i/>
          <w:sz w:val="20"/>
          <w:szCs w:val="20"/>
        </w:rPr>
        <w:t>Cahiers</w:t>
      </w:r>
      <w:proofErr w:type="spellEnd"/>
      <w:r w:rsidRPr="00F475F0">
        <w:rPr>
          <w:rFonts w:cstheme="minorHAnsi"/>
          <w:i/>
          <w:sz w:val="20"/>
          <w:szCs w:val="20"/>
        </w:rPr>
        <w:t xml:space="preserve"> de </w:t>
      </w:r>
      <w:proofErr w:type="spellStart"/>
      <w:r w:rsidRPr="00F475F0">
        <w:rPr>
          <w:rFonts w:cstheme="minorHAnsi"/>
          <w:i/>
          <w:sz w:val="20"/>
          <w:szCs w:val="20"/>
        </w:rPr>
        <w:t>droit</w:t>
      </w:r>
      <w:proofErr w:type="spellEnd"/>
      <w:r w:rsidRPr="00F475F0">
        <w:rPr>
          <w:rFonts w:cstheme="minorHAnsi"/>
          <w:i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i/>
          <w:sz w:val="20"/>
          <w:szCs w:val="20"/>
        </w:rPr>
        <w:t>europeen</w:t>
      </w:r>
      <w:proofErr w:type="spellEnd"/>
      <w:r w:rsidRPr="00F475F0">
        <w:rPr>
          <w:rFonts w:cstheme="minorHAnsi"/>
          <w:sz w:val="20"/>
          <w:szCs w:val="20"/>
        </w:rPr>
        <w:t>, Vol. 57, Nº 3, 2021, págs. 725-823.</w:t>
      </w:r>
    </w:p>
    <w:p w14:paraId="347093D4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Orduña Moreno, Francisco Javier. “La protección jurídica del consumidor y del cliente en el mercado asegurador conforme a la primacía del derecho de la unión europea: una perspectiva sistemática y transversal desde el principio de transparencia”: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10099, 2022.</w:t>
      </w:r>
    </w:p>
    <w:p w14:paraId="5DE4015C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Otazu</w:t>
      </w:r>
      <w:proofErr w:type="spellEnd"/>
      <w:r w:rsidRPr="00F475F0">
        <w:rPr>
          <w:rFonts w:cstheme="minorHAnsi"/>
          <w:sz w:val="20"/>
          <w:szCs w:val="20"/>
        </w:rPr>
        <w:t xml:space="preserve"> Serrano, María José. “Contrato de Seguro y contratación electrónica: transparencia y protección consumidores”: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331-345.</w:t>
      </w:r>
    </w:p>
    <w:p w14:paraId="0F14FBFE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Pagador López, Javier. “La protección del asegurado en la ley de contrato de seguro: el art. 3 LCS cuarenta años después”: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229-249.</w:t>
      </w:r>
    </w:p>
    <w:p w14:paraId="33140362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Pérez-</w:t>
      </w:r>
      <w:proofErr w:type="spellStart"/>
      <w:r w:rsidRPr="00F475F0">
        <w:rPr>
          <w:rFonts w:cstheme="minorHAnsi"/>
          <w:sz w:val="20"/>
          <w:szCs w:val="20"/>
        </w:rPr>
        <w:t>Serrabona</w:t>
      </w:r>
      <w:proofErr w:type="spellEnd"/>
      <w:r w:rsidRPr="00F475F0">
        <w:rPr>
          <w:rFonts w:cstheme="minorHAnsi"/>
          <w:sz w:val="20"/>
          <w:szCs w:val="20"/>
        </w:rPr>
        <w:t xml:space="preserve"> González, José Luis. “El lenguaje de las pólizas del contrato de seguro”: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269-301.</w:t>
      </w:r>
    </w:p>
    <w:p w14:paraId="21D2A4B7" w14:textId="77777777" w:rsidR="00943CF5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Plasencia, Ricardo; </w:t>
      </w:r>
      <w:proofErr w:type="spellStart"/>
      <w:r w:rsidRPr="00F475F0">
        <w:rPr>
          <w:rFonts w:cstheme="minorHAnsi"/>
          <w:sz w:val="20"/>
          <w:szCs w:val="20"/>
        </w:rPr>
        <w:t>Salgueiro</w:t>
      </w:r>
      <w:proofErr w:type="spellEnd"/>
      <w:r w:rsidRPr="00F475F0">
        <w:rPr>
          <w:rFonts w:cstheme="minorHAnsi"/>
          <w:sz w:val="20"/>
          <w:szCs w:val="20"/>
        </w:rPr>
        <w:t xml:space="preserve">, Andrea. “Publicación del Anteproyecto de Ley de Creación de la Autoridad de Defensa del Cliente Financiero”: </w:t>
      </w:r>
      <w:r w:rsidRPr="00F475F0">
        <w:rPr>
          <w:rFonts w:cstheme="minorHAnsi"/>
          <w:i/>
          <w:sz w:val="20"/>
          <w:szCs w:val="20"/>
        </w:rPr>
        <w:t>Actualidad jurídica Aranzadi</w:t>
      </w:r>
      <w:r w:rsidRPr="00F475F0">
        <w:rPr>
          <w:rFonts w:cstheme="minorHAnsi"/>
          <w:sz w:val="20"/>
          <w:szCs w:val="20"/>
        </w:rPr>
        <w:t>, Nº 985, 2022.</w:t>
      </w:r>
    </w:p>
    <w:p w14:paraId="2905B95A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Portellano</w:t>
      </w:r>
      <w:proofErr w:type="spellEnd"/>
      <w:r w:rsidRPr="00F475F0">
        <w:rPr>
          <w:rFonts w:cstheme="minorHAnsi"/>
          <w:sz w:val="20"/>
          <w:szCs w:val="20"/>
        </w:rPr>
        <w:t xml:space="preserve"> Díez, Pedro. “El traslado de la residencia habitual del asegurado. (La paradoja de la libre de prestación de servicios no elegida)”: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303-319.</w:t>
      </w:r>
    </w:p>
    <w:p w14:paraId="5BA4865D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Quiñones Cabrera, Pedro M. “La dación en pago, el consumidor bancario y su relación con el pacto comisorio, marciano y ex intervalo”: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10124, 2022.</w:t>
      </w:r>
    </w:p>
    <w:p w14:paraId="51C3815D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lastRenderedPageBreak/>
        <w:t>Requeijo</w:t>
      </w:r>
      <w:proofErr w:type="spellEnd"/>
      <w:r w:rsidRPr="00F475F0">
        <w:rPr>
          <w:rFonts w:cstheme="minorHAnsi"/>
          <w:sz w:val="20"/>
          <w:szCs w:val="20"/>
        </w:rPr>
        <w:t xml:space="preserve"> Torcal, Álvaro. “La protección del asegurado como límite a la inteligencia artificial en la distribución de seguros”: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163-188.</w:t>
      </w:r>
    </w:p>
    <w:p w14:paraId="5446B5FC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Rey </w:t>
      </w:r>
      <w:proofErr w:type="spellStart"/>
      <w:r w:rsidRPr="00F475F0">
        <w:rPr>
          <w:rFonts w:cstheme="minorHAnsi"/>
          <w:sz w:val="20"/>
          <w:szCs w:val="20"/>
        </w:rPr>
        <w:t>Baldomir</w:t>
      </w:r>
      <w:proofErr w:type="spellEnd"/>
      <w:r w:rsidRPr="00F475F0">
        <w:rPr>
          <w:rFonts w:cstheme="minorHAnsi"/>
          <w:sz w:val="20"/>
          <w:szCs w:val="20"/>
        </w:rPr>
        <w:t xml:space="preserve">, Susana; Lomas Sampedro, Javier. “Guía [práctica] para la gestión de brechas de datos personales: ¿De verdad creemos estar preparados para afrontar una brecha de datos personales?”: </w:t>
      </w:r>
      <w:r w:rsidRPr="00F475F0">
        <w:rPr>
          <w:rFonts w:cstheme="minorHAnsi"/>
          <w:i/>
          <w:sz w:val="20"/>
          <w:szCs w:val="20"/>
        </w:rPr>
        <w:t>La Ley privacidad</w:t>
      </w:r>
      <w:r w:rsidRPr="00F475F0">
        <w:rPr>
          <w:rFonts w:cstheme="minorHAnsi"/>
          <w:sz w:val="20"/>
          <w:szCs w:val="20"/>
        </w:rPr>
        <w:t>, Nº. 10, 2021.</w:t>
      </w:r>
    </w:p>
    <w:p w14:paraId="37C05F49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Román Márquez, Alejandro. “Viviendas de uso turístico, legislación económica y calidad de la oferta </w:t>
      </w:r>
      <w:proofErr w:type="spellStart"/>
      <w:r w:rsidRPr="00F475F0">
        <w:rPr>
          <w:rFonts w:cstheme="minorHAnsi"/>
          <w:sz w:val="20"/>
          <w:szCs w:val="20"/>
        </w:rPr>
        <w:t>alojativa</w:t>
      </w:r>
      <w:proofErr w:type="spellEnd"/>
      <w:r w:rsidRPr="00F475F0">
        <w:rPr>
          <w:rFonts w:cstheme="minorHAnsi"/>
          <w:sz w:val="20"/>
          <w:szCs w:val="20"/>
        </w:rPr>
        <w:t xml:space="preserve">: una propuesta integradora”: </w:t>
      </w:r>
      <w:r w:rsidRPr="00F475F0">
        <w:rPr>
          <w:rFonts w:cstheme="minorHAnsi"/>
          <w:i/>
          <w:sz w:val="20"/>
          <w:szCs w:val="20"/>
        </w:rPr>
        <w:t>Revista General de Derecho del Turismo RGDT</w:t>
      </w:r>
      <w:r w:rsidRPr="00F475F0">
        <w:rPr>
          <w:rFonts w:cstheme="minorHAnsi"/>
          <w:sz w:val="20"/>
          <w:szCs w:val="20"/>
        </w:rPr>
        <w:t>, Nº. 5, 2022.</w:t>
      </w:r>
    </w:p>
    <w:p w14:paraId="6A144C15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Rueda Valdivia, Ricardo. “Orden TMA/201/2022, de 14 de marzo: Un paso más hacia la consolidación de la resolución alternativa de litigios de consumo en el transporte aéreo”: </w:t>
      </w:r>
      <w:r w:rsidRPr="00F475F0">
        <w:rPr>
          <w:rFonts w:cstheme="minorHAnsi"/>
          <w:i/>
          <w:sz w:val="20"/>
          <w:szCs w:val="20"/>
        </w:rPr>
        <w:t>Revista de derecho privado</w:t>
      </w:r>
      <w:r w:rsidRPr="00F475F0">
        <w:rPr>
          <w:rFonts w:cstheme="minorHAnsi"/>
          <w:sz w:val="20"/>
          <w:szCs w:val="20"/>
        </w:rPr>
        <w:t>, Año nº 106, Mes 5, 2022, págs. 37-76.</w:t>
      </w:r>
    </w:p>
    <w:p w14:paraId="27B7B64B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Sempere</w:t>
      </w:r>
      <w:proofErr w:type="spellEnd"/>
      <w:r w:rsidRPr="00F475F0">
        <w:rPr>
          <w:rFonts w:cstheme="minorHAnsi"/>
          <w:sz w:val="20"/>
          <w:szCs w:val="20"/>
        </w:rPr>
        <w:t xml:space="preserve"> Samaniego, Javier. “Conclusiones sobre la multa a </w:t>
      </w:r>
      <w:proofErr w:type="spellStart"/>
      <w:r w:rsidRPr="00F475F0">
        <w:rPr>
          <w:rFonts w:cstheme="minorHAnsi"/>
          <w:sz w:val="20"/>
          <w:szCs w:val="20"/>
        </w:rPr>
        <w:t>Mercadona</w:t>
      </w:r>
      <w:proofErr w:type="spellEnd"/>
      <w:r w:rsidRPr="00F475F0">
        <w:rPr>
          <w:rFonts w:cstheme="minorHAnsi"/>
          <w:sz w:val="20"/>
          <w:szCs w:val="20"/>
        </w:rPr>
        <w:t xml:space="preserve"> por no atender un derecho de acceso a las grabaciones de </w:t>
      </w:r>
      <w:proofErr w:type="spellStart"/>
      <w:r w:rsidRPr="00F475F0">
        <w:rPr>
          <w:rFonts w:cstheme="minorHAnsi"/>
          <w:sz w:val="20"/>
          <w:szCs w:val="20"/>
        </w:rPr>
        <w:t>videovigilancia</w:t>
      </w:r>
      <w:proofErr w:type="spellEnd"/>
      <w:r w:rsidRPr="00F475F0">
        <w:rPr>
          <w:rFonts w:cstheme="minorHAnsi"/>
          <w:sz w:val="20"/>
          <w:szCs w:val="20"/>
        </w:rPr>
        <w:t xml:space="preserve">”: La Ley privacidad, Nº. 13, 2022. </w:t>
      </w:r>
    </w:p>
    <w:p w14:paraId="4DD92DF7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Sempere</w:t>
      </w:r>
      <w:proofErr w:type="spellEnd"/>
      <w:r w:rsidRPr="00F475F0">
        <w:rPr>
          <w:rFonts w:cstheme="minorHAnsi"/>
          <w:sz w:val="20"/>
          <w:szCs w:val="20"/>
        </w:rPr>
        <w:t xml:space="preserve"> Samaniego, Javier. “El Comité Europeo de Protección de Datos publica unas directrices para el desarrollo del art. 23 del RGPD sobre limitación de los derechos”: </w:t>
      </w:r>
      <w:r w:rsidRPr="00F475F0">
        <w:rPr>
          <w:rFonts w:cstheme="minorHAnsi"/>
          <w:i/>
          <w:sz w:val="20"/>
          <w:szCs w:val="20"/>
        </w:rPr>
        <w:t>La Ley privacidad</w:t>
      </w:r>
      <w:r w:rsidRPr="00F475F0">
        <w:rPr>
          <w:rFonts w:cstheme="minorHAnsi"/>
          <w:sz w:val="20"/>
          <w:szCs w:val="20"/>
        </w:rPr>
        <w:t>, Nº. 10, 2021.</w:t>
      </w:r>
    </w:p>
    <w:p w14:paraId="1FC54AF4" w14:textId="77777777" w:rsidR="00F92CD8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Serna Tuya, Juan Moisés de la; García Vidal, Marcos; Torres Fernández, Cristóbal; Jerez Rivero, </w:t>
      </w:r>
      <w:proofErr w:type="spellStart"/>
      <w:r w:rsidRPr="00F475F0">
        <w:rPr>
          <w:rFonts w:cstheme="minorHAnsi"/>
          <w:sz w:val="20"/>
          <w:szCs w:val="20"/>
        </w:rPr>
        <w:t>Wilbemis</w:t>
      </w:r>
      <w:proofErr w:type="spellEnd"/>
      <w:r w:rsidRPr="00F475F0">
        <w:rPr>
          <w:rFonts w:cstheme="minorHAnsi"/>
          <w:sz w:val="20"/>
          <w:szCs w:val="20"/>
        </w:rPr>
        <w:t xml:space="preserve">. </w:t>
      </w:r>
      <w:r w:rsidRPr="00F475F0">
        <w:rPr>
          <w:rFonts w:cstheme="minorHAnsi"/>
          <w:i/>
          <w:sz w:val="20"/>
          <w:szCs w:val="20"/>
        </w:rPr>
        <w:t>Avances y prospectiva en la protección jurídico-social de las personas en situación de vulnerabilidad</w:t>
      </w:r>
      <w:r w:rsidRPr="00F475F0">
        <w:rPr>
          <w:rFonts w:cstheme="minorHAnsi"/>
          <w:sz w:val="20"/>
          <w:szCs w:val="20"/>
        </w:rPr>
        <w:t xml:space="preserve">, </w:t>
      </w:r>
      <w:proofErr w:type="spellStart"/>
      <w:r w:rsidRPr="00F475F0">
        <w:rPr>
          <w:rFonts w:cstheme="minorHAnsi"/>
          <w:sz w:val="20"/>
          <w:szCs w:val="20"/>
        </w:rPr>
        <w:t>Dykinson</w:t>
      </w:r>
      <w:proofErr w:type="spellEnd"/>
      <w:r w:rsidRPr="00F475F0">
        <w:rPr>
          <w:rFonts w:cstheme="minorHAnsi"/>
          <w:sz w:val="20"/>
          <w:szCs w:val="20"/>
        </w:rPr>
        <w:t xml:space="preserve">, Madrid, 2022. </w:t>
      </w:r>
    </w:p>
    <w:p w14:paraId="6ED92D88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Serrano Cañas, José Manuel. “Big data y contrato de seguro. Alegato por la desaparición del cuestionario”: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145-162.</w:t>
      </w:r>
    </w:p>
    <w:p w14:paraId="1CB4B1C5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proofErr w:type="spellStart"/>
      <w:r w:rsidRPr="00F475F0">
        <w:rPr>
          <w:rFonts w:cstheme="minorHAnsi"/>
          <w:sz w:val="20"/>
          <w:szCs w:val="20"/>
        </w:rPr>
        <w:t>Stern</w:t>
      </w:r>
      <w:proofErr w:type="spellEnd"/>
      <w:r w:rsidRPr="00F475F0">
        <w:rPr>
          <w:rFonts w:cstheme="minorHAnsi"/>
          <w:sz w:val="20"/>
          <w:szCs w:val="20"/>
        </w:rPr>
        <w:t xml:space="preserve"> </w:t>
      </w:r>
      <w:proofErr w:type="spellStart"/>
      <w:r w:rsidRPr="00F475F0">
        <w:rPr>
          <w:rFonts w:cstheme="minorHAnsi"/>
          <w:sz w:val="20"/>
          <w:szCs w:val="20"/>
        </w:rPr>
        <w:t>Gelman</w:t>
      </w:r>
      <w:proofErr w:type="spellEnd"/>
      <w:r w:rsidRPr="00F475F0">
        <w:rPr>
          <w:rFonts w:cstheme="minorHAnsi"/>
          <w:sz w:val="20"/>
          <w:szCs w:val="20"/>
        </w:rPr>
        <w:t xml:space="preserve">, Lucas. “¿Contratos de explotación mutuamente beneficiosos? Abuso de poder, personas vulnerables y grandes laboratorios farmacéuticos”: </w:t>
      </w:r>
      <w:r w:rsidRPr="00F475F0">
        <w:rPr>
          <w:rFonts w:cstheme="minorHAnsi"/>
          <w:i/>
          <w:sz w:val="20"/>
          <w:szCs w:val="20"/>
        </w:rPr>
        <w:t>Revista de bioética y derecho: publicación del Máster en bioética y derecho</w:t>
      </w:r>
      <w:r w:rsidRPr="00F475F0">
        <w:rPr>
          <w:rFonts w:cstheme="minorHAnsi"/>
          <w:sz w:val="20"/>
          <w:szCs w:val="20"/>
        </w:rPr>
        <w:t>, Nº. 55, 2022, págs. 75-89.</w:t>
      </w:r>
    </w:p>
    <w:p w14:paraId="5B1493AE" w14:textId="77777777" w:rsidR="00CA5B7B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>Tapia Hermida, Alberto Javier. “Intereses usurarios en tarjetas “</w:t>
      </w:r>
      <w:proofErr w:type="spellStart"/>
      <w:r w:rsidRPr="00F475F0">
        <w:rPr>
          <w:rFonts w:cstheme="minorHAnsi"/>
          <w:sz w:val="20"/>
          <w:szCs w:val="20"/>
        </w:rPr>
        <w:t>revolving</w:t>
      </w:r>
      <w:proofErr w:type="spellEnd"/>
      <w:r w:rsidRPr="00F475F0">
        <w:rPr>
          <w:rFonts w:cstheme="minorHAnsi"/>
          <w:sz w:val="20"/>
          <w:szCs w:val="20"/>
        </w:rPr>
        <w:t xml:space="preserve">”. La Sentencia 367/2022 de la Sala Primera de lo Civil del Tribunal Supremo de 4 de mayo de 2022 confirma la doctrina sentada por la Sentencia del Pleno 149//2020”: </w:t>
      </w:r>
      <w:r w:rsidRPr="00F475F0">
        <w:rPr>
          <w:rFonts w:cstheme="minorHAnsi"/>
          <w:i/>
          <w:sz w:val="20"/>
          <w:szCs w:val="20"/>
        </w:rPr>
        <w:t>Revista de derecho bancario y bursátil</w:t>
      </w:r>
      <w:r w:rsidRPr="00F475F0">
        <w:rPr>
          <w:rFonts w:cstheme="minorHAnsi"/>
          <w:sz w:val="20"/>
          <w:szCs w:val="20"/>
        </w:rPr>
        <w:t>, Año nº 41, Nº 166, 2022, págs. 231-238.</w:t>
      </w:r>
    </w:p>
    <w:p w14:paraId="3F724E22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Tapia Hermida, Alberto Javier. “La efectividad de la tutela judicial de los consumidores frente a las cláusulas abusivas de los contratos bancarios: Sentencias de la Gran Sala del TJUE de 17 de mayo de 2022 en los asuntos C-600/19 </w:t>
      </w:r>
      <w:proofErr w:type="spellStart"/>
      <w:r w:rsidRPr="00F475F0">
        <w:rPr>
          <w:rFonts w:cstheme="minorHAnsi"/>
          <w:sz w:val="20"/>
          <w:szCs w:val="20"/>
        </w:rPr>
        <w:t>Ibercaja</w:t>
      </w:r>
      <w:proofErr w:type="spellEnd"/>
      <w:r w:rsidRPr="00F475F0">
        <w:rPr>
          <w:rFonts w:cstheme="minorHAnsi"/>
          <w:sz w:val="20"/>
          <w:szCs w:val="20"/>
        </w:rPr>
        <w:t xml:space="preserve"> banco, C-869/19 </w:t>
      </w:r>
      <w:proofErr w:type="spellStart"/>
      <w:r w:rsidRPr="00F475F0">
        <w:rPr>
          <w:rFonts w:cstheme="minorHAnsi"/>
          <w:sz w:val="20"/>
          <w:szCs w:val="20"/>
        </w:rPr>
        <w:t>Unicaja</w:t>
      </w:r>
      <w:proofErr w:type="spellEnd"/>
      <w:r w:rsidRPr="00F475F0">
        <w:rPr>
          <w:rFonts w:cstheme="minorHAnsi"/>
          <w:sz w:val="20"/>
          <w:szCs w:val="20"/>
        </w:rPr>
        <w:t xml:space="preserve"> banco y otros asuntos acumulados”: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10098, 2022.</w:t>
      </w:r>
    </w:p>
    <w:p w14:paraId="1F2C329D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Tirado Suárez, Francisco Javier. “Contrato de seguro de asistencia sanitaria y los discapacitados a la luz de la reforma operada por la Ley 8/2021 de 2 de junio”: </w:t>
      </w:r>
      <w:r w:rsidRPr="00F475F0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F475F0">
        <w:rPr>
          <w:rFonts w:cstheme="minorHAnsi"/>
          <w:sz w:val="20"/>
          <w:szCs w:val="20"/>
        </w:rPr>
        <w:t>, Nº. 189-190, 2022 (Ejemplar dedicado a: IV Congreso nacional de SEAIDA: El contrato de seguro: digitalización, transparencia y protección del asegurado), págs. 321-329.</w:t>
      </w:r>
    </w:p>
    <w:p w14:paraId="7D9E76B7" w14:textId="74CE22AF" w:rsidR="008A7202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lastRenderedPageBreak/>
        <w:t>V</w:t>
      </w:r>
      <w:r w:rsidR="00F475F0">
        <w:rPr>
          <w:rFonts w:cstheme="minorHAnsi"/>
          <w:sz w:val="20"/>
          <w:szCs w:val="20"/>
        </w:rPr>
        <w:t>ecina Aznar</w:t>
      </w:r>
      <w:r w:rsidRPr="00F475F0">
        <w:rPr>
          <w:rFonts w:cstheme="minorHAnsi"/>
          <w:sz w:val="20"/>
          <w:szCs w:val="20"/>
        </w:rPr>
        <w:t xml:space="preserve">, Álvaro. “El TJUE abre las puertas a la resolución contractual en los vehículos afectados por el </w:t>
      </w:r>
      <w:proofErr w:type="spellStart"/>
      <w:r w:rsidRPr="00F475F0">
        <w:rPr>
          <w:rFonts w:cstheme="minorHAnsi"/>
          <w:sz w:val="20"/>
          <w:szCs w:val="20"/>
        </w:rPr>
        <w:t>Dieselgate</w:t>
      </w:r>
      <w:proofErr w:type="spellEnd"/>
      <w:r w:rsidRPr="00F475F0">
        <w:rPr>
          <w:rFonts w:cstheme="minorHAnsi"/>
          <w:sz w:val="20"/>
          <w:szCs w:val="20"/>
        </w:rPr>
        <w:t xml:space="preserve">”: </w:t>
      </w:r>
      <w:r w:rsidRPr="00F475F0">
        <w:rPr>
          <w:rFonts w:cstheme="minorHAnsi"/>
          <w:i/>
          <w:sz w:val="20"/>
          <w:szCs w:val="20"/>
        </w:rPr>
        <w:t>Revista CESCO de Derecho de Consumo</w:t>
      </w:r>
      <w:r w:rsidRPr="00F475F0">
        <w:rPr>
          <w:rFonts w:cstheme="minorHAnsi"/>
          <w:sz w:val="20"/>
          <w:szCs w:val="20"/>
        </w:rPr>
        <w:t xml:space="preserve">, Nº 43 (julio-septiembre), 2022, págs. 34-51. </w:t>
      </w:r>
    </w:p>
    <w:p w14:paraId="433D47D6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Vela Torres, Pedro José. “Acción de cesación en materia de cláusulas abusivas. Comisión de ingreso en efectivo”: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10103, 2022.</w:t>
      </w:r>
    </w:p>
    <w:p w14:paraId="20F9B23D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Vela Torres, Pedro José. “Los contratos de seguro ante la </w:t>
      </w:r>
      <w:proofErr w:type="spellStart"/>
      <w:r w:rsidRPr="00F475F0">
        <w:rPr>
          <w:rFonts w:cstheme="minorHAnsi"/>
          <w:sz w:val="20"/>
          <w:szCs w:val="20"/>
        </w:rPr>
        <w:t>epidemica</w:t>
      </w:r>
      <w:proofErr w:type="spellEnd"/>
      <w:r w:rsidRPr="00F475F0">
        <w:rPr>
          <w:rFonts w:cstheme="minorHAnsi"/>
          <w:sz w:val="20"/>
          <w:szCs w:val="20"/>
        </w:rPr>
        <w:t xml:space="preserve"> de la COVID-19”: </w:t>
      </w:r>
      <w:r w:rsidRPr="00F475F0">
        <w:rPr>
          <w:rFonts w:cstheme="minorHAnsi"/>
          <w:i/>
          <w:sz w:val="20"/>
          <w:szCs w:val="20"/>
        </w:rPr>
        <w:t>Responsabilidad civil, seguro y trafico: cuaderno jurídico</w:t>
      </w:r>
      <w:r w:rsidRPr="00F475F0">
        <w:rPr>
          <w:rFonts w:cstheme="minorHAnsi"/>
          <w:sz w:val="20"/>
          <w:szCs w:val="20"/>
        </w:rPr>
        <w:t>, Nº. 79, 2022, págs. 22-30.</w:t>
      </w:r>
    </w:p>
    <w:p w14:paraId="26378B4E" w14:textId="77777777" w:rsidR="004D3011" w:rsidRPr="00F475F0" w:rsidRDefault="00AB05F9" w:rsidP="00F475F0">
      <w:pPr>
        <w:numPr>
          <w:ilvl w:val="0"/>
          <w:numId w:val="10"/>
        </w:numPr>
        <w:ind w:left="708"/>
        <w:jc w:val="both"/>
        <w:rPr>
          <w:rFonts w:cstheme="minorHAnsi"/>
          <w:sz w:val="20"/>
          <w:szCs w:val="20"/>
        </w:rPr>
      </w:pPr>
      <w:r w:rsidRPr="00F475F0">
        <w:rPr>
          <w:rFonts w:cstheme="minorHAnsi"/>
          <w:sz w:val="20"/>
          <w:szCs w:val="20"/>
        </w:rPr>
        <w:t xml:space="preserve">Yáñez de Andrés, Aquilino. “Transparencia y/o lesividad en los contratos de adhesión”: </w:t>
      </w:r>
      <w:r w:rsidRPr="00F475F0">
        <w:rPr>
          <w:rFonts w:cstheme="minorHAnsi"/>
          <w:i/>
          <w:sz w:val="20"/>
          <w:szCs w:val="20"/>
        </w:rPr>
        <w:t>Diario La Ley</w:t>
      </w:r>
      <w:r w:rsidRPr="00F475F0">
        <w:rPr>
          <w:rFonts w:cstheme="minorHAnsi"/>
          <w:sz w:val="20"/>
          <w:szCs w:val="20"/>
        </w:rPr>
        <w:t>, Nº 10115, 2022.</w:t>
      </w:r>
    </w:p>
    <w:p w14:paraId="7781716A" w14:textId="77777777" w:rsidR="00B44604" w:rsidRPr="00567AAA" w:rsidRDefault="00B44604" w:rsidP="00CE63DC">
      <w:pPr>
        <w:rPr>
          <w:rFonts w:cstheme="minorHAnsi"/>
          <w:sz w:val="20"/>
          <w:szCs w:val="20"/>
        </w:rPr>
      </w:pPr>
    </w:p>
    <w:p w14:paraId="3BE8FA80" w14:textId="77777777" w:rsidR="00CE63DC" w:rsidRDefault="00CE63DC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472EABF0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6486F6D8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28B8A273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4E3CD16B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E3AE631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E267EFC" w14:textId="77777777" w:rsidR="00567AAA" w:rsidRDefault="00567AAA" w:rsidP="009C07E8">
      <w:pPr>
        <w:spacing w:beforeLines="100" w:before="240" w:afterLines="100" w:after="240"/>
        <w:rPr>
          <w:sz w:val="16"/>
          <w:szCs w:val="16"/>
        </w:rPr>
      </w:pPr>
    </w:p>
    <w:p w14:paraId="5B3BB757" w14:textId="77777777" w:rsidR="009C07E8" w:rsidRDefault="009C07E8" w:rsidP="009C07E8">
      <w:pPr>
        <w:spacing w:beforeLines="100" w:before="240" w:afterLines="100" w:after="240"/>
        <w:rPr>
          <w:sz w:val="16"/>
          <w:szCs w:val="16"/>
        </w:rPr>
      </w:pPr>
    </w:p>
    <w:p w14:paraId="75E2506D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6345F5C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23158BE9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CA538B3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397CD058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45184FB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46674FD3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046E25CD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10ACDC47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528B491D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18C59286" w14:textId="77777777" w:rsidR="00F475F0" w:rsidRDefault="00F475F0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6774DC87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40675" w14:textId="77777777" w:rsidR="00047EB7" w:rsidRDefault="00047EB7" w:rsidP="000562B1">
      <w:pPr>
        <w:spacing w:after="0" w:line="240" w:lineRule="auto"/>
      </w:pPr>
      <w:r>
        <w:separator/>
      </w:r>
    </w:p>
  </w:endnote>
  <w:endnote w:type="continuationSeparator" w:id="0">
    <w:p w14:paraId="2789B84B" w14:textId="77777777" w:rsidR="00047EB7" w:rsidRDefault="00047EB7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92245B">
          <w:rPr>
            <w:rFonts w:cstheme="minorHAnsi"/>
            <w:noProof/>
          </w:rPr>
          <w:t>6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D860E" w14:textId="77777777" w:rsidR="00047EB7" w:rsidRDefault="00047EB7" w:rsidP="000562B1">
      <w:pPr>
        <w:spacing w:after="0" w:line="240" w:lineRule="auto"/>
      </w:pPr>
      <w:r>
        <w:separator/>
      </w:r>
    </w:p>
  </w:footnote>
  <w:footnote w:type="continuationSeparator" w:id="0">
    <w:p w14:paraId="1C36C88A" w14:textId="77777777" w:rsidR="00047EB7" w:rsidRDefault="00047EB7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20F4E"/>
    <w:rsid w:val="00047EB7"/>
    <w:rsid w:val="000562B1"/>
    <w:rsid w:val="0012310A"/>
    <w:rsid w:val="001342BF"/>
    <w:rsid w:val="0017035A"/>
    <w:rsid w:val="00181687"/>
    <w:rsid w:val="001A3DC8"/>
    <w:rsid w:val="001B39D6"/>
    <w:rsid w:val="001E467C"/>
    <w:rsid w:val="00226C2F"/>
    <w:rsid w:val="002321F9"/>
    <w:rsid w:val="0024425F"/>
    <w:rsid w:val="002920B4"/>
    <w:rsid w:val="002C3D5D"/>
    <w:rsid w:val="00326C94"/>
    <w:rsid w:val="003662F8"/>
    <w:rsid w:val="003A1A16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C5AA1"/>
    <w:rsid w:val="004D794A"/>
    <w:rsid w:val="0051297C"/>
    <w:rsid w:val="005524C4"/>
    <w:rsid w:val="005527B0"/>
    <w:rsid w:val="00567AAA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7834BC"/>
    <w:rsid w:val="007C2FE3"/>
    <w:rsid w:val="00816AAB"/>
    <w:rsid w:val="008251E3"/>
    <w:rsid w:val="00827C04"/>
    <w:rsid w:val="00846866"/>
    <w:rsid w:val="008D2AC3"/>
    <w:rsid w:val="008D6849"/>
    <w:rsid w:val="00916F83"/>
    <w:rsid w:val="0092245B"/>
    <w:rsid w:val="00923CBC"/>
    <w:rsid w:val="0093649B"/>
    <w:rsid w:val="009432D4"/>
    <w:rsid w:val="00952BF5"/>
    <w:rsid w:val="009C07E8"/>
    <w:rsid w:val="009E7932"/>
    <w:rsid w:val="00A00862"/>
    <w:rsid w:val="00A178D6"/>
    <w:rsid w:val="00A21DDE"/>
    <w:rsid w:val="00A4262A"/>
    <w:rsid w:val="00A535EC"/>
    <w:rsid w:val="00A95CE0"/>
    <w:rsid w:val="00AB05F9"/>
    <w:rsid w:val="00B00158"/>
    <w:rsid w:val="00B03532"/>
    <w:rsid w:val="00B065EF"/>
    <w:rsid w:val="00B40032"/>
    <w:rsid w:val="00B42623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73ED8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53C19"/>
    <w:rsid w:val="00E618E3"/>
    <w:rsid w:val="00E7533D"/>
    <w:rsid w:val="00E843AB"/>
    <w:rsid w:val="00E86324"/>
    <w:rsid w:val="00EE05FD"/>
    <w:rsid w:val="00F475F0"/>
    <w:rsid w:val="00FA6DED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EF5B3-AB8F-4B10-86F1-D31A7621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2496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10</cp:revision>
  <cp:lastPrinted>2022-10-26T07:44:00Z</cp:lastPrinted>
  <dcterms:created xsi:type="dcterms:W3CDTF">2022-03-24T16:42:00Z</dcterms:created>
  <dcterms:modified xsi:type="dcterms:W3CDTF">2022-10-26T07:44:00Z</dcterms:modified>
</cp:coreProperties>
</file>