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56F1A2CB" w:rsidR="00827C04" w:rsidRDefault="0068726D">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Marzo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56F1A2CB" w:rsidR="00827C04" w:rsidRDefault="0068726D">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Marzo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043286BA">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2F70E7B1" w:rsidR="00827C04" w:rsidRDefault="0068726D" w:rsidP="00567AAA">
                            <w:pPr>
                              <w:jc w:val="center"/>
                            </w:pPr>
                            <w:r>
                              <w:rPr>
                                <w:rFonts w:cstheme="minorHAnsi"/>
                                <w:b/>
                                <w:color w:val="FFFFFF" w:themeColor="background1"/>
                                <w:sz w:val="20"/>
                                <w:szCs w:val="20"/>
                              </w:rPr>
                              <w:t>Enero-Marzo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2F70E7B1" w:rsidR="00827C04" w:rsidRDefault="0068726D" w:rsidP="00567AAA">
                      <w:pPr>
                        <w:jc w:val="center"/>
                      </w:pPr>
                      <w:r>
                        <w:rPr>
                          <w:rFonts w:cstheme="minorHAnsi"/>
                          <w:b/>
                          <w:color w:val="FFFFFF" w:themeColor="background1"/>
                          <w:sz w:val="20"/>
                          <w:szCs w:val="20"/>
                        </w:rPr>
                        <w:t>Enero-Marzo 2024</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5CE3EE09" w14:textId="77777777" w:rsidR="00A64D45" w:rsidRPr="00A64D45" w:rsidRDefault="00A64D45" w:rsidP="00A64D45">
      <w:pPr>
        <w:jc w:val="both"/>
        <w:rPr>
          <w:sz w:val="20"/>
          <w:szCs w:val="20"/>
        </w:rPr>
      </w:pPr>
    </w:p>
    <w:p w14:paraId="11733D39"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Abella Ribas. “Extensión y futuro de la tutela judicial de oficio en materia de consumidores”. Actualidad civil, Nº 12, 2023. </w:t>
      </w:r>
    </w:p>
    <w:p w14:paraId="1A8FE9A3" w14:textId="77777777" w:rsidR="0068726D" w:rsidRPr="0068726D" w:rsidRDefault="0068726D" w:rsidP="0068726D">
      <w:pPr>
        <w:pStyle w:val="Prrafodelista"/>
        <w:spacing w:after="0" w:line="240" w:lineRule="auto"/>
        <w:ind w:left="360"/>
        <w:jc w:val="both"/>
        <w:rPr>
          <w:sz w:val="20"/>
          <w:szCs w:val="20"/>
        </w:rPr>
      </w:pPr>
    </w:p>
    <w:p w14:paraId="0D006F94"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Adán </w:t>
      </w:r>
      <w:proofErr w:type="spellStart"/>
      <w:r w:rsidRPr="0068726D">
        <w:rPr>
          <w:sz w:val="20"/>
          <w:szCs w:val="20"/>
        </w:rPr>
        <w:t>Domènech</w:t>
      </w:r>
      <w:proofErr w:type="spellEnd"/>
      <w:r w:rsidRPr="0068726D">
        <w:rPr>
          <w:sz w:val="20"/>
          <w:szCs w:val="20"/>
        </w:rPr>
        <w:t xml:space="preserve">. “¿Necrológica de las hipotecas IRPH?”. Actualidad civil, Nº 12, 2023. </w:t>
      </w:r>
    </w:p>
    <w:p w14:paraId="1E02C8D7" w14:textId="77777777" w:rsidR="0068726D" w:rsidRPr="0068726D" w:rsidRDefault="0068726D" w:rsidP="0068726D">
      <w:pPr>
        <w:pStyle w:val="Prrafodelista"/>
        <w:spacing w:after="0" w:line="240" w:lineRule="auto"/>
        <w:ind w:left="360"/>
        <w:jc w:val="both"/>
        <w:rPr>
          <w:sz w:val="20"/>
          <w:szCs w:val="20"/>
        </w:rPr>
      </w:pPr>
    </w:p>
    <w:p w14:paraId="64C53942" w14:textId="7D91D140"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Aguirre García. “La usura, cuestiones prácticas”. Revista General de Derecho Procesal, Nº. 62, 2024</w:t>
      </w:r>
      <w:r>
        <w:rPr>
          <w:sz w:val="20"/>
          <w:szCs w:val="20"/>
        </w:rPr>
        <w:t>.</w:t>
      </w:r>
    </w:p>
    <w:p w14:paraId="6BDFA38A" w14:textId="77777777" w:rsidR="0068726D" w:rsidRPr="0068726D" w:rsidRDefault="0068726D" w:rsidP="0068726D">
      <w:pPr>
        <w:pStyle w:val="Prrafodelista"/>
        <w:spacing w:after="0" w:line="240" w:lineRule="auto"/>
        <w:ind w:left="360"/>
        <w:jc w:val="both"/>
        <w:rPr>
          <w:sz w:val="20"/>
          <w:szCs w:val="20"/>
        </w:rPr>
      </w:pPr>
    </w:p>
    <w:p w14:paraId="7D329787"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Alemany</w:t>
      </w:r>
      <w:proofErr w:type="spellEnd"/>
      <w:r w:rsidRPr="0068726D">
        <w:rPr>
          <w:sz w:val="20"/>
          <w:szCs w:val="20"/>
        </w:rPr>
        <w:t xml:space="preserve"> Castell; Ruiz Zurita. “Acerca de la STS nº 1378/2023, de 6 de octubre: El riesgo de impago previo de los contratos de refinanciación justifican una TAE mayor. Imposibilidad de aplicar el umbral de usura del crédito </w:t>
      </w:r>
      <w:proofErr w:type="spellStart"/>
      <w:r w:rsidRPr="0068726D">
        <w:rPr>
          <w:sz w:val="20"/>
          <w:szCs w:val="20"/>
        </w:rPr>
        <w:t>revolving</w:t>
      </w:r>
      <w:proofErr w:type="spellEnd"/>
      <w:r w:rsidRPr="0068726D">
        <w:rPr>
          <w:sz w:val="20"/>
          <w:szCs w:val="20"/>
        </w:rPr>
        <w:t xml:space="preserve"> al préstamo personal”. Revista de Derecho </w:t>
      </w:r>
      <w:proofErr w:type="spellStart"/>
      <w:r w:rsidRPr="0068726D">
        <w:rPr>
          <w:sz w:val="20"/>
          <w:szCs w:val="20"/>
        </w:rPr>
        <w:t>vLex</w:t>
      </w:r>
      <w:proofErr w:type="spellEnd"/>
      <w:r w:rsidRPr="0068726D">
        <w:rPr>
          <w:sz w:val="20"/>
          <w:szCs w:val="20"/>
        </w:rPr>
        <w:t xml:space="preserve">, Nº 236, Enero 2024. </w:t>
      </w:r>
    </w:p>
    <w:p w14:paraId="5E1588A6" w14:textId="77777777" w:rsidR="0068726D" w:rsidRPr="0068726D" w:rsidRDefault="0068726D" w:rsidP="0068726D">
      <w:pPr>
        <w:pStyle w:val="Prrafodelista"/>
        <w:spacing w:after="0" w:line="240" w:lineRule="auto"/>
        <w:ind w:left="360"/>
        <w:jc w:val="both"/>
        <w:rPr>
          <w:sz w:val="20"/>
          <w:szCs w:val="20"/>
        </w:rPr>
      </w:pPr>
    </w:p>
    <w:p w14:paraId="18EC0E3B"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Almarcha Jaime. “La naturaleza jurídica del seguro de vida </w:t>
      </w:r>
      <w:proofErr w:type="spellStart"/>
      <w:r w:rsidRPr="0068726D">
        <w:rPr>
          <w:sz w:val="20"/>
          <w:szCs w:val="20"/>
        </w:rPr>
        <w:t>unit-linked</w:t>
      </w:r>
      <w:proofErr w:type="spellEnd"/>
      <w:r w:rsidRPr="0068726D">
        <w:rPr>
          <w:sz w:val="20"/>
          <w:szCs w:val="20"/>
        </w:rPr>
        <w:t xml:space="preserve"> como garantía en operaciones de financiación”. Revista española de seguros: Publicación doctrinal de Derecho y Economía de los Seguros privados, Nº. 196, 2023, págs. 557-592.</w:t>
      </w:r>
    </w:p>
    <w:p w14:paraId="7B2820A4" w14:textId="77777777" w:rsidR="0068726D" w:rsidRPr="0068726D" w:rsidRDefault="0068726D" w:rsidP="0068726D">
      <w:pPr>
        <w:pStyle w:val="Prrafodelista"/>
        <w:spacing w:after="0" w:line="240" w:lineRule="auto"/>
        <w:ind w:left="360"/>
        <w:jc w:val="both"/>
        <w:rPr>
          <w:sz w:val="20"/>
          <w:szCs w:val="20"/>
        </w:rPr>
      </w:pPr>
    </w:p>
    <w:p w14:paraId="32EAAE66"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Anderson. “La ejecución de créditos hipotecarios y la «tolerancia razonable» del acreedor: las reformas del artículo 28 de la Directiva (UE) 2014/17, sobre créditos inmobiliarios”. Revista de Derecho Civil, Nº 1, Vol. XI, págs. 75-116.</w:t>
      </w:r>
    </w:p>
    <w:p w14:paraId="4D7939B3" w14:textId="77777777" w:rsidR="0068726D" w:rsidRPr="0068726D" w:rsidRDefault="0068726D" w:rsidP="0068726D">
      <w:pPr>
        <w:pStyle w:val="Prrafodelista"/>
        <w:spacing w:after="0" w:line="240" w:lineRule="auto"/>
        <w:ind w:left="360"/>
        <w:jc w:val="both"/>
        <w:rPr>
          <w:sz w:val="20"/>
          <w:szCs w:val="20"/>
        </w:rPr>
      </w:pPr>
    </w:p>
    <w:p w14:paraId="70314509"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Añoveros</w:t>
      </w:r>
      <w:proofErr w:type="spellEnd"/>
      <w:r w:rsidRPr="0068726D">
        <w:rPr>
          <w:sz w:val="20"/>
          <w:szCs w:val="20"/>
        </w:rPr>
        <w:t xml:space="preserve"> Terradas. “Contratos de aprovechamiento por turnos de inmuebles: legitimación pasiva, grupos de empresas, carácter abusivo de las cláusulas de elección de foro y derecho aplicable e </w:t>
      </w:r>
      <w:proofErr w:type="spellStart"/>
      <w:r w:rsidRPr="0068726D">
        <w:rPr>
          <w:sz w:val="20"/>
          <w:szCs w:val="20"/>
        </w:rPr>
        <w:t>imperatividad</w:t>
      </w:r>
      <w:proofErr w:type="spellEnd"/>
      <w:r w:rsidRPr="0068726D">
        <w:rPr>
          <w:sz w:val="20"/>
          <w:szCs w:val="20"/>
        </w:rPr>
        <w:t xml:space="preserve"> internacional de la ley española: Sentencias del Tribunal de Justicia de 14 de septiembre de 2023 en los asuntos C‐ 821/21, Club La Costa y C‐632/21, </w:t>
      </w:r>
      <w:proofErr w:type="spellStart"/>
      <w:r w:rsidRPr="0068726D">
        <w:rPr>
          <w:sz w:val="20"/>
          <w:szCs w:val="20"/>
        </w:rPr>
        <w:t>Diamond</w:t>
      </w:r>
      <w:proofErr w:type="spellEnd"/>
      <w:r w:rsidRPr="0068726D">
        <w:rPr>
          <w:sz w:val="20"/>
          <w:szCs w:val="20"/>
        </w:rPr>
        <w:t xml:space="preserve"> Resorts”. La Ley Unión Europea, número 122, 2024 (Ejemplar dedicado a: El mantenimiento de los derechos de los trabajadores en el traspaso de notarías). </w:t>
      </w:r>
    </w:p>
    <w:p w14:paraId="3EA76743" w14:textId="77777777" w:rsidR="0068726D" w:rsidRPr="0068726D" w:rsidRDefault="0068726D" w:rsidP="0068726D">
      <w:pPr>
        <w:pStyle w:val="Prrafodelista"/>
        <w:spacing w:after="0" w:line="240" w:lineRule="auto"/>
        <w:ind w:left="360"/>
        <w:jc w:val="both"/>
        <w:rPr>
          <w:sz w:val="20"/>
          <w:szCs w:val="20"/>
        </w:rPr>
      </w:pPr>
    </w:p>
    <w:p w14:paraId="2D325D23" w14:textId="77777777" w:rsidR="0068726D" w:rsidRDefault="0068726D" w:rsidP="0068726D">
      <w:pPr>
        <w:pStyle w:val="Prrafodelista"/>
        <w:numPr>
          <w:ilvl w:val="0"/>
          <w:numId w:val="14"/>
        </w:numPr>
        <w:spacing w:after="0" w:line="240" w:lineRule="auto"/>
        <w:ind w:left="360"/>
        <w:jc w:val="both"/>
        <w:rPr>
          <w:sz w:val="20"/>
          <w:szCs w:val="20"/>
        </w:rPr>
      </w:pPr>
      <w:proofErr w:type="gramStart"/>
      <w:r w:rsidRPr="0068726D">
        <w:rPr>
          <w:sz w:val="20"/>
          <w:szCs w:val="20"/>
        </w:rPr>
        <w:t>Barrio</w:t>
      </w:r>
      <w:proofErr w:type="gramEnd"/>
      <w:r w:rsidRPr="0068726D">
        <w:rPr>
          <w:sz w:val="20"/>
          <w:szCs w:val="20"/>
        </w:rPr>
        <w:t xml:space="preserve"> Andrés. “Los derechos digitales y la confianza”. Anales de la Academia Matritense del Notariado, ISSN 0210-3249, Tomo 61, 2022, págs. 103-138. </w:t>
      </w:r>
    </w:p>
    <w:p w14:paraId="37314A02" w14:textId="77777777" w:rsidR="0068726D" w:rsidRPr="0068726D" w:rsidRDefault="0068726D" w:rsidP="0068726D">
      <w:pPr>
        <w:pStyle w:val="Prrafodelista"/>
        <w:spacing w:after="0" w:line="240" w:lineRule="auto"/>
        <w:ind w:left="360"/>
        <w:jc w:val="both"/>
        <w:rPr>
          <w:sz w:val="20"/>
          <w:szCs w:val="20"/>
        </w:rPr>
      </w:pPr>
    </w:p>
    <w:p w14:paraId="002BCCBA"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Benítez Rodríguez. “Límite temporal a los efectos derivados de la declaración de nulidad más allá de la </w:t>
      </w:r>
      <w:proofErr w:type="spellStart"/>
      <w:r w:rsidRPr="0068726D">
        <w:rPr>
          <w:sz w:val="20"/>
          <w:szCs w:val="20"/>
        </w:rPr>
        <w:t>litigiosidad</w:t>
      </w:r>
      <w:proofErr w:type="spellEnd"/>
      <w:r w:rsidRPr="0068726D">
        <w:rPr>
          <w:sz w:val="20"/>
          <w:szCs w:val="20"/>
        </w:rPr>
        <w:t xml:space="preserve"> bancaria: nulidad de los contratos de adquisición de derechos de aprovechamiento por turno”. </w:t>
      </w:r>
      <w:proofErr w:type="spellStart"/>
      <w:r w:rsidRPr="0068726D">
        <w:rPr>
          <w:sz w:val="20"/>
          <w:szCs w:val="20"/>
        </w:rPr>
        <w:t>CEFLegal</w:t>
      </w:r>
      <w:proofErr w:type="spellEnd"/>
      <w:r w:rsidRPr="0068726D">
        <w:rPr>
          <w:sz w:val="20"/>
          <w:szCs w:val="20"/>
        </w:rPr>
        <w:t>: Revista práctica de derecho. Comentarios y casos prácticos, Nº. 275, 2023, págs. 5-34.</w:t>
      </w:r>
    </w:p>
    <w:p w14:paraId="78F1124E" w14:textId="77777777" w:rsidR="0068726D" w:rsidRPr="0068726D" w:rsidRDefault="0068726D" w:rsidP="0068726D">
      <w:pPr>
        <w:pStyle w:val="Prrafodelista"/>
        <w:spacing w:after="0" w:line="240" w:lineRule="auto"/>
        <w:ind w:left="360"/>
        <w:jc w:val="both"/>
        <w:rPr>
          <w:sz w:val="20"/>
          <w:szCs w:val="20"/>
        </w:rPr>
      </w:pPr>
    </w:p>
    <w:p w14:paraId="2B59BA36"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Cadenas Osuna. “Análisis jurisprudencial de la prescripción extintiva de la acción de restitución de cantidades indebidamente pagadas en aplicación de cláusulas abusivas”. Revista Crítica de Derecho Inmobiliario, ISSN 0210-0444, Año nº 99, Nº 798, 2023, págs. 2401-2423. </w:t>
      </w:r>
    </w:p>
    <w:p w14:paraId="53582389" w14:textId="77777777" w:rsidR="0068726D" w:rsidRPr="0068726D" w:rsidRDefault="0068726D" w:rsidP="0068726D">
      <w:pPr>
        <w:pStyle w:val="Prrafodelista"/>
        <w:spacing w:after="0" w:line="240" w:lineRule="auto"/>
        <w:ind w:left="360"/>
        <w:jc w:val="both"/>
        <w:rPr>
          <w:sz w:val="20"/>
          <w:szCs w:val="20"/>
        </w:rPr>
      </w:pPr>
    </w:p>
    <w:p w14:paraId="2C497DC4" w14:textId="2EBE1645"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Carrasco Valladolid. “Nulidad de las cláusulas de atribución de gastos en los préstamos hipotecarios celebrados entre empleador y empleado”. Diario La Ley,</w:t>
      </w:r>
      <w:r>
        <w:rPr>
          <w:sz w:val="20"/>
          <w:szCs w:val="20"/>
        </w:rPr>
        <w:t xml:space="preserve"> ISSN 1989-6913, Nº 10430, 2024.</w:t>
      </w:r>
    </w:p>
    <w:p w14:paraId="3E4D18D2" w14:textId="77777777" w:rsidR="0068726D" w:rsidRPr="0068726D" w:rsidRDefault="0068726D" w:rsidP="0068726D">
      <w:pPr>
        <w:pStyle w:val="Prrafodelista"/>
        <w:spacing w:after="0" w:line="240" w:lineRule="auto"/>
        <w:ind w:left="360"/>
        <w:jc w:val="both"/>
        <w:rPr>
          <w:sz w:val="20"/>
          <w:szCs w:val="20"/>
        </w:rPr>
      </w:pPr>
    </w:p>
    <w:p w14:paraId="1A6A8965"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Carretero García. “Protección de derechos humanos y medio ambiente: teoría vs. realidad en el ámbito de la “debida diligencia empresarial””. Revista CESCO, Nº 49 (enero-marzo) 2024, págs. 148-185. </w:t>
      </w:r>
    </w:p>
    <w:p w14:paraId="77581981" w14:textId="77777777" w:rsidR="0068726D" w:rsidRPr="0068726D" w:rsidRDefault="0068726D" w:rsidP="0068726D">
      <w:pPr>
        <w:pStyle w:val="Prrafodelista"/>
        <w:spacing w:after="0" w:line="240" w:lineRule="auto"/>
        <w:ind w:left="360"/>
        <w:jc w:val="both"/>
        <w:rPr>
          <w:sz w:val="20"/>
          <w:szCs w:val="20"/>
        </w:rPr>
      </w:pPr>
    </w:p>
    <w:p w14:paraId="04259C38"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lastRenderedPageBreak/>
        <w:t>Corpas Pastor. “Deberes de información de las entidades financieras”. Revista Crítica de Derecho Inmobiliario, ISSN 0210-0444, Año nº 99, Nº 798, 2023, págs. 2517-2533.</w:t>
      </w:r>
    </w:p>
    <w:p w14:paraId="4D6910B5" w14:textId="77777777" w:rsidR="0068726D" w:rsidRPr="0068726D" w:rsidRDefault="0068726D" w:rsidP="0068726D">
      <w:pPr>
        <w:pStyle w:val="Prrafodelista"/>
        <w:spacing w:after="0" w:line="240" w:lineRule="auto"/>
        <w:ind w:left="360"/>
        <w:jc w:val="both"/>
        <w:rPr>
          <w:sz w:val="20"/>
          <w:szCs w:val="20"/>
        </w:rPr>
      </w:pPr>
    </w:p>
    <w:p w14:paraId="31E6D07C"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Cruz, López, Lozano. “Derecho de desistimiento de consumidores en contratos de leasing y de préstamo para la compra de automóviles”. Diario La Ley, Nº 10438, 2024. </w:t>
      </w:r>
    </w:p>
    <w:p w14:paraId="52B2E012" w14:textId="77777777" w:rsidR="0068726D" w:rsidRPr="0068726D" w:rsidRDefault="0068726D" w:rsidP="0068726D">
      <w:pPr>
        <w:pStyle w:val="Prrafodelista"/>
        <w:spacing w:after="0" w:line="240" w:lineRule="auto"/>
        <w:ind w:left="360"/>
        <w:jc w:val="both"/>
        <w:rPr>
          <w:sz w:val="20"/>
          <w:szCs w:val="20"/>
        </w:rPr>
      </w:pPr>
    </w:p>
    <w:p w14:paraId="7ED8EB1A" w14:textId="4AB53F34"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De </w:t>
      </w:r>
      <w:proofErr w:type="spellStart"/>
      <w:r w:rsidRPr="0068726D">
        <w:rPr>
          <w:sz w:val="20"/>
          <w:szCs w:val="20"/>
        </w:rPr>
        <w:t>Artíñano</w:t>
      </w:r>
      <w:proofErr w:type="spellEnd"/>
      <w:r w:rsidRPr="0068726D">
        <w:rPr>
          <w:sz w:val="20"/>
          <w:szCs w:val="20"/>
        </w:rPr>
        <w:t xml:space="preserve"> Marra. “El rol de las plataformas de mediación electrónica como elemento determinante de su responsabilidad civil. Especial consideración a su funcionamiento interno”. </w:t>
      </w:r>
      <w:proofErr w:type="spellStart"/>
      <w:r w:rsidRPr="0068726D">
        <w:rPr>
          <w:sz w:val="20"/>
          <w:szCs w:val="20"/>
        </w:rPr>
        <w:t>CEFLegal</w:t>
      </w:r>
      <w:proofErr w:type="spellEnd"/>
      <w:r w:rsidRPr="0068726D">
        <w:rPr>
          <w:sz w:val="20"/>
          <w:szCs w:val="20"/>
        </w:rPr>
        <w:t>: Revista práctica de derecho. Comentarios y casos prácticos, Nº. 276, 2024, págs. 31-56.</w:t>
      </w:r>
    </w:p>
    <w:p w14:paraId="26468243" w14:textId="77777777" w:rsidR="0068726D" w:rsidRPr="0068726D" w:rsidRDefault="0068726D" w:rsidP="0068726D">
      <w:pPr>
        <w:spacing w:after="0" w:line="240" w:lineRule="auto"/>
        <w:jc w:val="both"/>
        <w:rPr>
          <w:sz w:val="20"/>
          <w:szCs w:val="20"/>
        </w:rPr>
      </w:pPr>
    </w:p>
    <w:p w14:paraId="62C03E47"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De Miguel Asensio. “El nuevo Reglamento (UE) 2023/2854 de Datos”. La Ley Unión Europea, Nº 121, 2024 (Ejemplar dedicado a: La comisión negociadora en la consulta‐negociación dentro del procedimiento del despido colectivo). </w:t>
      </w:r>
    </w:p>
    <w:p w14:paraId="1480D820" w14:textId="77777777" w:rsidR="0068726D" w:rsidRPr="0068726D" w:rsidRDefault="0068726D" w:rsidP="0068726D">
      <w:pPr>
        <w:pStyle w:val="Prrafodelista"/>
        <w:spacing w:after="0" w:line="240" w:lineRule="auto"/>
        <w:ind w:left="360"/>
        <w:jc w:val="both"/>
        <w:rPr>
          <w:sz w:val="20"/>
          <w:szCs w:val="20"/>
        </w:rPr>
      </w:pPr>
    </w:p>
    <w:p w14:paraId="04221120"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Díaz </w:t>
      </w:r>
      <w:proofErr w:type="spellStart"/>
      <w:r w:rsidRPr="0068726D">
        <w:rPr>
          <w:sz w:val="20"/>
          <w:szCs w:val="20"/>
        </w:rPr>
        <w:t>Senés</w:t>
      </w:r>
      <w:proofErr w:type="spellEnd"/>
      <w:r w:rsidRPr="0068726D">
        <w:rPr>
          <w:sz w:val="20"/>
          <w:szCs w:val="20"/>
        </w:rPr>
        <w:t xml:space="preserve">. “Panorámica internacional de la regulación de la Inteligencia Artificial: Reglamento Europeo de Inteligencia Artificial (AI ACT)”. Revista CESCO, Nº 49 (enero-marzo) 2024, págs. 117-130. </w:t>
      </w:r>
    </w:p>
    <w:p w14:paraId="2DF00590" w14:textId="77777777" w:rsidR="0068726D" w:rsidRPr="0068726D" w:rsidRDefault="0068726D" w:rsidP="0068726D">
      <w:pPr>
        <w:pStyle w:val="Prrafodelista"/>
        <w:spacing w:after="0" w:line="240" w:lineRule="auto"/>
        <w:ind w:left="360"/>
        <w:jc w:val="both"/>
        <w:rPr>
          <w:sz w:val="20"/>
          <w:szCs w:val="20"/>
        </w:rPr>
      </w:pPr>
    </w:p>
    <w:p w14:paraId="29F7983F"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Diez Royo. “Cuestiones de responsabilidad civil de los sistemas de Inteligencia Artificial en las Propuestas de Directivas europeas de 28 de septiembre de 2022”. Revista de Estudios Jurídicos y Criminológicos, Nº. 8, 2023, págs. 253-275.</w:t>
      </w:r>
    </w:p>
    <w:p w14:paraId="6C123928" w14:textId="77777777" w:rsidR="0068726D" w:rsidRPr="0068726D" w:rsidRDefault="0068726D" w:rsidP="0068726D">
      <w:pPr>
        <w:pStyle w:val="Prrafodelista"/>
        <w:spacing w:after="0" w:line="240" w:lineRule="auto"/>
        <w:ind w:left="360"/>
        <w:jc w:val="both"/>
        <w:rPr>
          <w:sz w:val="20"/>
          <w:szCs w:val="20"/>
        </w:rPr>
      </w:pPr>
    </w:p>
    <w:p w14:paraId="1A987564"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Domingo </w:t>
      </w:r>
      <w:proofErr w:type="spellStart"/>
      <w:r w:rsidRPr="0068726D">
        <w:rPr>
          <w:sz w:val="20"/>
          <w:szCs w:val="20"/>
        </w:rPr>
        <w:t>Monforte</w:t>
      </w:r>
      <w:proofErr w:type="spellEnd"/>
      <w:r w:rsidRPr="0068726D">
        <w:rPr>
          <w:sz w:val="20"/>
          <w:szCs w:val="20"/>
        </w:rPr>
        <w:t>. “Fraudes tecnológicos. Medidas de seguridad de las entidades de crédito y su responsabilidad civil objetiva en el fraude”. Diario La Ley, Nº 10454, 2024.</w:t>
      </w:r>
    </w:p>
    <w:p w14:paraId="31501BCF" w14:textId="77777777" w:rsidR="0068726D" w:rsidRPr="0068726D" w:rsidRDefault="0068726D" w:rsidP="0068726D">
      <w:pPr>
        <w:pStyle w:val="Prrafodelista"/>
        <w:spacing w:after="0" w:line="240" w:lineRule="auto"/>
        <w:ind w:left="360"/>
        <w:jc w:val="both"/>
        <w:rPr>
          <w:sz w:val="20"/>
          <w:szCs w:val="20"/>
        </w:rPr>
      </w:pPr>
    </w:p>
    <w:p w14:paraId="65DC4243" w14:textId="45719439"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Fuentes-</w:t>
      </w:r>
      <w:proofErr w:type="spellStart"/>
      <w:r w:rsidRPr="0068726D">
        <w:rPr>
          <w:sz w:val="20"/>
          <w:szCs w:val="20"/>
        </w:rPr>
        <w:t>Lojo</w:t>
      </w:r>
      <w:proofErr w:type="spellEnd"/>
      <w:r w:rsidRPr="0068726D">
        <w:rPr>
          <w:sz w:val="20"/>
          <w:szCs w:val="20"/>
        </w:rPr>
        <w:t xml:space="preserve"> </w:t>
      </w:r>
      <w:proofErr w:type="spellStart"/>
      <w:r w:rsidRPr="0068726D">
        <w:rPr>
          <w:sz w:val="20"/>
          <w:szCs w:val="20"/>
        </w:rPr>
        <w:t>Rius</w:t>
      </w:r>
      <w:proofErr w:type="spellEnd"/>
      <w:r w:rsidRPr="0068726D">
        <w:rPr>
          <w:sz w:val="20"/>
          <w:szCs w:val="20"/>
        </w:rPr>
        <w:t xml:space="preserve">; Salas </w:t>
      </w:r>
      <w:proofErr w:type="spellStart"/>
      <w:r w:rsidRPr="0068726D">
        <w:rPr>
          <w:sz w:val="20"/>
          <w:szCs w:val="20"/>
        </w:rPr>
        <w:t>Carceller</w:t>
      </w:r>
      <w:proofErr w:type="spellEnd"/>
      <w:r w:rsidRPr="0068726D">
        <w:rPr>
          <w:sz w:val="20"/>
          <w:szCs w:val="20"/>
        </w:rPr>
        <w:t>; Magro Serve</w:t>
      </w:r>
      <w:r>
        <w:rPr>
          <w:sz w:val="20"/>
          <w:szCs w:val="20"/>
        </w:rPr>
        <w:t>t. “Mediación y desahucios”. Act</w:t>
      </w:r>
      <w:r w:rsidRPr="0068726D">
        <w:rPr>
          <w:sz w:val="20"/>
          <w:szCs w:val="20"/>
        </w:rPr>
        <w:t xml:space="preserve">ualidad civil, Nº 12, 2023. </w:t>
      </w:r>
    </w:p>
    <w:p w14:paraId="6947AA84" w14:textId="77777777" w:rsidR="0068726D" w:rsidRPr="0068726D" w:rsidRDefault="0068726D" w:rsidP="0068726D">
      <w:pPr>
        <w:pStyle w:val="Prrafodelista"/>
        <w:spacing w:after="0" w:line="240" w:lineRule="auto"/>
        <w:ind w:left="360"/>
        <w:jc w:val="both"/>
        <w:rPr>
          <w:sz w:val="20"/>
          <w:szCs w:val="20"/>
        </w:rPr>
      </w:pPr>
    </w:p>
    <w:p w14:paraId="4DE6E260"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Gallego Torres. “Derecho del consumidor en la Unión Europea: transformación digital y transición ecológica”. Anales de la Academia Matritense del Notariado, Tomo 61, 2022, págs. 519-530. </w:t>
      </w:r>
    </w:p>
    <w:p w14:paraId="7D656D61" w14:textId="77777777" w:rsidR="0068726D" w:rsidRPr="0068726D" w:rsidRDefault="0068726D" w:rsidP="0068726D">
      <w:pPr>
        <w:pStyle w:val="Prrafodelista"/>
        <w:spacing w:after="0" w:line="240" w:lineRule="auto"/>
        <w:ind w:left="360"/>
        <w:jc w:val="both"/>
        <w:rPr>
          <w:sz w:val="20"/>
          <w:szCs w:val="20"/>
        </w:rPr>
      </w:pPr>
    </w:p>
    <w:p w14:paraId="2D875524"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González Moreno. “Usura en tarjetas </w:t>
      </w:r>
      <w:proofErr w:type="spellStart"/>
      <w:r w:rsidRPr="0068726D">
        <w:rPr>
          <w:sz w:val="20"/>
          <w:szCs w:val="20"/>
        </w:rPr>
        <w:t>revolving</w:t>
      </w:r>
      <w:proofErr w:type="spellEnd"/>
      <w:r w:rsidRPr="0068726D">
        <w:rPr>
          <w:sz w:val="20"/>
          <w:szCs w:val="20"/>
        </w:rPr>
        <w:t xml:space="preserve">. Nota sobre el «interés normal del dinero» en la jurisprudencia”. Diario La Ley, Nº 10439, 2024. </w:t>
      </w:r>
    </w:p>
    <w:p w14:paraId="372223DD" w14:textId="77777777" w:rsidR="0068726D" w:rsidRPr="0068726D" w:rsidRDefault="0068726D" w:rsidP="0068726D">
      <w:pPr>
        <w:pStyle w:val="Prrafodelista"/>
        <w:spacing w:after="0" w:line="240" w:lineRule="auto"/>
        <w:ind w:left="360"/>
        <w:jc w:val="both"/>
        <w:rPr>
          <w:sz w:val="20"/>
          <w:szCs w:val="20"/>
        </w:rPr>
      </w:pPr>
    </w:p>
    <w:p w14:paraId="3BDA1EDE"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Hernández Manzanares. “La responsabilidad civil por producto defectuoso tras la Sentencia de Pleno de la Sala Civil del Tribunal Supremo 1516-2023, de 2 de noviembre”. Diario La Ley, Nº 10440, 2024.</w:t>
      </w:r>
    </w:p>
    <w:p w14:paraId="33C6B86B" w14:textId="77777777" w:rsidR="0068726D" w:rsidRPr="0068726D" w:rsidRDefault="0068726D" w:rsidP="0068726D">
      <w:pPr>
        <w:pStyle w:val="Prrafodelista"/>
        <w:spacing w:after="0" w:line="240" w:lineRule="auto"/>
        <w:ind w:left="360"/>
        <w:jc w:val="both"/>
        <w:rPr>
          <w:sz w:val="20"/>
          <w:szCs w:val="20"/>
        </w:rPr>
      </w:pPr>
    </w:p>
    <w:p w14:paraId="39DF0DDB"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Hernández Manzanares. “Requerimiento de pago previo a la inclusión en fichero de morosos”. Diario La Ley, Nº 10463, 2024. </w:t>
      </w:r>
    </w:p>
    <w:p w14:paraId="699DA042" w14:textId="77777777" w:rsidR="0068726D" w:rsidRPr="0068726D" w:rsidRDefault="0068726D" w:rsidP="0068726D">
      <w:pPr>
        <w:pStyle w:val="Prrafodelista"/>
        <w:spacing w:after="0" w:line="240" w:lineRule="auto"/>
        <w:ind w:left="360"/>
        <w:jc w:val="both"/>
        <w:rPr>
          <w:sz w:val="20"/>
          <w:szCs w:val="20"/>
        </w:rPr>
      </w:pPr>
    </w:p>
    <w:p w14:paraId="3D2350EB" w14:textId="0236805F"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Ibáñez García. “El régimen europeo de publicidad de normas armonizadas emitidas por entes privados (III): Sentencia del TJUE en el caso Public.Resource.Org, Inc. y </w:t>
      </w:r>
      <w:proofErr w:type="spellStart"/>
      <w:r w:rsidRPr="0068726D">
        <w:rPr>
          <w:sz w:val="20"/>
          <w:szCs w:val="20"/>
        </w:rPr>
        <w:t>Right</w:t>
      </w:r>
      <w:proofErr w:type="spellEnd"/>
      <w:r w:rsidRPr="0068726D">
        <w:rPr>
          <w:sz w:val="20"/>
          <w:szCs w:val="20"/>
        </w:rPr>
        <w:t xml:space="preserve"> to </w:t>
      </w:r>
      <w:proofErr w:type="spellStart"/>
      <w:r w:rsidRPr="0068726D">
        <w:rPr>
          <w:sz w:val="20"/>
          <w:szCs w:val="20"/>
        </w:rPr>
        <w:t>Know</w:t>
      </w:r>
      <w:proofErr w:type="spellEnd"/>
      <w:r w:rsidRPr="0068726D">
        <w:rPr>
          <w:sz w:val="20"/>
          <w:szCs w:val="20"/>
        </w:rPr>
        <w:t xml:space="preserve"> CLG / Comisión Europea”. Diario La Ley, ISSN 1989-6913, Nº 10473, 2024</w:t>
      </w:r>
      <w:r>
        <w:rPr>
          <w:sz w:val="20"/>
          <w:szCs w:val="20"/>
        </w:rPr>
        <w:t>.</w:t>
      </w:r>
    </w:p>
    <w:p w14:paraId="5F19F771" w14:textId="77777777" w:rsidR="0068726D" w:rsidRPr="0068726D" w:rsidRDefault="0068726D" w:rsidP="0068726D">
      <w:pPr>
        <w:pStyle w:val="Prrafodelista"/>
        <w:spacing w:after="0" w:line="240" w:lineRule="auto"/>
        <w:ind w:left="360"/>
        <w:jc w:val="both"/>
        <w:rPr>
          <w:sz w:val="20"/>
          <w:szCs w:val="20"/>
        </w:rPr>
      </w:pPr>
    </w:p>
    <w:p w14:paraId="0EE4105B"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Izquierdo Grau. “Los derechos del consumidor en los procesos de evaluación de solvencia mediante el tratamiento automatizado de datos contenidos en la Directiva (UE) 2023/2225”. Revista CESCO, Nº 49 (enero-marzo) 2024, págs. 80-106. </w:t>
      </w:r>
    </w:p>
    <w:p w14:paraId="7FE77993" w14:textId="77777777" w:rsidR="0068726D" w:rsidRPr="0068726D" w:rsidRDefault="0068726D" w:rsidP="0068726D">
      <w:pPr>
        <w:pStyle w:val="Prrafodelista"/>
        <w:spacing w:after="0" w:line="240" w:lineRule="auto"/>
        <w:ind w:left="360"/>
        <w:jc w:val="both"/>
        <w:rPr>
          <w:sz w:val="20"/>
          <w:szCs w:val="20"/>
        </w:rPr>
      </w:pPr>
    </w:p>
    <w:p w14:paraId="5E542363"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Jequier</w:t>
      </w:r>
      <w:proofErr w:type="spellEnd"/>
      <w:r w:rsidRPr="0068726D">
        <w:rPr>
          <w:sz w:val="20"/>
          <w:szCs w:val="20"/>
        </w:rPr>
        <w:t xml:space="preserve"> </w:t>
      </w:r>
      <w:proofErr w:type="spellStart"/>
      <w:r w:rsidRPr="0068726D">
        <w:rPr>
          <w:sz w:val="20"/>
          <w:szCs w:val="20"/>
        </w:rPr>
        <w:t>Lehuedé</w:t>
      </w:r>
      <w:proofErr w:type="spellEnd"/>
      <w:r w:rsidRPr="0068726D">
        <w:rPr>
          <w:sz w:val="20"/>
          <w:szCs w:val="20"/>
        </w:rPr>
        <w:t>. “Radiografía del arbitraje como mecanismo alternativo de solución de los conflictos de consumo en Chile”. Revista de Derecho, Vol. 36, Nº. 1, 2023, págs. 227-262.</w:t>
      </w:r>
    </w:p>
    <w:p w14:paraId="6E2FFE07" w14:textId="77777777" w:rsidR="0068726D" w:rsidRPr="0068726D" w:rsidRDefault="0068726D" w:rsidP="0068726D">
      <w:pPr>
        <w:pStyle w:val="Prrafodelista"/>
        <w:spacing w:after="0" w:line="240" w:lineRule="auto"/>
        <w:ind w:left="360"/>
        <w:jc w:val="both"/>
        <w:rPr>
          <w:sz w:val="20"/>
          <w:szCs w:val="20"/>
        </w:rPr>
      </w:pPr>
    </w:p>
    <w:p w14:paraId="5CDE6CDF"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Jiménez París. “Ejecución hipotecaria y concurso de acreedores en el texto refundido de la Ley Concursal”. Revista Crítica de Derecho Inmobiliario, ISSN 0210-0444, Año nº 99, Nº 800, 2023, págs. 3589-3608. </w:t>
      </w:r>
    </w:p>
    <w:p w14:paraId="42314C9A" w14:textId="77777777" w:rsidR="0068726D" w:rsidRPr="0068726D" w:rsidRDefault="0068726D" w:rsidP="0068726D">
      <w:pPr>
        <w:pStyle w:val="Prrafodelista"/>
        <w:spacing w:after="0" w:line="240" w:lineRule="auto"/>
        <w:ind w:left="360"/>
        <w:jc w:val="both"/>
        <w:rPr>
          <w:sz w:val="20"/>
          <w:szCs w:val="20"/>
        </w:rPr>
      </w:pPr>
    </w:p>
    <w:p w14:paraId="5C039408"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lastRenderedPageBreak/>
        <w:t xml:space="preserve">Jiménez París. “La exoneración del crédito público en el derecho transitorio tras la Ley 16/2022, de 5 de septiembre, de Reforma del texto refundido de la Ley Concursal”. Revista Crítica de Derecho Inmobiliario, ISSN 0210-0444, Año nº 99, Nº 799, 2023, págs. 3021-3047. </w:t>
      </w:r>
    </w:p>
    <w:p w14:paraId="785485BC" w14:textId="77777777" w:rsidR="0068726D" w:rsidRPr="0068726D" w:rsidRDefault="0068726D" w:rsidP="0068726D">
      <w:pPr>
        <w:pStyle w:val="Prrafodelista"/>
        <w:spacing w:after="0" w:line="240" w:lineRule="auto"/>
        <w:ind w:left="360"/>
        <w:jc w:val="both"/>
        <w:rPr>
          <w:sz w:val="20"/>
          <w:szCs w:val="20"/>
        </w:rPr>
      </w:pPr>
    </w:p>
    <w:p w14:paraId="5D9B7CAC"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Legerén</w:t>
      </w:r>
      <w:proofErr w:type="spellEnd"/>
      <w:r w:rsidRPr="0068726D">
        <w:rPr>
          <w:sz w:val="20"/>
          <w:szCs w:val="20"/>
        </w:rPr>
        <w:t xml:space="preserve"> Molina. “La interpretación normativo-subjetiva de los plazos en materia de contratos financieros complejos. Límites y fundamentos”. Revista de Derecho Civil, Nº 1, Vol. XI, págs. 33-73.</w:t>
      </w:r>
    </w:p>
    <w:p w14:paraId="1052DBC3" w14:textId="310ACA98" w:rsidR="0068726D" w:rsidRPr="0068726D" w:rsidRDefault="0068726D" w:rsidP="0068726D">
      <w:pPr>
        <w:pStyle w:val="Prrafodelista"/>
        <w:spacing w:after="0" w:line="240" w:lineRule="auto"/>
        <w:ind w:left="360"/>
        <w:jc w:val="both"/>
        <w:rPr>
          <w:sz w:val="20"/>
          <w:szCs w:val="20"/>
        </w:rPr>
      </w:pPr>
      <w:r w:rsidRPr="0068726D">
        <w:rPr>
          <w:sz w:val="20"/>
          <w:szCs w:val="20"/>
        </w:rPr>
        <w:t xml:space="preserve"> </w:t>
      </w:r>
    </w:p>
    <w:p w14:paraId="55C58E0C"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María Peña. “La vivienda habitual en el texto refundido de la ley concursal: El plan de pagos y el concurso sin masa”. Anuario de derecho concursal, Nº. 61, 2024, págs. 271-283.</w:t>
      </w:r>
    </w:p>
    <w:p w14:paraId="060B0995" w14:textId="77777777" w:rsidR="0068726D" w:rsidRPr="0068726D" w:rsidRDefault="0068726D" w:rsidP="0068726D">
      <w:pPr>
        <w:pStyle w:val="Prrafodelista"/>
        <w:spacing w:after="0" w:line="240" w:lineRule="auto"/>
        <w:ind w:left="360"/>
        <w:jc w:val="both"/>
        <w:rPr>
          <w:sz w:val="20"/>
          <w:szCs w:val="20"/>
        </w:rPr>
      </w:pPr>
    </w:p>
    <w:p w14:paraId="16E743C5"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Marín López. “La información contractual (y no la precontractual) como elemento decisivo para la transparencia material del crédito </w:t>
      </w:r>
      <w:proofErr w:type="spellStart"/>
      <w:r w:rsidRPr="0068726D">
        <w:rPr>
          <w:sz w:val="20"/>
          <w:szCs w:val="20"/>
        </w:rPr>
        <w:t>revolving</w:t>
      </w:r>
      <w:proofErr w:type="spellEnd"/>
      <w:r w:rsidRPr="0068726D">
        <w:rPr>
          <w:sz w:val="20"/>
          <w:szCs w:val="20"/>
        </w:rPr>
        <w:t xml:space="preserve">: jurisprudencia de las Audiencias Provinciales”. Revista CESCO, Nº 49 (enero-marzo) 2024, págs. 48-79. </w:t>
      </w:r>
    </w:p>
    <w:p w14:paraId="707B3CDE" w14:textId="77777777" w:rsidR="0068726D" w:rsidRPr="0068726D" w:rsidRDefault="0068726D" w:rsidP="0068726D">
      <w:pPr>
        <w:pStyle w:val="Prrafodelista"/>
        <w:spacing w:after="0" w:line="240" w:lineRule="auto"/>
        <w:ind w:left="360"/>
        <w:jc w:val="both"/>
        <w:rPr>
          <w:sz w:val="20"/>
          <w:szCs w:val="20"/>
        </w:rPr>
      </w:pPr>
    </w:p>
    <w:p w14:paraId="411F9523"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Marina Cedeño Hernán. “¿Exige el Derecho de la Unión Europea otorgar tutelas de oficio en el Derecho de consumo al margen de las cláusulas abusivas?”. Diario La Ley, Nº 10474, 2024. </w:t>
      </w:r>
    </w:p>
    <w:p w14:paraId="42DB0324" w14:textId="77777777" w:rsidR="0068726D" w:rsidRPr="0068726D" w:rsidRDefault="0068726D" w:rsidP="0068726D">
      <w:pPr>
        <w:pStyle w:val="Prrafodelista"/>
        <w:spacing w:after="0" w:line="240" w:lineRule="auto"/>
        <w:ind w:left="360"/>
        <w:jc w:val="both"/>
        <w:rPr>
          <w:sz w:val="20"/>
          <w:szCs w:val="20"/>
        </w:rPr>
      </w:pPr>
    </w:p>
    <w:p w14:paraId="73A93EDF"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Martín Faba. “Novedades en materia de indemnización y protección de datos personales”. Revista CESCO, Nº 49 (enero-marzo) 2024, págs. 131-147. </w:t>
      </w:r>
    </w:p>
    <w:p w14:paraId="67144488" w14:textId="77777777" w:rsidR="0068726D" w:rsidRPr="0068726D" w:rsidRDefault="0068726D" w:rsidP="0068726D">
      <w:pPr>
        <w:pStyle w:val="Prrafodelista"/>
        <w:spacing w:after="0" w:line="240" w:lineRule="auto"/>
        <w:ind w:left="360"/>
        <w:jc w:val="both"/>
        <w:rPr>
          <w:sz w:val="20"/>
          <w:szCs w:val="20"/>
        </w:rPr>
      </w:pPr>
    </w:p>
    <w:p w14:paraId="3EDDE513"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Martín Faba. “Nuevas posibilidades para los usuarios de WhatsApp y Apple en la Unión Europea tras el Reglamento de Mercados Digitales”. Revista CESCO, Nº 49 (enero-marzo) 2024, págs. 27-32. </w:t>
      </w:r>
    </w:p>
    <w:p w14:paraId="0F96080D" w14:textId="77777777" w:rsidR="0068726D" w:rsidRPr="0068726D" w:rsidRDefault="0068726D" w:rsidP="0068726D">
      <w:pPr>
        <w:pStyle w:val="Prrafodelista"/>
        <w:spacing w:after="0" w:line="240" w:lineRule="auto"/>
        <w:ind w:left="360"/>
        <w:jc w:val="both"/>
        <w:rPr>
          <w:sz w:val="20"/>
          <w:szCs w:val="20"/>
        </w:rPr>
      </w:pPr>
    </w:p>
    <w:p w14:paraId="61A9F1AD"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Martín-</w:t>
      </w:r>
      <w:proofErr w:type="spellStart"/>
      <w:r w:rsidRPr="0068726D">
        <w:rPr>
          <w:sz w:val="20"/>
          <w:szCs w:val="20"/>
        </w:rPr>
        <w:t>Casals</w:t>
      </w:r>
      <w:proofErr w:type="spellEnd"/>
      <w:r w:rsidRPr="0068726D">
        <w:rPr>
          <w:sz w:val="20"/>
          <w:szCs w:val="20"/>
        </w:rPr>
        <w:t xml:space="preserve">. “Sobre la responsabilidad por los daños causados por el uso de productos defectuosos en la prestación de servicios sanitarios”. Responsabilidad civil, seguro y </w:t>
      </w:r>
      <w:proofErr w:type="gramStart"/>
      <w:r w:rsidRPr="0068726D">
        <w:rPr>
          <w:sz w:val="20"/>
          <w:szCs w:val="20"/>
        </w:rPr>
        <w:t>trafico</w:t>
      </w:r>
      <w:proofErr w:type="gramEnd"/>
      <w:r w:rsidRPr="0068726D">
        <w:rPr>
          <w:sz w:val="20"/>
          <w:szCs w:val="20"/>
        </w:rPr>
        <w:t>: cuaderno jurídico, Nº. 84, 2023, págs. 15-23.</w:t>
      </w:r>
    </w:p>
    <w:p w14:paraId="09BF8AC1" w14:textId="77777777" w:rsidR="0068726D" w:rsidRPr="0068726D" w:rsidRDefault="0068726D" w:rsidP="0068726D">
      <w:pPr>
        <w:pStyle w:val="Prrafodelista"/>
        <w:spacing w:after="0" w:line="240" w:lineRule="auto"/>
        <w:ind w:left="360"/>
        <w:jc w:val="both"/>
        <w:rPr>
          <w:sz w:val="20"/>
          <w:szCs w:val="20"/>
        </w:rPr>
      </w:pPr>
    </w:p>
    <w:p w14:paraId="4FA969A4"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Martínez Díaz. “¿</w:t>
      </w:r>
      <w:proofErr w:type="spellStart"/>
      <w:r w:rsidRPr="0068726D">
        <w:rPr>
          <w:sz w:val="20"/>
          <w:szCs w:val="20"/>
        </w:rPr>
        <w:t>Renaturalización</w:t>
      </w:r>
      <w:proofErr w:type="spellEnd"/>
      <w:r w:rsidRPr="0068726D">
        <w:rPr>
          <w:sz w:val="20"/>
          <w:szCs w:val="20"/>
        </w:rPr>
        <w:t xml:space="preserve"> de la nulidad por usura?: Comentario a la Sentencia del Tribunal Supremo 1378/2023 de 6 de octubre”. Revista CESCO, Nº 49 (enero-marzo) 2024, págs. 107-116. </w:t>
      </w:r>
    </w:p>
    <w:p w14:paraId="143AD227" w14:textId="77777777" w:rsidR="0068726D" w:rsidRPr="0068726D" w:rsidRDefault="0068726D" w:rsidP="0068726D">
      <w:pPr>
        <w:pStyle w:val="Prrafodelista"/>
        <w:spacing w:after="0" w:line="240" w:lineRule="auto"/>
        <w:ind w:left="360"/>
        <w:jc w:val="both"/>
        <w:rPr>
          <w:sz w:val="20"/>
          <w:szCs w:val="20"/>
        </w:rPr>
      </w:pPr>
    </w:p>
    <w:p w14:paraId="314692B8"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Martínez </w:t>
      </w:r>
      <w:proofErr w:type="spellStart"/>
      <w:r w:rsidRPr="0068726D">
        <w:rPr>
          <w:sz w:val="20"/>
          <w:szCs w:val="20"/>
        </w:rPr>
        <w:t>Espin</w:t>
      </w:r>
      <w:proofErr w:type="spellEnd"/>
      <w:r w:rsidRPr="0068726D">
        <w:rPr>
          <w:sz w:val="20"/>
          <w:szCs w:val="20"/>
        </w:rPr>
        <w:t>. “</w:t>
      </w:r>
      <w:proofErr w:type="spellStart"/>
      <w:r w:rsidRPr="0068726D">
        <w:rPr>
          <w:sz w:val="20"/>
          <w:szCs w:val="20"/>
        </w:rPr>
        <w:t>Abusividad</w:t>
      </w:r>
      <w:proofErr w:type="spellEnd"/>
      <w:r w:rsidRPr="0068726D">
        <w:rPr>
          <w:sz w:val="20"/>
          <w:szCs w:val="20"/>
        </w:rPr>
        <w:t xml:space="preserve"> de la cláusula de costes del crédito al consumo no correspondientes a intereses y sus consecuencias (Comentario a la Sentencia TJUE Asunto C-321/22 (</w:t>
      </w:r>
      <w:proofErr w:type="spellStart"/>
      <w:r w:rsidRPr="0068726D">
        <w:rPr>
          <w:sz w:val="20"/>
          <w:szCs w:val="20"/>
        </w:rPr>
        <w:t>Provident</w:t>
      </w:r>
      <w:proofErr w:type="spellEnd"/>
      <w:r w:rsidRPr="0068726D">
        <w:rPr>
          <w:sz w:val="20"/>
          <w:szCs w:val="20"/>
        </w:rPr>
        <w:t xml:space="preserve"> </w:t>
      </w:r>
      <w:proofErr w:type="spellStart"/>
      <w:r w:rsidRPr="0068726D">
        <w:rPr>
          <w:sz w:val="20"/>
          <w:szCs w:val="20"/>
        </w:rPr>
        <w:t>Polska</w:t>
      </w:r>
      <w:proofErr w:type="spellEnd"/>
      <w:r w:rsidRPr="0068726D">
        <w:rPr>
          <w:sz w:val="20"/>
          <w:szCs w:val="20"/>
        </w:rPr>
        <w:t xml:space="preserve">) de 23 de noviembre de 2023)”. Revista CESCO, Nº 49 (enero-marzo) 2024, págs. 1-26. </w:t>
      </w:r>
    </w:p>
    <w:p w14:paraId="2F9CD2F3" w14:textId="77777777" w:rsidR="0068726D" w:rsidRPr="0068726D" w:rsidRDefault="0068726D" w:rsidP="0068726D">
      <w:pPr>
        <w:pStyle w:val="Prrafodelista"/>
        <w:spacing w:after="0" w:line="240" w:lineRule="auto"/>
        <w:ind w:left="360"/>
        <w:jc w:val="both"/>
        <w:rPr>
          <w:sz w:val="20"/>
          <w:szCs w:val="20"/>
        </w:rPr>
      </w:pPr>
    </w:p>
    <w:p w14:paraId="7B776406" w14:textId="1EE7385D"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Martínez Espín. “</w:t>
      </w:r>
      <w:proofErr w:type="spellStart"/>
      <w:r w:rsidRPr="0068726D">
        <w:rPr>
          <w:sz w:val="20"/>
          <w:szCs w:val="20"/>
        </w:rPr>
        <w:t>Abusividad</w:t>
      </w:r>
      <w:proofErr w:type="spellEnd"/>
      <w:r w:rsidRPr="0068726D">
        <w:rPr>
          <w:sz w:val="20"/>
          <w:szCs w:val="20"/>
        </w:rPr>
        <w:t xml:space="preserve"> de la cláusula de costes del crédito al consumo no correspondientes a intereses y sus consecuencias: (</w:t>
      </w:r>
      <w:proofErr w:type="spellStart"/>
      <w:r w:rsidRPr="0068726D">
        <w:rPr>
          <w:sz w:val="20"/>
          <w:szCs w:val="20"/>
        </w:rPr>
        <w:t>Comentarioa</w:t>
      </w:r>
      <w:proofErr w:type="spellEnd"/>
      <w:r w:rsidRPr="0068726D">
        <w:rPr>
          <w:sz w:val="20"/>
          <w:szCs w:val="20"/>
        </w:rPr>
        <w:t xml:space="preserve"> la Sentencia TJUE Asunto C-321/22 (</w:t>
      </w:r>
      <w:proofErr w:type="spellStart"/>
      <w:r w:rsidRPr="0068726D">
        <w:rPr>
          <w:sz w:val="20"/>
          <w:szCs w:val="20"/>
        </w:rPr>
        <w:t>Provident</w:t>
      </w:r>
      <w:proofErr w:type="spellEnd"/>
      <w:r w:rsidRPr="0068726D">
        <w:rPr>
          <w:sz w:val="20"/>
          <w:szCs w:val="20"/>
        </w:rPr>
        <w:t xml:space="preserve"> </w:t>
      </w:r>
      <w:proofErr w:type="spellStart"/>
      <w:r w:rsidRPr="0068726D">
        <w:rPr>
          <w:sz w:val="20"/>
          <w:szCs w:val="20"/>
        </w:rPr>
        <w:t>Polska</w:t>
      </w:r>
      <w:proofErr w:type="spellEnd"/>
      <w:r w:rsidRPr="0068726D">
        <w:rPr>
          <w:sz w:val="20"/>
          <w:szCs w:val="20"/>
        </w:rPr>
        <w:t>) de 23 de noviembre de 2023)”. Revista CESCO de Derecho de Consumo, Nº. 49, 2024, págs. 1-26</w:t>
      </w:r>
      <w:r>
        <w:rPr>
          <w:sz w:val="20"/>
          <w:szCs w:val="20"/>
        </w:rPr>
        <w:t>.</w:t>
      </w:r>
    </w:p>
    <w:p w14:paraId="2E557145" w14:textId="77777777" w:rsidR="0068726D" w:rsidRPr="0068726D" w:rsidRDefault="0068726D" w:rsidP="0068726D">
      <w:pPr>
        <w:pStyle w:val="Prrafodelista"/>
        <w:spacing w:after="0" w:line="240" w:lineRule="auto"/>
        <w:ind w:left="360"/>
        <w:jc w:val="both"/>
        <w:rPr>
          <w:sz w:val="20"/>
          <w:szCs w:val="20"/>
        </w:rPr>
      </w:pPr>
    </w:p>
    <w:p w14:paraId="2E452973"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Martínez García. “Exoneración completa, cuantitativa y cualitativa de todos los créditos públicos en el BEPI concursal”. Diario La Ley, Nº 10460, 2024. </w:t>
      </w:r>
    </w:p>
    <w:p w14:paraId="276A0886" w14:textId="77777777" w:rsidR="0068726D" w:rsidRPr="0068726D" w:rsidRDefault="0068726D" w:rsidP="0068726D">
      <w:pPr>
        <w:pStyle w:val="Prrafodelista"/>
        <w:spacing w:after="0" w:line="240" w:lineRule="auto"/>
        <w:ind w:left="360"/>
        <w:jc w:val="both"/>
        <w:rPr>
          <w:sz w:val="20"/>
          <w:szCs w:val="20"/>
        </w:rPr>
      </w:pPr>
    </w:p>
    <w:p w14:paraId="2E53F094" w14:textId="0B378221"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Martínez-Pina García. “Evolución del marco normativo de los planes y fondos de pensiones”. Revista española de seguros: Publicación doctrinal de Derecho y Economía de los Seguros privados, Nº. 196, 2023, págs. 597-601</w:t>
      </w:r>
      <w:r>
        <w:rPr>
          <w:sz w:val="20"/>
          <w:szCs w:val="20"/>
        </w:rPr>
        <w:t>.</w:t>
      </w:r>
    </w:p>
    <w:p w14:paraId="29D5D41F" w14:textId="77777777" w:rsidR="0068726D" w:rsidRPr="0068726D" w:rsidRDefault="0068726D" w:rsidP="0068726D">
      <w:pPr>
        <w:pStyle w:val="Prrafodelista"/>
        <w:spacing w:after="0" w:line="240" w:lineRule="auto"/>
        <w:ind w:left="360"/>
        <w:jc w:val="both"/>
        <w:rPr>
          <w:sz w:val="20"/>
          <w:szCs w:val="20"/>
        </w:rPr>
      </w:pPr>
    </w:p>
    <w:p w14:paraId="65412266"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Matias</w:t>
      </w:r>
      <w:proofErr w:type="spellEnd"/>
      <w:r w:rsidRPr="0068726D">
        <w:rPr>
          <w:sz w:val="20"/>
          <w:szCs w:val="20"/>
        </w:rPr>
        <w:t xml:space="preserve"> González. “La prevención de riesgos y amenazas en los </w:t>
      </w:r>
      <w:proofErr w:type="spellStart"/>
      <w:r w:rsidRPr="0068726D">
        <w:rPr>
          <w:sz w:val="20"/>
          <w:szCs w:val="20"/>
        </w:rPr>
        <w:t>ciberfraudes</w:t>
      </w:r>
      <w:proofErr w:type="spellEnd"/>
      <w:r w:rsidRPr="0068726D">
        <w:rPr>
          <w:sz w:val="20"/>
          <w:szCs w:val="20"/>
        </w:rPr>
        <w:t>”. Diario La Ley, Nº 10449, 2024.</w:t>
      </w:r>
    </w:p>
    <w:p w14:paraId="6B87EFCC" w14:textId="77777777" w:rsidR="0068726D" w:rsidRPr="0068726D" w:rsidRDefault="0068726D" w:rsidP="0068726D">
      <w:pPr>
        <w:pStyle w:val="Prrafodelista"/>
        <w:spacing w:after="0" w:line="240" w:lineRule="auto"/>
        <w:ind w:left="360"/>
        <w:jc w:val="both"/>
        <w:rPr>
          <w:sz w:val="20"/>
          <w:szCs w:val="20"/>
        </w:rPr>
      </w:pPr>
    </w:p>
    <w:p w14:paraId="59074DB5"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Mayrhofer</w:t>
      </w:r>
      <w:proofErr w:type="spellEnd"/>
      <w:r w:rsidRPr="0068726D">
        <w:rPr>
          <w:sz w:val="20"/>
          <w:szCs w:val="20"/>
        </w:rPr>
        <w:t>. “</w:t>
      </w:r>
      <w:proofErr w:type="spellStart"/>
      <w:r w:rsidRPr="0068726D">
        <w:rPr>
          <w:sz w:val="20"/>
          <w:szCs w:val="20"/>
        </w:rPr>
        <w:t>Responsabilidade</w:t>
      </w:r>
      <w:proofErr w:type="spellEnd"/>
      <w:r w:rsidRPr="0068726D">
        <w:rPr>
          <w:sz w:val="20"/>
          <w:szCs w:val="20"/>
        </w:rPr>
        <w:t xml:space="preserve"> por </w:t>
      </w:r>
      <w:proofErr w:type="spellStart"/>
      <w:r w:rsidRPr="0068726D">
        <w:rPr>
          <w:sz w:val="20"/>
          <w:szCs w:val="20"/>
        </w:rPr>
        <w:t>produtos</w:t>
      </w:r>
      <w:proofErr w:type="spellEnd"/>
      <w:r w:rsidRPr="0068726D">
        <w:rPr>
          <w:sz w:val="20"/>
          <w:szCs w:val="20"/>
        </w:rPr>
        <w:t xml:space="preserve"> </w:t>
      </w:r>
      <w:proofErr w:type="spellStart"/>
      <w:r w:rsidRPr="0068726D">
        <w:rPr>
          <w:sz w:val="20"/>
          <w:szCs w:val="20"/>
        </w:rPr>
        <w:t>defeituosos</w:t>
      </w:r>
      <w:proofErr w:type="spellEnd"/>
      <w:r w:rsidRPr="0068726D">
        <w:rPr>
          <w:sz w:val="20"/>
          <w:szCs w:val="20"/>
        </w:rPr>
        <w:t xml:space="preserve"> na era da IA — </w:t>
      </w:r>
      <w:proofErr w:type="spellStart"/>
      <w:r w:rsidRPr="0068726D">
        <w:rPr>
          <w:sz w:val="20"/>
          <w:szCs w:val="20"/>
        </w:rPr>
        <w:t>Proposta</w:t>
      </w:r>
      <w:proofErr w:type="spellEnd"/>
      <w:r w:rsidRPr="0068726D">
        <w:rPr>
          <w:sz w:val="20"/>
          <w:szCs w:val="20"/>
        </w:rPr>
        <w:t xml:space="preserve"> de </w:t>
      </w:r>
      <w:proofErr w:type="spellStart"/>
      <w:r w:rsidRPr="0068726D">
        <w:rPr>
          <w:sz w:val="20"/>
          <w:szCs w:val="20"/>
        </w:rPr>
        <w:t>uma</w:t>
      </w:r>
      <w:proofErr w:type="spellEnd"/>
      <w:r w:rsidRPr="0068726D">
        <w:rPr>
          <w:sz w:val="20"/>
          <w:szCs w:val="20"/>
        </w:rPr>
        <w:t xml:space="preserve"> </w:t>
      </w:r>
      <w:proofErr w:type="spellStart"/>
      <w:r w:rsidRPr="0068726D">
        <w:rPr>
          <w:sz w:val="20"/>
          <w:szCs w:val="20"/>
        </w:rPr>
        <w:t>solução</w:t>
      </w:r>
      <w:proofErr w:type="spellEnd"/>
      <w:r w:rsidRPr="0068726D">
        <w:rPr>
          <w:sz w:val="20"/>
          <w:szCs w:val="20"/>
        </w:rPr>
        <w:t xml:space="preserve"> de “</w:t>
      </w:r>
      <w:proofErr w:type="spellStart"/>
      <w:r w:rsidRPr="0068726D">
        <w:rPr>
          <w:sz w:val="20"/>
          <w:szCs w:val="20"/>
        </w:rPr>
        <w:t>duas</w:t>
      </w:r>
      <w:proofErr w:type="spellEnd"/>
      <w:r w:rsidRPr="0068726D">
        <w:rPr>
          <w:sz w:val="20"/>
          <w:szCs w:val="20"/>
        </w:rPr>
        <w:t xml:space="preserve"> </w:t>
      </w:r>
      <w:proofErr w:type="spellStart"/>
      <w:r w:rsidRPr="0068726D">
        <w:rPr>
          <w:sz w:val="20"/>
          <w:szCs w:val="20"/>
        </w:rPr>
        <w:t>vias</w:t>
      </w:r>
      <w:proofErr w:type="spellEnd"/>
      <w:r w:rsidRPr="0068726D">
        <w:rPr>
          <w:sz w:val="20"/>
          <w:szCs w:val="20"/>
        </w:rPr>
        <w:t xml:space="preserve">””. Revista Electrónica de </w:t>
      </w:r>
      <w:proofErr w:type="spellStart"/>
      <w:r w:rsidRPr="0068726D">
        <w:rPr>
          <w:sz w:val="20"/>
          <w:szCs w:val="20"/>
        </w:rPr>
        <w:t>Direito</w:t>
      </w:r>
      <w:proofErr w:type="spellEnd"/>
      <w:r w:rsidRPr="0068726D">
        <w:rPr>
          <w:sz w:val="20"/>
          <w:szCs w:val="20"/>
        </w:rPr>
        <w:t>. RED, Vol. 33, Nº. 1, 2024.</w:t>
      </w:r>
    </w:p>
    <w:p w14:paraId="0ED18B95" w14:textId="083D087A" w:rsidR="0068726D" w:rsidRPr="0068726D" w:rsidRDefault="0068726D" w:rsidP="0068726D">
      <w:pPr>
        <w:pStyle w:val="Prrafodelista"/>
        <w:spacing w:after="0" w:line="240" w:lineRule="auto"/>
        <w:ind w:left="360"/>
        <w:jc w:val="both"/>
        <w:rPr>
          <w:sz w:val="20"/>
          <w:szCs w:val="20"/>
        </w:rPr>
      </w:pPr>
      <w:r w:rsidRPr="0068726D">
        <w:rPr>
          <w:sz w:val="20"/>
          <w:szCs w:val="20"/>
        </w:rPr>
        <w:t xml:space="preserve"> </w:t>
      </w:r>
    </w:p>
    <w:p w14:paraId="17E49585"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Medrano Aranguren. “Cesión de préstamo usurario: legitimación pasiva del prestamista cedente”. </w:t>
      </w:r>
      <w:proofErr w:type="spellStart"/>
      <w:r w:rsidRPr="0068726D">
        <w:rPr>
          <w:sz w:val="20"/>
          <w:szCs w:val="20"/>
        </w:rPr>
        <w:t>CEFLegal</w:t>
      </w:r>
      <w:proofErr w:type="spellEnd"/>
      <w:r w:rsidRPr="0068726D">
        <w:rPr>
          <w:sz w:val="20"/>
          <w:szCs w:val="20"/>
        </w:rPr>
        <w:t>: Revista práctica de derecho. Comentarios y casos prácticos, Nº. 278, 2024, págs. 123-128.</w:t>
      </w:r>
    </w:p>
    <w:p w14:paraId="287ADD21" w14:textId="77777777" w:rsidR="0068726D" w:rsidRPr="0068726D" w:rsidRDefault="0068726D" w:rsidP="0068726D">
      <w:pPr>
        <w:pStyle w:val="Prrafodelista"/>
        <w:spacing w:after="0" w:line="240" w:lineRule="auto"/>
        <w:ind w:left="360"/>
        <w:jc w:val="both"/>
        <w:rPr>
          <w:sz w:val="20"/>
          <w:szCs w:val="20"/>
        </w:rPr>
      </w:pPr>
    </w:p>
    <w:p w14:paraId="3748C03F"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Medrano Aranguren. “Exoneración del crédito público en el BEPI: directivas comunitarias”. </w:t>
      </w:r>
      <w:proofErr w:type="spellStart"/>
      <w:r w:rsidRPr="0068726D">
        <w:rPr>
          <w:sz w:val="20"/>
          <w:szCs w:val="20"/>
        </w:rPr>
        <w:t>CEFLegal</w:t>
      </w:r>
      <w:proofErr w:type="spellEnd"/>
      <w:r w:rsidRPr="0068726D">
        <w:rPr>
          <w:sz w:val="20"/>
          <w:szCs w:val="20"/>
        </w:rPr>
        <w:t>: Revista práctica de derecho. Comentarios y casos prácticos, Nº. 277, 2024, págs. 121-127.</w:t>
      </w:r>
    </w:p>
    <w:p w14:paraId="0C82064B" w14:textId="77777777" w:rsidR="0068726D" w:rsidRPr="0068726D" w:rsidRDefault="0068726D" w:rsidP="0068726D">
      <w:pPr>
        <w:pStyle w:val="Prrafodelista"/>
        <w:spacing w:after="0" w:line="240" w:lineRule="auto"/>
        <w:ind w:left="360"/>
        <w:jc w:val="both"/>
        <w:rPr>
          <w:sz w:val="20"/>
          <w:szCs w:val="20"/>
        </w:rPr>
      </w:pPr>
    </w:p>
    <w:p w14:paraId="7D03FBD0"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lastRenderedPageBreak/>
        <w:t xml:space="preserve">Medrano Aranguren. “Legitimación activa de las asociaciones de consumidores y el autónomo como consumidor”. </w:t>
      </w:r>
      <w:proofErr w:type="spellStart"/>
      <w:r w:rsidRPr="0068726D">
        <w:rPr>
          <w:sz w:val="20"/>
          <w:szCs w:val="20"/>
        </w:rPr>
        <w:t>CEFLegal</w:t>
      </w:r>
      <w:proofErr w:type="spellEnd"/>
      <w:r w:rsidRPr="0068726D">
        <w:rPr>
          <w:sz w:val="20"/>
          <w:szCs w:val="20"/>
        </w:rPr>
        <w:t>: Revista práctica de derecho. Comentarios y casos prácticos, Nº. 275, 2023, págs. 105-110.</w:t>
      </w:r>
    </w:p>
    <w:p w14:paraId="733833C6" w14:textId="77777777" w:rsidR="0068726D" w:rsidRPr="0068726D" w:rsidRDefault="0068726D" w:rsidP="0068726D">
      <w:pPr>
        <w:pStyle w:val="Prrafodelista"/>
        <w:spacing w:after="0" w:line="240" w:lineRule="auto"/>
        <w:ind w:left="360"/>
        <w:jc w:val="both"/>
        <w:rPr>
          <w:sz w:val="20"/>
          <w:szCs w:val="20"/>
        </w:rPr>
      </w:pPr>
    </w:p>
    <w:p w14:paraId="1CE04CFB" w14:textId="4FE47C7A"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Monterroso Casado. “El resarcimiento de daños en los accidentes aéreos: más allá del baremo”. Revista Crítica de Derecho Inmobiliario, Año nº 99, Nº 800, 2023, págs. 3567-3588</w:t>
      </w:r>
      <w:r>
        <w:rPr>
          <w:sz w:val="20"/>
          <w:szCs w:val="20"/>
        </w:rPr>
        <w:t>.</w:t>
      </w:r>
    </w:p>
    <w:p w14:paraId="4E272C8A" w14:textId="77777777" w:rsidR="0068726D" w:rsidRPr="0068726D" w:rsidRDefault="0068726D" w:rsidP="0068726D">
      <w:pPr>
        <w:pStyle w:val="Prrafodelista"/>
        <w:spacing w:after="0" w:line="240" w:lineRule="auto"/>
        <w:ind w:left="360"/>
        <w:jc w:val="both"/>
        <w:rPr>
          <w:sz w:val="20"/>
          <w:szCs w:val="20"/>
        </w:rPr>
      </w:pPr>
    </w:p>
    <w:p w14:paraId="63F5FABE"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Morral </w:t>
      </w:r>
      <w:proofErr w:type="spellStart"/>
      <w:r w:rsidRPr="0068726D">
        <w:rPr>
          <w:sz w:val="20"/>
          <w:szCs w:val="20"/>
        </w:rPr>
        <w:t>Soldevila</w:t>
      </w:r>
      <w:proofErr w:type="spellEnd"/>
      <w:r w:rsidRPr="0068726D">
        <w:rPr>
          <w:sz w:val="20"/>
          <w:szCs w:val="20"/>
        </w:rPr>
        <w:t xml:space="preserve">. “La exoneración del pasivo insatisfecho: extensión y efectos”. Anuario de derecho concursal, Nº. 61, 2024, págs. 57-105. </w:t>
      </w:r>
    </w:p>
    <w:p w14:paraId="0B884611" w14:textId="77777777" w:rsidR="0068726D" w:rsidRPr="0068726D" w:rsidRDefault="0068726D" w:rsidP="0068726D">
      <w:pPr>
        <w:pStyle w:val="Prrafodelista"/>
        <w:spacing w:after="0" w:line="240" w:lineRule="auto"/>
        <w:ind w:left="360"/>
        <w:jc w:val="both"/>
        <w:rPr>
          <w:sz w:val="20"/>
          <w:szCs w:val="20"/>
        </w:rPr>
      </w:pPr>
    </w:p>
    <w:p w14:paraId="6EA148C0"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Mut</w:t>
      </w:r>
      <w:proofErr w:type="spellEnd"/>
      <w:r w:rsidRPr="0068726D">
        <w:rPr>
          <w:sz w:val="20"/>
          <w:szCs w:val="20"/>
        </w:rPr>
        <w:t xml:space="preserve"> Piña. “</w:t>
      </w:r>
      <w:proofErr w:type="spellStart"/>
      <w:r w:rsidRPr="0068726D">
        <w:rPr>
          <w:sz w:val="20"/>
          <w:szCs w:val="20"/>
        </w:rPr>
        <w:t>Novetats</w:t>
      </w:r>
      <w:proofErr w:type="spellEnd"/>
      <w:r w:rsidRPr="0068726D">
        <w:rPr>
          <w:sz w:val="20"/>
          <w:szCs w:val="20"/>
        </w:rPr>
        <w:t xml:space="preserve"> </w:t>
      </w:r>
      <w:proofErr w:type="spellStart"/>
      <w:r w:rsidRPr="0068726D">
        <w:rPr>
          <w:sz w:val="20"/>
          <w:szCs w:val="20"/>
        </w:rPr>
        <w:t>derivades</w:t>
      </w:r>
      <w:proofErr w:type="spellEnd"/>
      <w:r w:rsidRPr="0068726D">
        <w:rPr>
          <w:sz w:val="20"/>
          <w:szCs w:val="20"/>
        </w:rPr>
        <w:t xml:space="preserve"> de la </w:t>
      </w:r>
      <w:proofErr w:type="spellStart"/>
      <w:r w:rsidRPr="0068726D">
        <w:rPr>
          <w:sz w:val="20"/>
          <w:szCs w:val="20"/>
        </w:rPr>
        <w:t>jurisprudència</w:t>
      </w:r>
      <w:proofErr w:type="spellEnd"/>
      <w:r w:rsidRPr="0068726D">
        <w:rPr>
          <w:sz w:val="20"/>
          <w:szCs w:val="20"/>
        </w:rPr>
        <w:t xml:space="preserve"> del Tribunal de </w:t>
      </w:r>
      <w:proofErr w:type="spellStart"/>
      <w:r w:rsidRPr="0068726D">
        <w:rPr>
          <w:sz w:val="20"/>
          <w:szCs w:val="20"/>
        </w:rPr>
        <w:t>Justícia</w:t>
      </w:r>
      <w:proofErr w:type="spellEnd"/>
      <w:r w:rsidRPr="0068726D">
        <w:rPr>
          <w:sz w:val="20"/>
          <w:szCs w:val="20"/>
        </w:rPr>
        <w:t xml:space="preserve"> de la Unió Europea de </w:t>
      </w:r>
      <w:proofErr w:type="spellStart"/>
      <w:r w:rsidRPr="0068726D">
        <w:rPr>
          <w:sz w:val="20"/>
          <w:szCs w:val="20"/>
        </w:rPr>
        <w:t>l'any</w:t>
      </w:r>
      <w:proofErr w:type="spellEnd"/>
      <w:r w:rsidRPr="0068726D">
        <w:rPr>
          <w:sz w:val="20"/>
          <w:szCs w:val="20"/>
        </w:rPr>
        <w:t xml:space="preserve"> 2023 en el </w:t>
      </w:r>
      <w:proofErr w:type="spellStart"/>
      <w:r w:rsidRPr="0068726D">
        <w:rPr>
          <w:sz w:val="20"/>
          <w:szCs w:val="20"/>
        </w:rPr>
        <w:t>tractament</w:t>
      </w:r>
      <w:proofErr w:type="spellEnd"/>
      <w:r w:rsidRPr="0068726D">
        <w:rPr>
          <w:sz w:val="20"/>
          <w:szCs w:val="20"/>
        </w:rPr>
        <w:t xml:space="preserve"> i control de les </w:t>
      </w:r>
      <w:proofErr w:type="spellStart"/>
      <w:r w:rsidRPr="0068726D">
        <w:rPr>
          <w:sz w:val="20"/>
          <w:szCs w:val="20"/>
        </w:rPr>
        <w:t>dades</w:t>
      </w:r>
      <w:proofErr w:type="spellEnd"/>
      <w:r w:rsidRPr="0068726D">
        <w:rPr>
          <w:sz w:val="20"/>
          <w:szCs w:val="20"/>
        </w:rPr>
        <w:t xml:space="preserve"> </w:t>
      </w:r>
      <w:proofErr w:type="spellStart"/>
      <w:r w:rsidRPr="0068726D">
        <w:rPr>
          <w:sz w:val="20"/>
          <w:szCs w:val="20"/>
        </w:rPr>
        <w:t>personals</w:t>
      </w:r>
      <w:proofErr w:type="spellEnd"/>
      <w:r w:rsidRPr="0068726D">
        <w:rPr>
          <w:sz w:val="20"/>
          <w:szCs w:val="20"/>
        </w:rPr>
        <w:t xml:space="preserve">”. Revista Catalana de </w:t>
      </w:r>
      <w:proofErr w:type="spellStart"/>
      <w:r w:rsidRPr="0068726D">
        <w:rPr>
          <w:sz w:val="20"/>
          <w:szCs w:val="20"/>
        </w:rPr>
        <w:t>Dret</w:t>
      </w:r>
      <w:proofErr w:type="spellEnd"/>
      <w:r w:rsidRPr="0068726D">
        <w:rPr>
          <w:sz w:val="20"/>
          <w:szCs w:val="20"/>
        </w:rPr>
        <w:t xml:space="preserve"> </w:t>
      </w:r>
      <w:proofErr w:type="spellStart"/>
      <w:r w:rsidRPr="0068726D">
        <w:rPr>
          <w:sz w:val="20"/>
          <w:szCs w:val="20"/>
        </w:rPr>
        <w:t>Privat</w:t>
      </w:r>
      <w:proofErr w:type="spellEnd"/>
      <w:r w:rsidRPr="0068726D">
        <w:rPr>
          <w:sz w:val="20"/>
          <w:szCs w:val="20"/>
        </w:rPr>
        <w:t xml:space="preserve">, Vol. 27, 2023, págs. 105-122. </w:t>
      </w:r>
    </w:p>
    <w:p w14:paraId="05F4A351" w14:textId="77777777" w:rsidR="0068726D" w:rsidRPr="0068726D" w:rsidRDefault="0068726D" w:rsidP="0068726D">
      <w:pPr>
        <w:pStyle w:val="Prrafodelista"/>
        <w:spacing w:after="0" w:line="240" w:lineRule="auto"/>
        <w:ind w:left="360"/>
        <w:jc w:val="both"/>
        <w:rPr>
          <w:sz w:val="20"/>
          <w:szCs w:val="20"/>
        </w:rPr>
      </w:pPr>
    </w:p>
    <w:p w14:paraId="3C70E603"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Ortega Giménez. “Las nuevas tecnologías y la protección de datos de carácter personal desde el Derecho Internacional Privado: redes sociales de internet y </w:t>
      </w:r>
      <w:proofErr w:type="spellStart"/>
      <w:r w:rsidRPr="0068726D">
        <w:rPr>
          <w:sz w:val="20"/>
          <w:szCs w:val="20"/>
        </w:rPr>
        <w:t>cloud</w:t>
      </w:r>
      <w:proofErr w:type="spellEnd"/>
      <w:r w:rsidRPr="0068726D">
        <w:rPr>
          <w:sz w:val="20"/>
          <w:szCs w:val="20"/>
        </w:rPr>
        <w:t xml:space="preserve"> </w:t>
      </w:r>
      <w:proofErr w:type="spellStart"/>
      <w:r w:rsidRPr="0068726D">
        <w:rPr>
          <w:sz w:val="20"/>
          <w:szCs w:val="20"/>
        </w:rPr>
        <w:t>computing</w:t>
      </w:r>
      <w:proofErr w:type="spellEnd"/>
      <w:r w:rsidRPr="0068726D">
        <w:rPr>
          <w:sz w:val="20"/>
          <w:szCs w:val="20"/>
        </w:rPr>
        <w:t xml:space="preserve">”. Actualidad civil, Nº 12, 2023. </w:t>
      </w:r>
    </w:p>
    <w:p w14:paraId="152A0331" w14:textId="77777777" w:rsidR="0068726D" w:rsidRPr="0068726D" w:rsidRDefault="0068726D" w:rsidP="0068726D">
      <w:pPr>
        <w:pStyle w:val="Prrafodelista"/>
        <w:spacing w:after="0" w:line="240" w:lineRule="auto"/>
        <w:ind w:left="360"/>
        <w:jc w:val="both"/>
        <w:rPr>
          <w:sz w:val="20"/>
          <w:szCs w:val="20"/>
        </w:rPr>
      </w:pPr>
    </w:p>
    <w:p w14:paraId="5234C918"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Osma. “Cláusula delimitadora del riesgo en un seguro de vida “al término de la edad cuando el asegurado cumpla 65 años” (STS, sala 1ª, núm. 1.344 /2023, de 3 de octubre)”. Revista española de seguros: Publicación doctrinal de Derecho y Economía de los Seguros privados, Nº. 196, 2023, págs. 637-642. </w:t>
      </w:r>
    </w:p>
    <w:p w14:paraId="07C91B16" w14:textId="77777777" w:rsidR="0068726D" w:rsidRPr="0068726D" w:rsidRDefault="0068726D" w:rsidP="0068726D">
      <w:pPr>
        <w:pStyle w:val="Prrafodelista"/>
        <w:spacing w:after="0" w:line="240" w:lineRule="auto"/>
        <w:ind w:left="360"/>
        <w:jc w:val="both"/>
        <w:rPr>
          <w:sz w:val="20"/>
          <w:szCs w:val="20"/>
        </w:rPr>
      </w:pPr>
    </w:p>
    <w:p w14:paraId="4E138CE9"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Pérez </w:t>
      </w:r>
      <w:proofErr w:type="spellStart"/>
      <w:r w:rsidRPr="0068726D">
        <w:rPr>
          <w:sz w:val="20"/>
          <w:szCs w:val="20"/>
        </w:rPr>
        <w:t>Hereza</w:t>
      </w:r>
      <w:proofErr w:type="spellEnd"/>
      <w:r w:rsidRPr="0068726D">
        <w:rPr>
          <w:sz w:val="20"/>
          <w:szCs w:val="20"/>
        </w:rPr>
        <w:t xml:space="preserve">. “¿Es adecuada la Ley de Crédito Inmobiliario para el cumplimiento de sus objetivos?”. Anales de la Academia Matritense del Notariado, Tomo 61, 2022, págs. 175-235. </w:t>
      </w:r>
    </w:p>
    <w:p w14:paraId="4920DBE1" w14:textId="77777777" w:rsidR="0068726D" w:rsidRPr="0068726D" w:rsidRDefault="0068726D" w:rsidP="0068726D">
      <w:pPr>
        <w:pStyle w:val="Prrafodelista"/>
        <w:spacing w:after="0" w:line="240" w:lineRule="auto"/>
        <w:ind w:left="360"/>
        <w:jc w:val="both"/>
        <w:rPr>
          <w:sz w:val="20"/>
          <w:szCs w:val="20"/>
        </w:rPr>
      </w:pPr>
    </w:p>
    <w:p w14:paraId="5F11B5C3"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Pertíñez</w:t>
      </w:r>
      <w:proofErr w:type="spellEnd"/>
      <w:r w:rsidRPr="0068726D">
        <w:rPr>
          <w:sz w:val="20"/>
          <w:szCs w:val="20"/>
        </w:rPr>
        <w:t xml:space="preserve"> Vílchez. “Giro en la doctrina jurisprudencial sobre las cláusulas suelo: el deber de transparencia se ancla en la mera inclusión de la cláusula en la documentación precontractual”. Cuadernos </w:t>
      </w:r>
      <w:proofErr w:type="spellStart"/>
      <w:r w:rsidRPr="0068726D">
        <w:rPr>
          <w:sz w:val="20"/>
          <w:szCs w:val="20"/>
        </w:rPr>
        <w:t>Civitas</w:t>
      </w:r>
      <w:proofErr w:type="spellEnd"/>
      <w:r w:rsidRPr="0068726D">
        <w:rPr>
          <w:sz w:val="20"/>
          <w:szCs w:val="20"/>
        </w:rPr>
        <w:t xml:space="preserve"> de jurisprudencia civil, Nº 123, 2023, págs. 211-220.</w:t>
      </w:r>
    </w:p>
    <w:p w14:paraId="0CA02C1F" w14:textId="77777777" w:rsidR="0068726D" w:rsidRPr="0068726D" w:rsidRDefault="0068726D" w:rsidP="0068726D">
      <w:pPr>
        <w:pStyle w:val="Prrafodelista"/>
        <w:spacing w:after="0" w:line="240" w:lineRule="auto"/>
        <w:ind w:left="360"/>
        <w:jc w:val="both"/>
        <w:rPr>
          <w:sz w:val="20"/>
          <w:szCs w:val="20"/>
        </w:rPr>
      </w:pPr>
    </w:p>
    <w:p w14:paraId="4576E1FD"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Presno</w:t>
      </w:r>
      <w:proofErr w:type="spellEnd"/>
      <w:r w:rsidRPr="0068726D">
        <w:rPr>
          <w:sz w:val="20"/>
          <w:szCs w:val="20"/>
        </w:rPr>
        <w:t xml:space="preserve"> Linera. “La propuesta de «Ley de Inteligencia Artificial» europea”. Revista de las Cortes Generales, Nº 116, 2023, págs. 81-133.</w:t>
      </w:r>
    </w:p>
    <w:p w14:paraId="77C94B85" w14:textId="77777777" w:rsidR="0068726D" w:rsidRPr="0068726D" w:rsidRDefault="0068726D" w:rsidP="0068726D">
      <w:pPr>
        <w:pStyle w:val="Prrafodelista"/>
        <w:spacing w:after="0" w:line="240" w:lineRule="auto"/>
        <w:ind w:left="360"/>
        <w:jc w:val="both"/>
        <w:rPr>
          <w:sz w:val="20"/>
          <w:szCs w:val="20"/>
        </w:rPr>
      </w:pPr>
    </w:p>
    <w:p w14:paraId="7CC8932E" w14:textId="77777777"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Rios</w:t>
      </w:r>
      <w:proofErr w:type="spellEnd"/>
      <w:r w:rsidRPr="0068726D">
        <w:rPr>
          <w:sz w:val="20"/>
          <w:szCs w:val="20"/>
        </w:rPr>
        <w:t xml:space="preserve"> </w:t>
      </w:r>
      <w:proofErr w:type="spellStart"/>
      <w:r w:rsidRPr="0068726D">
        <w:rPr>
          <w:sz w:val="20"/>
          <w:szCs w:val="20"/>
        </w:rPr>
        <w:t>Sanclemente</w:t>
      </w:r>
      <w:proofErr w:type="spellEnd"/>
      <w:r w:rsidRPr="0068726D">
        <w:rPr>
          <w:sz w:val="20"/>
          <w:szCs w:val="20"/>
        </w:rPr>
        <w:t xml:space="preserve">, Vargas Arrázola. “Cláusulas de permanencia mínima en los servicios de telecomunicaciones: análisis del régimen legal actual”. </w:t>
      </w:r>
      <w:proofErr w:type="spellStart"/>
      <w:r w:rsidRPr="0068726D">
        <w:rPr>
          <w:sz w:val="20"/>
          <w:szCs w:val="20"/>
        </w:rPr>
        <w:t>Universitas</w:t>
      </w:r>
      <w:proofErr w:type="spellEnd"/>
      <w:r w:rsidRPr="0068726D">
        <w:rPr>
          <w:sz w:val="20"/>
          <w:szCs w:val="20"/>
        </w:rPr>
        <w:t xml:space="preserve"> Estudiantes, Nº. 28, 2023, págs. 11-44. </w:t>
      </w:r>
    </w:p>
    <w:p w14:paraId="0063183E" w14:textId="77777777" w:rsidR="0068726D" w:rsidRPr="0068726D" w:rsidRDefault="0068726D" w:rsidP="0068726D">
      <w:pPr>
        <w:pStyle w:val="Prrafodelista"/>
        <w:spacing w:after="0" w:line="240" w:lineRule="auto"/>
        <w:ind w:left="360"/>
        <w:jc w:val="both"/>
        <w:rPr>
          <w:sz w:val="20"/>
          <w:szCs w:val="20"/>
        </w:rPr>
      </w:pPr>
    </w:p>
    <w:p w14:paraId="35C3379C"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Rodríguez de Almeida. “La cláusula de intereses en el préstamo hipotecario entre particulares: el límite de la usura”. Revista Crítica de Derecho Inmobiliario, Año nº 99, Nº 798, 2023, págs. 2357-2373. </w:t>
      </w:r>
    </w:p>
    <w:p w14:paraId="74A5BDCA" w14:textId="77777777" w:rsidR="0068726D" w:rsidRPr="0068726D" w:rsidRDefault="0068726D" w:rsidP="0068726D">
      <w:pPr>
        <w:pStyle w:val="Prrafodelista"/>
        <w:spacing w:after="0" w:line="240" w:lineRule="auto"/>
        <w:ind w:left="360"/>
        <w:jc w:val="both"/>
        <w:rPr>
          <w:sz w:val="20"/>
          <w:szCs w:val="20"/>
        </w:rPr>
      </w:pPr>
    </w:p>
    <w:p w14:paraId="1D3924BB"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Sáez-</w:t>
      </w:r>
      <w:proofErr w:type="spellStart"/>
      <w:r w:rsidRPr="0068726D">
        <w:rPr>
          <w:sz w:val="20"/>
          <w:szCs w:val="20"/>
        </w:rPr>
        <w:t>Santurtún</w:t>
      </w:r>
      <w:proofErr w:type="spellEnd"/>
      <w:r w:rsidRPr="0068726D">
        <w:rPr>
          <w:sz w:val="20"/>
          <w:szCs w:val="20"/>
        </w:rPr>
        <w:t xml:space="preserve"> Prieto. “Transparencia en la compra de vivienda nueva: conformidad contractual y urbanística”. Anales de la Academia Matritense del Notariado, Tomo 61, 2022, págs. 351-394. </w:t>
      </w:r>
    </w:p>
    <w:p w14:paraId="59E985E3" w14:textId="77777777" w:rsidR="0068726D" w:rsidRPr="0068726D" w:rsidRDefault="0068726D" w:rsidP="0068726D">
      <w:pPr>
        <w:pStyle w:val="Prrafodelista"/>
        <w:spacing w:after="0" w:line="240" w:lineRule="auto"/>
        <w:ind w:left="360"/>
        <w:jc w:val="both"/>
        <w:rPr>
          <w:sz w:val="20"/>
          <w:szCs w:val="20"/>
        </w:rPr>
      </w:pPr>
    </w:p>
    <w:p w14:paraId="3442D13B"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Sánchez </w:t>
      </w:r>
      <w:proofErr w:type="spellStart"/>
      <w:r w:rsidRPr="0068726D">
        <w:rPr>
          <w:sz w:val="20"/>
          <w:szCs w:val="20"/>
        </w:rPr>
        <w:t>Garcia</w:t>
      </w:r>
      <w:proofErr w:type="spellEnd"/>
      <w:r w:rsidRPr="0068726D">
        <w:rPr>
          <w:sz w:val="20"/>
          <w:szCs w:val="20"/>
        </w:rPr>
        <w:t xml:space="preserve">. “El control de transparencia del crédito </w:t>
      </w:r>
      <w:proofErr w:type="spellStart"/>
      <w:r w:rsidRPr="0068726D">
        <w:rPr>
          <w:sz w:val="20"/>
          <w:szCs w:val="20"/>
        </w:rPr>
        <w:t>revolving</w:t>
      </w:r>
      <w:proofErr w:type="spellEnd"/>
      <w:r w:rsidRPr="0068726D">
        <w:rPr>
          <w:sz w:val="20"/>
          <w:szCs w:val="20"/>
        </w:rPr>
        <w:t xml:space="preserve"> cuando no es usurario”. Revista de Derecho </w:t>
      </w:r>
      <w:proofErr w:type="spellStart"/>
      <w:r w:rsidRPr="0068726D">
        <w:rPr>
          <w:sz w:val="20"/>
          <w:szCs w:val="20"/>
        </w:rPr>
        <w:t>vLex</w:t>
      </w:r>
      <w:proofErr w:type="spellEnd"/>
      <w:r w:rsidRPr="0068726D">
        <w:rPr>
          <w:sz w:val="20"/>
          <w:szCs w:val="20"/>
        </w:rPr>
        <w:t xml:space="preserve">, Nº 238, Marzo 2024. </w:t>
      </w:r>
    </w:p>
    <w:p w14:paraId="156EE23A" w14:textId="77777777" w:rsidR="0068726D" w:rsidRPr="0068726D" w:rsidRDefault="0068726D" w:rsidP="0068726D">
      <w:pPr>
        <w:pStyle w:val="Prrafodelista"/>
        <w:spacing w:after="0" w:line="240" w:lineRule="auto"/>
        <w:ind w:left="360"/>
        <w:jc w:val="both"/>
        <w:rPr>
          <w:sz w:val="20"/>
          <w:szCs w:val="20"/>
        </w:rPr>
      </w:pPr>
    </w:p>
    <w:p w14:paraId="0261A03A"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Sánchez </w:t>
      </w:r>
      <w:proofErr w:type="spellStart"/>
      <w:r w:rsidRPr="0068726D">
        <w:rPr>
          <w:sz w:val="20"/>
          <w:szCs w:val="20"/>
        </w:rPr>
        <w:t>Garcia</w:t>
      </w:r>
      <w:proofErr w:type="spellEnd"/>
      <w:r w:rsidRPr="0068726D">
        <w:rPr>
          <w:sz w:val="20"/>
          <w:szCs w:val="20"/>
        </w:rPr>
        <w:t xml:space="preserve">. “Estado actual sobre la </w:t>
      </w:r>
      <w:proofErr w:type="spellStart"/>
      <w:r w:rsidRPr="0068726D">
        <w:rPr>
          <w:sz w:val="20"/>
          <w:szCs w:val="20"/>
        </w:rPr>
        <w:t>litigiosidad</w:t>
      </w:r>
      <w:proofErr w:type="spellEnd"/>
      <w:r w:rsidRPr="0068726D">
        <w:rPr>
          <w:sz w:val="20"/>
          <w:szCs w:val="20"/>
        </w:rPr>
        <w:t xml:space="preserve"> del crédito </w:t>
      </w:r>
      <w:proofErr w:type="spellStart"/>
      <w:r w:rsidRPr="0068726D">
        <w:rPr>
          <w:sz w:val="20"/>
          <w:szCs w:val="20"/>
        </w:rPr>
        <w:t>revolving</w:t>
      </w:r>
      <w:proofErr w:type="spellEnd"/>
      <w:r w:rsidRPr="0068726D">
        <w:rPr>
          <w:sz w:val="20"/>
          <w:szCs w:val="20"/>
        </w:rPr>
        <w:t xml:space="preserve">”. Revista de Derecho </w:t>
      </w:r>
      <w:proofErr w:type="spellStart"/>
      <w:r w:rsidRPr="0068726D">
        <w:rPr>
          <w:sz w:val="20"/>
          <w:szCs w:val="20"/>
        </w:rPr>
        <w:t>vLex</w:t>
      </w:r>
      <w:proofErr w:type="spellEnd"/>
      <w:r w:rsidRPr="0068726D">
        <w:rPr>
          <w:sz w:val="20"/>
          <w:szCs w:val="20"/>
        </w:rPr>
        <w:t xml:space="preserve">, Nº 236, Enero 2024. </w:t>
      </w:r>
    </w:p>
    <w:p w14:paraId="6EC245DB" w14:textId="77777777" w:rsidR="0068726D" w:rsidRPr="0068726D" w:rsidRDefault="0068726D" w:rsidP="0068726D">
      <w:pPr>
        <w:pStyle w:val="Prrafodelista"/>
        <w:spacing w:after="0" w:line="240" w:lineRule="auto"/>
        <w:ind w:left="360"/>
        <w:jc w:val="both"/>
        <w:rPr>
          <w:sz w:val="20"/>
          <w:szCs w:val="20"/>
        </w:rPr>
      </w:pPr>
    </w:p>
    <w:p w14:paraId="764C71BC"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Sánchez </w:t>
      </w:r>
      <w:proofErr w:type="spellStart"/>
      <w:r w:rsidRPr="0068726D">
        <w:rPr>
          <w:sz w:val="20"/>
          <w:szCs w:val="20"/>
        </w:rPr>
        <w:t>Garcia</w:t>
      </w:r>
      <w:proofErr w:type="spellEnd"/>
      <w:r w:rsidRPr="0068726D">
        <w:rPr>
          <w:sz w:val="20"/>
          <w:szCs w:val="20"/>
        </w:rPr>
        <w:t xml:space="preserve">. “La obligación del prestamista de evaluar la solvencia del consumidor”. Revista de Derecho </w:t>
      </w:r>
      <w:proofErr w:type="spellStart"/>
      <w:r w:rsidRPr="0068726D">
        <w:rPr>
          <w:sz w:val="20"/>
          <w:szCs w:val="20"/>
        </w:rPr>
        <w:t>vLex</w:t>
      </w:r>
      <w:proofErr w:type="spellEnd"/>
      <w:r w:rsidRPr="0068726D">
        <w:rPr>
          <w:sz w:val="20"/>
          <w:szCs w:val="20"/>
        </w:rPr>
        <w:t xml:space="preserve">, Nº 237, Febrero 2024. </w:t>
      </w:r>
    </w:p>
    <w:p w14:paraId="2DFECE15" w14:textId="77777777" w:rsidR="0068726D" w:rsidRPr="0068726D" w:rsidRDefault="0068726D" w:rsidP="0068726D">
      <w:pPr>
        <w:pStyle w:val="Prrafodelista"/>
        <w:spacing w:after="0" w:line="240" w:lineRule="auto"/>
        <w:ind w:left="360"/>
        <w:jc w:val="both"/>
        <w:rPr>
          <w:sz w:val="20"/>
          <w:szCs w:val="20"/>
        </w:rPr>
      </w:pPr>
    </w:p>
    <w:p w14:paraId="6DB440FE"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Sancho Martínez. “Transparencia y </w:t>
      </w:r>
      <w:proofErr w:type="spellStart"/>
      <w:r w:rsidRPr="0068726D">
        <w:rPr>
          <w:sz w:val="20"/>
          <w:szCs w:val="20"/>
        </w:rPr>
        <w:t>abusividad</w:t>
      </w:r>
      <w:proofErr w:type="spellEnd"/>
      <w:r w:rsidRPr="0068726D">
        <w:rPr>
          <w:sz w:val="20"/>
          <w:szCs w:val="20"/>
        </w:rPr>
        <w:t xml:space="preserve"> en el contrato de fianza: la situación del fiador consumidor”. Cuadernos de derecho privado: CDP, Nº. 7, 2023, págs. 114-152.</w:t>
      </w:r>
    </w:p>
    <w:p w14:paraId="2334C848" w14:textId="77777777" w:rsidR="0068726D" w:rsidRPr="0068726D" w:rsidRDefault="0068726D" w:rsidP="0068726D">
      <w:pPr>
        <w:pStyle w:val="Prrafodelista"/>
        <w:spacing w:after="0" w:line="240" w:lineRule="auto"/>
        <w:ind w:left="360"/>
        <w:jc w:val="both"/>
        <w:rPr>
          <w:sz w:val="20"/>
          <w:szCs w:val="20"/>
        </w:rPr>
      </w:pPr>
    </w:p>
    <w:p w14:paraId="372E3F3E"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lastRenderedPageBreak/>
        <w:t xml:space="preserve">Torre </w:t>
      </w:r>
      <w:proofErr w:type="spellStart"/>
      <w:r w:rsidRPr="0068726D">
        <w:rPr>
          <w:sz w:val="20"/>
          <w:szCs w:val="20"/>
        </w:rPr>
        <w:t>Sustaeta</w:t>
      </w:r>
      <w:proofErr w:type="spellEnd"/>
      <w:r w:rsidRPr="0068726D">
        <w:rPr>
          <w:sz w:val="20"/>
          <w:szCs w:val="20"/>
        </w:rPr>
        <w:t xml:space="preserve">. “De consumidor a </w:t>
      </w:r>
      <w:proofErr w:type="spellStart"/>
      <w:r w:rsidRPr="0068726D">
        <w:rPr>
          <w:sz w:val="20"/>
          <w:szCs w:val="20"/>
        </w:rPr>
        <w:t>prosumidor</w:t>
      </w:r>
      <w:proofErr w:type="spellEnd"/>
      <w:r w:rsidRPr="0068726D">
        <w:rPr>
          <w:sz w:val="20"/>
          <w:szCs w:val="20"/>
        </w:rPr>
        <w:t xml:space="preserve">: reflexiones en torno a la publicidad engañosa y otras prácticas desleales en el ámbito de las redes sociales”. La Ley mercantil, Nº. 108 (diciembre), 2023. </w:t>
      </w:r>
    </w:p>
    <w:p w14:paraId="3AF44507" w14:textId="77777777" w:rsidR="0068726D" w:rsidRPr="0068726D" w:rsidRDefault="0068726D" w:rsidP="0068726D">
      <w:pPr>
        <w:pStyle w:val="Prrafodelista"/>
        <w:spacing w:after="0" w:line="240" w:lineRule="auto"/>
        <w:ind w:left="360"/>
        <w:jc w:val="both"/>
        <w:rPr>
          <w:sz w:val="20"/>
          <w:szCs w:val="20"/>
        </w:rPr>
      </w:pPr>
    </w:p>
    <w:p w14:paraId="043D07D1"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Tur </w:t>
      </w:r>
      <w:proofErr w:type="spellStart"/>
      <w:r w:rsidRPr="0068726D">
        <w:rPr>
          <w:sz w:val="20"/>
          <w:szCs w:val="20"/>
        </w:rPr>
        <w:t>Faúndez</w:t>
      </w:r>
      <w:proofErr w:type="spellEnd"/>
      <w:r w:rsidRPr="0068726D">
        <w:rPr>
          <w:sz w:val="20"/>
          <w:szCs w:val="20"/>
        </w:rPr>
        <w:t>. “La ausencia de la protección del destinatario del servicio en los contratos online. Reflexiones generales de derecho sustantivo y procesal”. Diario La Ley, Nº 10414, 2023.</w:t>
      </w:r>
    </w:p>
    <w:p w14:paraId="4808F356" w14:textId="77777777" w:rsidR="0068726D" w:rsidRPr="0068726D" w:rsidRDefault="0068726D" w:rsidP="0068726D">
      <w:pPr>
        <w:pStyle w:val="Prrafodelista"/>
        <w:spacing w:after="0" w:line="240" w:lineRule="auto"/>
        <w:ind w:left="360"/>
        <w:jc w:val="both"/>
        <w:rPr>
          <w:sz w:val="20"/>
          <w:szCs w:val="20"/>
        </w:rPr>
      </w:pPr>
    </w:p>
    <w:p w14:paraId="34618BAF" w14:textId="77777777" w:rsidR="0068726D" w:rsidRDefault="0068726D" w:rsidP="0068726D">
      <w:pPr>
        <w:pStyle w:val="Prrafodelista"/>
        <w:numPr>
          <w:ilvl w:val="0"/>
          <w:numId w:val="14"/>
        </w:numPr>
        <w:spacing w:after="0" w:line="240" w:lineRule="auto"/>
        <w:ind w:left="360"/>
        <w:jc w:val="both"/>
        <w:rPr>
          <w:sz w:val="20"/>
          <w:szCs w:val="20"/>
        </w:rPr>
      </w:pPr>
      <w:r w:rsidRPr="0068726D">
        <w:rPr>
          <w:sz w:val="20"/>
          <w:szCs w:val="20"/>
        </w:rPr>
        <w:t xml:space="preserve">Vila Chirinos. “El atasco provocado en los juzgados de condiciones generales de la contratación, las costas y posibles soluciones”. Diario La Ley, ISSN 1989-6913, Nº 10468, 2024. </w:t>
      </w:r>
    </w:p>
    <w:p w14:paraId="1A6C0342" w14:textId="77777777" w:rsidR="0068726D" w:rsidRPr="0068726D" w:rsidRDefault="0068726D" w:rsidP="0068726D">
      <w:pPr>
        <w:pStyle w:val="Prrafodelista"/>
        <w:spacing w:after="0" w:line="240" w:lineRule="auto"/>
        <w:ind w:left="360"/>
        <w:jc w:val="both"/>
        <w:rPr>
          <w:sz w:val="20"/>
          <w:szCs w:val="20"/>
        </w:rPr>
      </w:pPr>
    </w:p>
    <w:p w14:paraId="0A87BDE3" w14:textId="1D38793D" w:rsidR="0068726D" w:rsidRDefault="0068726D" w:rsidP="0068726D">
      <w:pPr>
        <w:pStyle w:val="Prrafodelista"/>
        <w:numPr>
          <w:ilvl w:val="0"/>
          <w:numId w:val="14"/>
        </w:numPr>
        <w:spacing w:after="0" w:line="240" w:lineRule="auto"/>
        <w:ind w:left="360"/>
        <w:jc w:val="both"/>
        <w:rPr>
          <w:sz w:val="20"/>
          <w:szCs w:val="20"/>
        </w:rPr>
      </w:pPr>
      <w:proofErr w:type="spellStart"/>
      <w:r w:rsidRPr="0068726D">
        <w:rPr>
          <w:sz w:val="20"/>
          <w:szCs w:val="20"/>
        </w:rPr>
        <w:t>Zaballos</w:t>
      </w:r>
      <w:proofErr w:type="spellEnd"/>
      <w:r w:rsidRPr="0068726D">
        <w:rPr>
          <w:sz w:val="20"/>
          <w:szCs w:val="20"/>
        </w:rPr>
        <w:t xml:space="preserve"> </w:t>
      </w:r>
      <w:proofErr w:type="spellStart"/>
      <w:r w:rsidRPr="0068726D">
        <w:rPr>
          <w:sz w:val="20"/>
          <w:szCs w:val="20"/>
        </w:rPr>
        <w:t>Zurilla</w:t>
      </w:r>
      <w:proofErr w:type="spellEnd"/>
      <w:r w:rsidRPr="0068726D">
        <w:rPr>
          <w:sz w:val="20"/>
          <w:szCs w:val="20"/>
        </w:rPr>
        <w:t>. “Propuesta de Directiva del Parlamento Europeo y del Consejo, de 17 de octubre de 2023, por la que se modifica la Directiva 2013/11/UE, relativa a la resolución alternativa de litigios en materia de consumo, así como las Directivas (UE) 2015/2302, (UE) 201”. Revista CESCO, Nº 49 (enero-marzo) 2024, págs. 33-47.</w:t>
      </w:r>
    </w:p>
    <w:p w14:paraId="2F2FAC68" w14:textId="33E1489D" w:rsidR="00A64D45" w:rsidRPr="00A64D45" w:rsidRDefault="00A64D45" w:rsidP="0068726D">
      <w:pPr>
        <w:pStyle w:val="Prrafodelista"/>
        <w:spacing w:after="0" w:line="240" w:lineRule="auto"/>
        <w:ind w:left="0"/>
        <w:jc w:val="both"/>
        <w:rPr>
          <w:sz w:val="20"/>
          <w:szCs w:val="20"/>
        </w:rPr>
      </w:pPr>
      <w:r w:rsidRPr="00A64D45">
        <w:rPr>
          <w:sz w:val="20"/>
          <w:szCs w:val="20"/>
        </w:rPr>
        <w:t xml:space="preserve"> </w:t>
      </w:r>
    </w:p>
    <w:p w14:paraId="28B8A273" w14:textId="77777777" w:rsidR="00567AAA" w:rsidRPr="00A15646" w:rsidRDefault="00567AAA" w:rsidP="003F49BB">
      <w:pPr>
        <w:spacing w:beforeLines="100" w:before="240" w:afterLines="100" w:after="240"/>
        <w:jc w:val="center"/>
        <w:rPr>
          <w:sz w:val="20"/>
          <w:szCs w:val="20"/>
        </w:rPr>
      </w:pPr>
    </w:p>
    <w:p w14:paraId="4E3CD16B" w14:textId="77777777" w:rsidR="00567AAA" w:rsidRPr="00A15646" w:rsidRDefault="00567AAA" w:rsidP="003F49BB">
      <w:pPr>
        <w:spacing w:beforeLines="100" w:before="240" w:afterLines="100" w:after="240"/>
        <w:jc w:val="center"/>
        <w:rPr>
          <w:sz w:val="20"/>
          <w:szCs w:val="20"/>
        </w:rPr>
      </w:pPr>
    </w:p>
    <w:p w14:paraId="6774DC87" w14:textId="77777777" w:rsidR="00567AAA" w:rsidRDefault="00567AAA" w:rsidP="003F49BB">
      <w:pPr>
        <w:spacing w:beforeLines="100" w:before="240" w:afterLines="100" w:after="240"/>
        <w:jc w:val="center"/>
        <w:rPr>
          <w:sz w:val="20"/>
          <w:szCs w:val="20"/>
        </w:rPr>
      </w:pPr>
    </w:p>
    <w:p w14:paraId="34EE913F" w14:textId="77777777" w:rsidR="00A64D45" w:rsidRDefault="00A64D45" w:rsidP="003F49BB">
      <w:pPr>
        <w:spacing w:beforeLines="100" w:before="240" w:afterLines="100" w:after="240"/>
        <w:jc w:val="center"/>
        <w:rPr>
          <w:sz w:val="16"/>
          <w:szCs w:val="16"/>
        </w:rPr>
      </w:pPr>
    </w:p>
    <w:p w14:paraId="375AA902" w14:textId="77777777" w:rsidR="00EF0B72" w:rsidRDefault="00EF0B72" w:rsidP="003F49BB">
      <w:pPr>
        <w:spacing w:beforeLines="100" w:before="240" w:afterLines="100" w:after="240"/>
        <w:jc w:val="center"/>
        <w:rPr>
          <w:sz w:val="16"/>
          <w:szCs w:val="16"/>
        </w:rPr>
      </w:pPr>
    </w:p>
    <w:p w14:paraId="3CC5CCB9" w14:textId="77777777" w:rsidR="0068726D" w:rsidRDefault="0068726D" w:rsidP="003F49BB">
      <w:pPr>
        <w:spacing w:beforeLines="100" w:before="240" w:afterLines="100" w:after="240"/>
        <w:jc w:val="center"/>
        <w:rPr>
          <w:sz w:val="16"/>
          <w:szCs w:val="16"/>
        </w:rPr>
      </w:pPr>
    </w:p>
    <w:p w14:paraId="0B4BB591" w14:textId="77777777" w:rsidR="0068726D" w:rsidRDefault="0068726D" w:rsidP="003F49BB">
      <w:pPr>
        <w:spacing w:beforeLines="100" w:before="240" w:afterLines="100" w:after="240"/>
        <w:jc w:val="center"/>
        <w:rPr>
          <w:sz w:val="16"/>
          <w:szCs w:val="16"/>
        </w:rPr>
      </w:pPr>
    </w:p>
    <w:p w14:paraId="728145C7" w14:textId="77777777" w:rsidR="0068726D" w:rsidRDefault="0068726D" w:rsidP="003F49BB">
      <w:pPr>
        <w:spacing w:beforeLines="100" w:before="240" w:afterLines="100" w:after="240"/>
        <w:jc w:val="center"/>
        <w:rPr>
          <w:sz w:val="16"/>
          <w:szCs w:val="16"/>
        </w:rPr>
      </w:pPr>
    </w:p>
    <w:p w14:paraId="645ED5C8" w14:textId="77777777" w:rsidR="0068726D" w:rsidRDefault="0068726D" w:rsidP="003F49BB">
      <w:pPr>
        <w:spacing w:beforeLines="100" w:before="240" w:afterLines="100" w:after="240"/>
        <w:jc w:val="center"/>
        <w:rPr>
          <w:sz w:val="16"/>
          <w:szCs w:val="16"/>
        </w:rPr>
      </w:pPr>
    </w:p>
    <w:p w14:paraId="253C487A" w14:textId="77777777" w:rsidR="0068726D" w:rsidRDefault="0068726D" w:rsidP="003F49BB">
      <w:pPr>
        <w:spacing w:beforeLines="100" w:before="240" w:afterLines="100" w:after="240"/>
        <w:jc w:val="center"/>
        <w:rPr>
          <w:sz w:val="16"/>
          <w:szCs w:val="16"/>
        </w:rPr>
      </w:pPr>
    </w:p>
    <w:p w14:paraId="14B53C9A" w14:textId="77777777" w:rsidR="0068726D" w:rsidRDefault="0068726D" w:rsidP="003F49BB">
      <w:pPr>
        <w:spacing w:beforeLines="100" w:before="240" w:afterLines="100" w:after="240"/>
        <w:jc w:val="center"/>
        <w:rPr>
          <w:sz w:val="16"/>
          <w:szCs w:val="16"/>
        </w:rPr>
      </w:pPr>
    </w:p>
    <w:p w14:paraId="07E28FFA" w14:textId="77777777" w:rsidR="0068726D" w:rsidRDefault="0068726D" w:rsidP="003F49BB">
      <w:pPr>
        <w:spacing w:beforeLines="100" w:before="240" w:afterLines="100" w:after="240"/>
        <w:jc w:val="center"/>
        <w:rPr>
          <w:sz w:val="16"/>
          <w:szCs w:val="16"/>
        </w:rPr>
      </w:pPr>
    </w:p>
    <w:p w14:paraId="19BA2DDC" w14:textId="77777777" w:rsidR="0068726D" w:rsidRDefault="0068726D" w:rsidP="003F49BB">
      <w:pPr>
        <w:spacing w:beforeLines="100" w:before="240" w:afterLines="100" w:after="240"/>
        <w:jc w:val="center"/>
        <w:rPr>
          <w:sz w:val="16"/>
          <w:szCs w:val="16"/>
        </w:rPr>
      </w:pPr>
    </w:p>
    <w:p w14:paraId="167E01B4" w14:textId="77777777" w:rsidR="0068726D" w:rsidRDefault="0068726D" w:rsidP="003F49BB">
      <w:pPr>
        <w:spacing w:beforeLines="100" w:before="240" w:afterLines="100" w:after="240"/>
        <w:jc w:val="center"/>
        <w:rPr>
          <w:sz w:val="16"/>
          <w:szCs w:val="16"/>
        </w:rPr>
      </w:pPr>
    </w:p>
    <w:p w14:paraId="7B141361" w14:textId="77777777" w:rsidR="0068726D" w:rsidRDefault="0068726D" w:rsidP="003F49BB">
      <w:pPr>
        <w:spacing w:beforeLines="100" w:before="240" w:afterLines="100" w:after="240"/>
        <w:jc w:val="center"/>
        <w:rPr>
          <w:sz w:val="16"/>
          <w:szCs w:val="16"/>
        </w:rPr>
      </w:pPr>
    </w:p>
    <w:p w14:paraId="4C386AE5" w14:textId="77777777" w:rsidR="0068726D" w:rsidRDefault="0068726D" w:rsidP="003F49BB">
      <w:pPr>
        <w:spacing w:beforeLines="100" w:before="240" w:afterLines="100" w:after="240"/>
        <w:jc w:val="center"/>
        <w:rPr>
          <w:sz w:val="16"/>
          <w:szCs w:val="16"/>
        </w:rPr>
      </w:pPr>
    </w:p>
    <w:p w14:paraId="2B69BA5F" w14:textId="77777777" w:rsidR="0068726D" w:rsidRDefault="0068726D" w:rsidP="003F49BB">
      <w:pPr>
        <w:spacing w:beforeLines="100" w:before="240" w:afterLines="100" w:after="240"/>
        <w:jc w:val="center"/>
        <w:rPr>
          <w:sz w:val="16"/>
          <w:szCs w:val="16"/>
        </w:rPr>
      </w:pPr>
    </w:p>
    <w:p w14:paraId="121F8690" w14:textId="77777777" w:rsidR="0068726D" w:rsidRDefault="0068726D" w:rsidP="003F49BB">
      <w:pPr>
        <w:spacing w:beforeLines="100" w:before="240" w:afterLines="100" w:after="240"/>
        <w:jc w:val="center"/>
        <w:rPr>
          <w:sz w:val="16"/>
          <w:szCs w:val="16"/>
        </w:rPr>
      </w:pPr>
    </w:p>
    <w:p w14:paraId="170E89EA" w14:textId="77777777" w:rsidR="0068726D" w:rsidRDefault="0068726D" w:rsidP="0068726D">
      <w:pPr>
        <w:spacing w:beforeLines="100" w:before="240" w:afterLines="100" w:after="240"/>
        <w:rPr>
          <w:sz w:val="16"/>
          <w:szCs w:val="16"/>
        </w:rPr>
      </w:pPr>
      <w:bookmarkStart w:id="0" w:name="_GoBack"/>
      <w:bookmarkEnd w:id="0"/>
    </w:p>
    <w:p w14:paraId="10246042" w14:textId="77777777" w:rsidR="00EF0B72" w:rsidRDefault="00EF0B72" w:rsidP="00353898">
      <w:pPr>
        <w:spacing w:beforeLines="100" w:before="240" w:afterLines="100" w:after="240"/>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2CAFC" w14:textId="77777777" w:rsidR="00A030AD" w:rsidRDefault="00A030AD" w:rsidP="000562B1">
      <w:pPr>
        <w:spacing w:after="0" w:line="240" w:lineRule="auto"/>
      </w:pPr>
      <w:r>
        <w:separator/>
      </w:r>
    </w:p>
  </w:endnote>
  <w:endnote w:type="continuationSeparator" w:id="0">
    <w:p w14:paraId="4B269011" w14:textId="77777777" w:rsidR="00A030AD" w:rsidRDefault="00A030AD"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68726D">
          <w:rPr>
            <w:rFonts w:cstheme="minorHAnsi"/>
            <w:noProof/>
          </w:rPr>
          <w:t>5</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C5027" w14:textId="77777777" w:rsidR="00A030AD" w:rsidRDefault="00A030AD" w:rsidP="000562B1">
      <w:pPr>
        <w:spacing w:after="0" w:line="240" w:lineRule="auto"/>
      </w:pPr>
      <w:r>
        <w:separator/>
      </w:r>
    </w:p>
  </w:footnote>
  <w:footnote w:type="continuationSeparator" w:id="0">
    <w:p w14:paraId="44669C6D" w14:textId="77777777" w:rsidR="00A030AD" w:rsidRDefault="00A030AD"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0C4B3C"/>
    <w:multiLevelType w:val="hybridMultilevel"/>
    <w:tmpl w:val="19FC5322"/>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747798"/>
    <w:multiLevelType w:val="hybridMultilevel"/>
    <w:tmpl w:val="932C875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5481EEE"/>
    <w:multiLevelType w:val="hybridMultilevel"/>
    <w:tmpl w:val="80E67DC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2"/>
  </w:num>
  <w:num w:numId="4">
    <w:abstractNumId w:val="7"/>
  </w:num>
  <w:num w:numId="5">
    <w:abstractNumId w:val="4"/>
  </w:num>
  <w:num w:numId="6">
    <w:abstractNumId w:val="5"/>
  </w:num>
  <w:num w:numId="7">
    <w:abstractNumId w:val="9"/>
  </w:num>
  <w:num w:numId="8">
    <w:abstractNumId w:val="6"/>
  </w:num>
  <w:num w:numId="9">
    <w:abstractNumId w:val="3"/>
  </w:num>
  <w:num w:numId="10">
    <w:abstractNumId w:val="11"/>
  </w:num>
  <w:num w:numId="11">
    <w:abstractNumId w:val="10"/>
  </w:num>
  <w:num w:numId="12">
    <w:abstractNumId w:val="8"/>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12310A"/>
    <w:rsid w:val="001342BF"/>
    <w:rsid w:val="0017035A"/>
    <w:rsid w:val="00181687"/>
    <w:rsid w:val="001A3DC8"/>
    <w:rsid w:val="001B39D6"/>
    <w:rsid w:val="001E467C"/>
    <w:rsid w:val="00226C2F"/>
    <w:rsid w:val="002321F9"/>
    <w:rsid w:val="00237E7A"/>
    <w:rsid w:val="0024425F"/>
    <w:rsid w:val="002920B4"/>
    <w:rsid w:val="002C3D5D"/>
    <w:rsid w:val="00311051"/>
    <w:rsid w:val="00326C94"/>
    <w:rsid w:val="00353898"/>
    <w:rsid w:val="003559D9"/>
    <w:rsid w:val="003662F8"/>
    <w:rsid w:val="003A1A16"/>
    <w:rsid w:val="003C5AFC"/>
    <w:rsid w:val="003C79EE"/>
    <w:rsid w:val="003C7E66"/>
    <w:rsid w:val="003E66AA"/>
    <w:rsid w:val="003F49BB"/>
    <w:rsid w:val="003F4BCA"/>
    <w:rsid w:val="00410FE1"/>
    <w:rsid w:val="004158D3"/>
    <w:rsid w:val="00467E42"/>
    <w:rsid w:val="00474518"/>
    <w:rsid w:val="004A2F0A"/>
    <w:rsid w:val="004C5AA1"/>
    <w:rsid w:val="004D794A"/>
    <w:rsid w:val="0051297C"/>
    <w:rsid w:val="005524C4"/>
    <w:rsid w:val="005527B0"/>
    <w:rsid w:val="00567AAA"/>
    <w:rsid w:val="005B7019"/>
    <w:rsid w:val="005E340F"/>
    <w:rsid w:val="005F0DEC"/>
    <w:rsid w:val="005F1DFB"/>
    <w:rsid w:val="005F3752"/>
    <w:rsid w:val="00633110"/>
    <w:rsid w:val="00656A1A"/>
    <w:rsid w:val="00673A7C"/>
    <w:rsid w:val="0068726D"/>
    <w:rsid w:val="006B172C"/>
    <w:rsid w:val="007834BC"/>
    <w:rsid w:val="007C2FE3"/>
    <w:rsid w:val="00816AAB"/>
    <w:rsid w:val="008251E3"/>
    <w:rsid w:val="00827C04"/>
    <w:rsid w:val="00846866"/>
    <w:rsid w:val="008D2AC3"/>
    <w:rsid w:val="008D6849"/>
    <w:rsid w:val="008F19D1"/>
    <w:rsid w:val="00916F83"/>
    <w:rsid w:val="00923CBC"/>
    <w:rsid w:val="0093649B"/>
    <w:rsid w:val="009432D4"/>
    <w:rsid w:val="00952BF5"/>
    <w:rsid w:val="009C07E8"/>
    <w:rsid w:val="009E399E"/>
    <w:rsid w:val="009E7932"/>
    <w:rsid w:val="00A00862"/>
    <w:rsid w:val="00A02CFB"/>
    <w:rsid w:val="00A030AD"/>
    <w:rsid w:val="00A15646"/>
    <w:rsid w:val="00A178D6"/>
    <w:rsid w:val="00A21DDE"/>
    <w:rsid w:val="00A4262A"/>
    <w:rsid w:val="00A535EC"/>
    <w:rsid w:val="00A64D45"/>
    <w:rsid w:val="00A95CE0"/>
    <w:rsid w:val="00AB05F9"/>
    <w:rsid w:val="00B00158"/>
    <w:rsid w:val="00B03532"/>
    <w:rsid w:val="00B065EF"/>
    <w:rsid w:val="00B40032"/>
    <w:rsid w:val="00B42623"/>
    <w:rsid w:val="00B436F4"/>
    <w:rsid w:val="00B44604"/>
    <w:rsid w:val="00B55B74"/>
    <w:rsid w:val="00B917BF"/>
    <w:rsid w:val="00BE3615"/>
    <w:rsid w:val="00C41A52"/>
    <w:rsid w:val="00C45C39"/>
    <w:rsid w:val="00C660D0"/>
    <w:rsid w:val="00C67BF4"/>
    <w:rsid w:val="00C67C8B"/>
    <w:rsid w:val="00C73ED8"/>
    <w:rsid w:val="00C943B2"/>
    <w:rsid w:val="00C97832"/>
    <w:rsid w:val="00CA6AA7"/>
    <w:rsid w:val="00CB0586"/>
    <w:rsid w:val="00CE63DC"/>
    <w:rsid w:val="00D364FB"/>
    <w:rsid w:val="00D37249"/>
    <w:rsid w:val="00D827B7"/>
    <w:rsid w:val="00DA30E6"/>
    <w:rsid w:val="00DC326F"/>
    <w:rsid w:val="00E37172"/>
    <w:rsid w:val="00E53C19"/>
    <w:rsid w:val="00E618E3"/>
    <w:rsid w:val="00E7533D"/>
    <w:rsid w:val="00E843AB"/>
    <w:rsid w:val="00E86324"/>
    <w:rsid w:val="00EE05FD"/>
    <w:rsid w:val="00EF0B72"/>
    <w:rsid w:val="00F475F0"/>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ADD7B-B68C-471C-AAC2-993343FBF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2072</Words>
  <Characters>11396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3</cp:revision>
  <cp:lastPrinted>2024-07-15T11:34:00Z</cp:lastPrinted>
  <dcterms:created xsi:type="dcterms:W3CDTF">2024-07-15T11:30:00Z</dcterms:created>
  <dcterms:modified xsi:type="dcterms:W3CDTF">2024-07-15T11:34:00Z</dcterms:modified>
</cp:coreProperties>
</file>