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25598EC2">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860" cy="10708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2997C5E5" w:rsidR="00D37249" w:rsidRDefault="000E1594"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590F0E9A">
                <wp:simplePos x="0" y="0"/>
                <wp:positionH relativeFrom="column">
                  <wp:posOffset>-769427</wp:posOffset>
                </wp:positionH>
                <wp:positionV relativeFrom="paragraph">
                  <wp:posOffset>432435</wp:posOffset>
                </wp:positionV>
                <wp:extent cx="6236970" cy="5117465"/>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6236970" cy="511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79C55B73" w:rsidR="00101C22" w:rsidRPr="0085768E" w:rsidRDefault="00751E61">
                            <w:pPr>
                              <w:rPr>
                                <w:b/>
                                <w:color w:val="FFFFFF" w:themeColor="background1"/>
                                <w:sz w:val="36"/>
                                <w:szCs w:val="36"/>
                              </w:rPr>
                            </w:pPr>
                            <w:r>
                              <w:rPr>
                                <w:b/>
                                <w:color w:val="FFFFFF" w:themeColor="background1"/>
                                <w:sz w:val="36"/>
                                <w:szCs w:val="36"/>
                              </w:rPr>
                              <w:t>Enero a marzo de 2024</w:t>
                            </w:r>
                          </w:p>
                          <w:p w14:paraId="2EB7BD8F" w14:textId="77777777" w:rsidR="00101C22" w:rsidRPr="0085768E" w:rsidRDefault="00101C22">
                            <w:pPr>
                              <w:rPr>
                                <w:b/>
                                <w:color w:val="FFFFFF" w:themeColor="background1"/>
                                <w:sz w:val="36"/>
                                <w:szCs w:val="36"/>
                              </w:rPr>
                            </w:pPr>
                          </w:p>
                          <w:p w14:paraId="59EFE686" w14:textId="2F53DA65"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3C10C7">
                              <w:rPr>
                                <w:b/>
                                <w:color w:val="FFFFFF" w:themeColor="background1"/>
                                <w:sz w:val="72"/>
                                <w:szCs w:val="72"/>
                              </w:rPr>
                              <w:t>1</w:t>
                            </w:r>
                            <w:r w:rsidR="00751E61">
                              <w:rPr>
                                <w:b/>
                                <w:color w:val="FFFFFF" w:themeColor="background1"/>
                                <w:sz w:val="72"/>
                                <w:szCs w:val="72"/>
                              </w:rPr>
                              <w:t>3</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74E23784"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Ayudante Doctor</w:t>
                            </w:r>
                            <w:r>
                              <w:rPr>
                                <w:sz w:val="20"/>
                                <w:szCs w:val="20"/>
                              </w:rPr>
                              <w:t>a</w:t>
                            </w:r>
                            <w:r w:rsidR="0046122C">
                              <w:rPr>
                                <w:sz w:val="20"/>
                                <w:szCs w:val="20"/>
                              </w:rPr>
                              <w:t xml:space="preserve"> de Derecho Procesal</w:t>
                            </w:r>
                            <w:r w:rsidR="005B57B6">
                              <w:rPr>
                                <w:sz w:val="20"/>
                                <w:szCs w:val="20"/>
                              </w:rPr>
                              <w:t xml:space="preserve"> (</w:t>
                            </w:r>
                            <w:r w:rsidR="0046122C">
                              <w:rPr>
                                <w:sz w:val="20"/>
                                <w:szCs w:val="20"/>
                              </w:rPr>
                              <w:t xml:space="preserve">ac. </w:t>
                            </w:r>
                            <w:r w:rsidR="001C29AF">
                              <w:rPr>
                                <w:sz w:val="20"/>
                                <w:szCs w:val="20"/>
                              </w:rPr>
                              <w:t>Prof. Titular</w:t>
                            </w:r>
                            <w:r w:rsidR="005B57B6">
                              <w:rPr>
                                <w:sz w:val="20"/>
                                <w:szCs w:val="20"/>
                              </w:rPr>
                              <w:t>)</w:t>
                            </w:r>
                            <w:r>
                              <w:rPr>
                                <w:sz w:val="20"/>
                                <w:szCs w:val="20"/>
                              </w:rPr>
                              <w:t xml:space="preserve"> </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60.6pt;margin-top:34.05pt;width:491.1pt;height:40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" filled="f" stroked="f" strokeweight=".5pt">
                <v:textbox>
                  <w:txbxContent>
                    <w:p w14:paraId="4D436CF4" w14:textId="79C55B73" w:rsidR="00101C22" w:rsidRPr="0085768E" w:rsidRDefault="00751E61">
                      <w:pPr>
                        <w:rPr>
                          <w:b/>
                          <w:color w:val="FFFFFF" w:themeColor="background1"/>
                          <w:sz w:val="36"/>
                          <w:szCs w:val="36"/>
                        </w:rPr>
                      </w:pPr>
                      <w:r>
                        <w:rPr>
                          <w:b/>
                          <w:color w:val="FFFFFF" w:themeColor="background1"/>
                          <w:sz w:val="36"/>
                          <w:szCs w:val="36"/>
                        </w:rPr>
                        <w:t>Enero a marzo de 2024</w:t>
                      </w:r>
                    </w:p>
                    <w:p w14:paraId="2EB7BD8F" w14:textId="77777777" w:rsidR="00101C22" w:rsidRPr="0085768E" w:rsidRDefault="00101C22">
                      <w:pPr>
                        <w:rPr>
                          <w:b/>
                          <w:color w:val="FFFFFF" w:themeColor="background1"/>
                          <w:sz w:val="36"/>
                          <w:szCs w:val="36"/>
                        </w:rPr>
                      </w:pPr>
                    </w:p>
                    <w:p w14:paraId="59EFE686" w14:textId="2F53DA65"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3C10C7">
                        <w:rPr>
                          <w:b/>
                          <w:color w:val="FFFFFF" w:themeColor="background1"/>
                          <w:sz w:val="72"/>
                          <w:szCs w:val="72"/>
                        </w:rPr>
                        <w:t>1</w:t>
                      </w:r>
                      <w:r w:rsidR="00751E61">
                        <w:rPr>
                          <w:b/>
                          <w:color w:val="FFFFFF" w:themeColor="background1"/>
                          <w:sz w:val="72"/>
                          <w:szCs w:val="72"/>
                        </w:rPr>
                        <w:t>3</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74E23784"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Ayudante Doctor</w:t>
                      </w:r>
                      <w:r>
                        <w:rPr>
                          <w:sz w:val="20"/>
                          <w:szCs w:val="20"/>
                        </w:rPr>
                        <w:t>a</w:t>
                      </w:r>
                      <w:r w:rsidR="0046122C">
                        <w:rPr>
                          <w:sz w:val="20"/>
                          <w:szCs w:val="20"/>
                        </w:rPr>
                        <w:t xml:space="preserve"> de Derecho Procesal</w:t>
                      </w:r>
                      <w:r w:rsidR="005B57B6">
                        <w:rPr>
                          <w:sz w:val="20"/>
                          <w:szCs w:val="20"/>
                        </w:rPr>
                        <w:t xml:space="preserve"> (</w:t>
                      </w:r>
                      <w:r w:rsidR="0046122C">
                        <w:rPr>
                          <w:sz w:val="20"/>
                          <w:szCs w:val="20"/>
                        </w:rPr>
                        <w:t xml:space="preserve">ac. </w:t>
                      </w:r>
                      <w:r w:rsidR="001C29AF">
                        <w:rPr>
                          <w:sz w:val="20"/>
                          <w:szCs w:val="20"/>
                        </w:rPr>
                        <w:t>Prof. Titular</w:t>
                      </w:r>
                      <w:r w:rsidR="005B57B6">
                        <w:rPr>
                          <w:sz w:val="20"/>
                          <w:szCs w:val="20"/>
                        </w:rPr>
                        <w:t>)</w:t>
                      </w:r>
                      <w:r>
                        <w:rPr>
                          <w:sz w:val="20"/>
                          <w:szCs w:val="20"/>
                        </w:rPr>
                        <w:t xml:space="preserve"> </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v:textbox>
              </v:shape>
            </w:pict>
          </mc:Fallback>
        </mc:AlternateContent>
      </w:r>
    </w:p>
    <w:p w14:paraId="31E2C271" w14:textId="30D2FF45" w:rsidR="00D37249" w:rsidRDefault="00D37249" w:rsidP="00656A1A">
      <w:pPr>
        <w:spacing w:beforeLines="100" w:before="240" w:afterLines="100" w:after="240"/>
        <w:jc w:val="center"/>
        <w:rPr>
          <w:noProof/>
          <w:lang w:eastAsia="es-ES"/>
        </w:rPr>
      </w:pP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101C22" w:rsidRPr="005F0DEC" w:rsidRDefault="00101C22">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" filled="f" stroked="f" strokeweight=".5pt">
                <v:textbox>
                  <w:txbxContent>
                    <w:p w14:paraId="320130AB" w14:textId="77777777" w:rsidR="00101C22" w:rsidRPr="005F0DEC" w:rsidRDefault="00101C22">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v:textbox>
              </v:shape>
            </w:pict>
          </mc:Fallback>
        </mc:AlternateContent>
      </w:r>
    </w:p>
    <w:p w14:paraId="58C683B8" w14:textId="77777777" w:rsidR="00226C2F" w:rsidRDefault="00226C2F" w:rsidP="00226C2F">
      <w:pPr>
        <w:jc w:val="center"/>
        <w:rPr>
          <w:rFonts w:cstheme="minorHAnsi"/>
          <w:b/>
          <w:color w:val="FFFFFF" w:themeColor="background1"/>
          <w:sz w:val="32"/>
          <w:szCs w:val="32"/>
        </w:rPr>
      </w:pPr>
    </w:p>
    <w:p w14:paraId="3B0F142E" w14:textId="77777777" w:rsidR="00653C35" w:rsidRDefault="00653C35" w:rsidP="00226C2F">
      <w:pPr>
        <w:jc w:val="center"/>
        <w:rPr>
          <w:b/>
          <w:color w:val="000000" w:themeColor="text1"/>
          <w:sz w:val="28"/>
          <w:szCs w:val="28"/>
        </w:rPr>
      </w:pPr>
    </w:p>
    <w:p w14:paraId="30F08C11" w14:textId="77777777" w:rsidR="00440EC2" w:rsidRDefault="00440EC2" w:rsidP="00226C2F">
      <w:pPr>
        <w:jc w:val="center"/>
        <w:rPr>
          <w:b/>
          <w:color w:val="000000" w:themeColor="text1"/>
          <w:sz w:val="28"/>
          <w:szCs w:val="28"/>
        </w:rPr>
      </w:pPr>
    </w:p>
    <w:p w14:paraId="52B812AB" w14:textId="795E47AC" w:rsidR="00226C2F" w:rsidRPr="008A254E" w:rsidRDefault="008A254E" w:rsidP="00226C2F">
      <w:pPr>
        <w:jc w:val="center"/>
        <w:rPr>
          <w:b/>
          <w:color w:val="000000" w:themeColor="text1"/>
          <w:sz w:val="28"/>
          <w:szCs w:val="28"/>
        </w:rPr>
      </w:pPr>
      <w:r w:rsidRPr="008A254E">
        <w:rPr>
          <w:b/>
          <w:color w:val="000000" w:themeColor="text1"/>
          <w:sz w:val="28"/>
          <w:szCs w:val="28"/>
        </w:rPr>
        <w:t>JURISPRUDENCIA (Selección)</w:t>
      </w:r>
    </w:p>
    <w:p w14:paraId="411ED0DB" w14:textId="563F3DB8" w:rsidR="008A254E" w:rsidRDefault="008A254E" w:rsidP="00226C2F">
      <w:pPr>
        <w:jc w:val="center"/>
        <w:rPr>
          <w:b/>
          <w:color w:val="000000" w:themeColor="text1"/>
        </w:rPr>
      </w:pPr>
    </w:p>
    <w:p w14:paraId="532FA5B7" w14:textId="0A7A061D" w:rsidR="008A254E" w:rsidRDefault="008348BF" w:rsidP="00226C2F">
      <w:pPr>
        <w:jc w:val="center"/>
        <w:rPr>
          <w:b/>
          <w:color w:val="000000" w:themeColor="text1"/>
        </w:rPr>
      </w:pPr>
      <w:r>
        <w:rPr>
          <w:noProof/>
        </w:rPr>
        <w:pict w14:anchorId="411959E4">
          <v:rect id="_x0000_i1028" alt="" style="width:425.2pt;height:.05pt;mso-width-percent:0;mso-height-percent:0;mso-width-percent:0;mso-height-percent:0" o:hralign="center" o:hrstd="t" o:hr="t" fillcolor="#a0a0a0" stroked="f"/>
        </w:pict>
      </w:r>
    </w:p>
    <w:p w14:paraId="0F20CAE2" w14:textId="7813EB68" w:rsidR="008A254E" w:rsidRDefault="008A254E" w:rsidP="00226C2F">
      <w:pPr>
        <w:jc w:val="center"/>
        <w:rPr>
          <w:b/>
          <w:color w:val="000000" w:themeColor="text1"/>
        </w:rPr>
      </w:pPr>
    </w:p>
    <w:p w14:paraId="31F4DA43" w14:textId="77777777" w:rsidR="00440EC2" w:rsidRDefault="00440EC2" w:rsidP="002B1E17">
      <w:pPr>
        <w:spacing w:after="120"/>
        <w:jc w:val="center"/>
        <w:rPr>
          <w:b/>
          <w:bCs/>
        </w:rPr>
      </w:pPr>
    </w:p>
    <w:p w14:paraId="4EEF1885" w14:textId="196614D5" w:rsidR="002B1E17" w:rsidRPr="00440EC2" w:rsidRDefault="002B1E17" w:rsidP="002B1E17">
      <w:pPr>
        <w:spacing w:after="120"/>
        <w:jc w:val="center"/>
        <w:rPr>
          <w:b/>
          <w:bCs/>
          <w:sz w:val="28"/>
          <w:szCs w:val="28"/>
        </w:rPr>
      </w:pPr>
      <w:r w:rsidRPr="00440EC2">
        <w:rPr>
          <w:b/>
          <w:bCs/>
          <w:sz w:val="28"/>
          <w:szCs w:val="28"/>
        </w:rPr>
        <w:t>TJUE</w:t>
      </w:r>
    </w:p>
    <w:p w14:paraId="7C39F6B5" w14:textId="77777777" w:rsidR="00440EC2" w:rsidRPr="002B1E17" w:rsidRDefault="00440EC2" w:rsidP="002B1E17">
      <w:pPr>
        <w:spacing w:after="120"/>
        <w:jc w:val="center"/>
        <w:rPr>
          <w:b/>
          <w:bCs/>
        </w:rPr>
      </w:pPr>
    </w:p>
    <w:p w14:paraId="1EC9D140" w14:textId="30B56DD2" w:rsidR="00104F0A" w:rsidRDefault="002B1E17" w:rsidP="002B1E17">
      <w:pPr>
        <w:spacing w:after="240"/>
        <w:jc w:val="both"/>
        <w:rPr>
          <w:b/>
          <w:bCs/>
        </w:rPr>
      </w:pPr>
      <w:r w:rsidRPr="002B1E17">
        <w:rPr>
          <w:b/>
          <w:bCs/>
        </w:rPr>
        <w:t>Sentencias</w:t>
      </w:r>
    </w:p>
    <w:p w14:paraId="185DE882" w14:textId="25070082" w:rsidR="00C77C3C" w:rsidRDefault="00000000" w:rsidP="002B1E17">
      <w:pPr>
        <w:spacing w:after="240"/>
        <w:jc w:val="both"/>
      </w:pPr>
      <w:hyperlink r:id="rId9" w:anchor="ctx1" w:history="1">
        <w:r w:rsidR="00C77C3C" w:rsidRPr="00C77C3C">
          <w:rPr>
            <w:rStyle w:val="Hipervnculo"/>
          </w:rPr>
          <w:t xml:space="preserve">Sentencia del Tribunal de Justicia (Sala Tercera), 11 de enero de 2024 (asunto C-755/22, </w:t>
        </w:r>
        <w:proofErr w:type="spellStart"/>
        <w:r w:rsidR="00C77C3C" w:rsidRPr="00C77C3C">
          <w:rPr>
            <w:rStyle w:val="Hipervnculo"/>
          </w:rPr>
          <w:t>Nárokuj</w:t>
        </w:r>
        <w:proofErr w:type="spellEnd"/>
        <w:r w:rsidR="00C77C3C" w:rsidRPr="00C77C3C">
          <w:rPr>
            <w:rStyle w:val="Hipervnculo"/>
          </w:rPr>
          <w:t>)</w:t>
        </w:r>
      </w:hyperlink>
      <w:r w:rsidR="00C77C3C">
        <w:t xml:space="preserve">. </w:t>
      </w:r>
      <w:r w:rsidR="00C77C3C" w:rsidRPr="00C77C3C">
        <w:t>«Procedimiento prejudicial — Protección de los consumidores — Directiva 2008/48/CE — Contratos de crédito al consumo — Artículo 8 — Obligación del prestamista de comprobar la solvencia del consumidor — Regularización de un incumplimiento por el cumplimiento íntegro del contrato de crédito — Artículo 23 — Sanciones efectivas, proporcionadas y disuasorias — Nulidad del contrato de crédito y pérdida del derecho del prestamista al pago de los intereses pactados — Ausencia de consecuencias perjudiciales para el consumidor — Responsabilización de los prestamistas y prevención de prácticas irresponsables en la concesión de créditos al consumo»</w:t>
      </w:r>
      <w:r w:rsidR="00C77C3C">
        <w:t xml:space="preserve">. </w:t>
      </w:r>
    </w:p>
    <w:p w14:paraId="57436922" w14:textId="69F3C746" w:rsidR="00B14838" w:rsidRDefault="00000000" w:rsidP="002B1E17">
      <w:pPr>
        <w:spacing w:after="240"/>
        <w:jc w:val="both"/>
      </w:pPr>
      <w:hyperlink r:id="rId10" w:anchor="ctx1" w:history="1">
        <w:r w:rsidR="00B14838" w:rsidRPr="00B14838">
          <w:rPr>
            <w:rStyle w:val="Hipervnculo"/>
          </w:rPr>
          <w:t xml:space="preserve">Sentencia del Tribunal de Justicia (Sala Novena), de 18 de enero de 2024 (asunto C-531/22, </w:t>
        </w:r>
        <w:proofErr w:type="spellStart"/>
        <w:r w:rsidR="00B14838" w:rsidRPr="00B14838">
          <w:rPr>
            <w:rStyle w:val="Hipervnculo"/>
          </w:rPr>
          <w:t>Getin</w:t>
        </w:r>
        <w:proofErr w:type="spellEnd"/>
        <w:r w:rsidR="00B14838" w:rsidRPr="00B14838">
          <w:rPr>
            <w:rStyle w:val="Hipervnculo"/>
          </w:rPr>
          <w:t xml:space="preserve"> Noble Bank y otros)</w:t>
        </w:r>
      </w:hyperlink>
      <w:r w:rsidR="00B14838">
        <w:t xml:space="preserve">. </w:t>
      </w:r>
      <w:r w:rsidR="00B14838" w:rsidRPr="00B14838">
        <w:t>«Procedimiento prejudicial — Directiva 93/13/CEE — Cláusulas abusivas en los contratos celebrados con consumidores — Artículo 3, apartado 1 — Artículo 6, apartado 1 — Artículo 7, apartado 1 — Artículo 8 — Título ejecutivo que ha adquirido fuerza de cosa juzgada — Facultad del juez de examinar de oficio el eventual carácter abusivo de una cláusula en el marco de la supervisión de un procedimiento de ejecución forzosa — Registro nacional de cláusulas de condiciones generales declaradas ilícitas — Cláusulas distintas de las que figuran en dicho registro por su tenor, pero que tienen el mismo alcance y producen los mismos efectos»</w:t>
      </w:r>
      <w:r w:rsidR="00B14838">
        <w:t xml:space="preserve">. </w:t>
      </w:r>
    </w:p>
    <w:p w14:paraId="38D58D7C" w14:textId="6FFA296D" w:rsidR="00792BD1" w:rsidRPr="00C77C3C" w:rsidRDefault="00000000" w:rsidP="002B1E17">
      <w:pPr>
        <w:spacing w:after="240"/>
        <w:jc w:val="both"/>
      </w:pPr>
      <w:hyperlink r:id="rId11" w:anchor="ctx1" w:history="1">
        <w:r w:rsidR="00792BD1" w:rsidRPr="00792BD1">
          <w:rPr>
            <w:rStyle w:val="Hipervnculo"/>
          </w:rPr>
          <w:t xml:space="preserve">Sentencia del Tribunal de Justicia (Sala Novena), de 25 de enero de 2024 (asuntos acumulados C-810/21 a C-813/21, </w:t>
        </w:r>
        <w:proofErr w:type="spellStart"/>
        <w:r w:rsidR="00792BD1" w:rsidRPr="00792BD1">
          <w:rPr>
            <w:rStyle w:val="Hipervnculo"/>
          </w:rPr>
          <w:t>Caixabank</w:t>
        </w:r>
        <w:proofErr w:type="spellEnd"/>
        <w:r w:rsidR="00792BD1" w:rsidRPr="00792BD1">
          <w:rPr>
            <w:rStyle w:val="Hipervnculo"/>
          </w:rPr>
          <w:t>)</w:t>
        </w:r>
      </w:hyperlink>
      <w:r w:rsidR="00792BD1">
        <w:t xml:space="preserve">. </w:t>
      </w:r>
      <w:r w:rsidR="00792BD1" w:rsidRPr="00792BD1">
        <w:t>«Procedimiento prejudicial — Protección de los consumidores — Directiva 93/13/CEE — Cláusulas abusivas en los contratos celebrados con los consumidores — Gastos derivados de la formalización del contrato de préstamo hipotecario — Restitución de las cantidades pagadas con arreglo a una cláusula declarada abusiva — Inicio del cómputo del plazo de prescripción de la acción restitutoria»</w:t>
      </w:r>
      <w:r w:rsidR="00792BD1">
        <w:t xml:space="preserve">. </w:t>
      </w:r>
    </w:p>
    <w:p w14:paraId="5A9D5DC8" w14:textId="23C79081" w:rsidR="00D34672" w:rsidRDefault="00000000" w:rsidP="002B1E17">
      <w:pPr>
        <w:spacing w:after="240"/>
        <w:jc w:val="both"/>
      </w:pPr>
      <w:hyperlink r:id="rId12" w:anchor="ctx1" w:history="1">
        <w:r w:rsidR="00D34672" w:rsidRPr="00F96DCE">
          <w:rPr>
            <w:rStyle w:val="Hipervnculo"/>
          </w:rPr>
          <w:t>Sentencia del Tribunal de Justicia (Sala Tercera)</w:t>
        </w:r>
        <w:r w:rsidR="00F96DCE" w:rsidRPr="00F96DCE">
          <w:rPr>
            <w:rStyle w:val="Hipervnculo"/>
          </w:rPr>
          <w:t xml:space="preserve">, 29 de febrero de 2024 (asunto C-11/23, </w:t>
        </w:r>
        <w:proofErr w:type="spellStart"/>
        <w:r w:rsidR="00F96DCE" w:rsidRPr="00F96DCE">
          <w:rPr>
            <w:rStyle w:val="Hipervnculo"/>
          </w:rPr>
          <w:t>Eventmedia</w:t>
        </w:r>
        <w:proofErr w:type="spellEnd"/>
        <w:r w:rsidR="00F96DCE" w:rsidRPr="00F96DCE">
          <w:rPr>
            <w:rStyle w:val="Hipervnculo"/>
          </w:rPr>
          <w:t xml:space="preserve"> Soluciones, SL)</w:t>
        </w:r>
      </w:hyperlink>
      <w:r w:rsidR="00F96DCE">
        <w:t xml:space="preserve">. </w:t>
      </w:r>
      <w:r w:rsidR="00F96DCE" w:rsidRPr="00F96DCE">
        <w:t>«Procedimiento prejudicial — Transporte aéreo — Reglamento (CE) n.º 261/2004 — Artículo 5, apartados 1 y 3 — Artículo 7, apartado 1 — Compensación a los pasajeros aéreos en caso de cancelación de un vuelo — Naturaleza y fundamento del derecho a compensación — Cesión a una sociedad mercantil del crédito de los pasajeros frente al transportista aéreo — Cláusula contractual que prohíbe tal cesión — Artículo 15 — Inadmisibilidad de exenciones»</w:t>
      </w:r>
      <w:r w:rsidR="00F96DCE">
        <w:t xml:space="preserve">. </w:t>
      </w:r>
    </w:p>
    <w:p w14:paraId="7A6ABE37" w14:textId="5B2CEC08" w:rsidR="00C77C3C" w:rsidRDefault="00000000" w:rsidP="002B1E17">
      <w:pPr>
        <w:spacing w:after="240"/>
        <w:jc w:val="both"/>
      </w:pPr>
      <w:hyperlink r:id="rId13" w:anchor="ctx1" w:history="1">
        <w:r w:rsidR="00C77C3C" w:rsidRPr="00C77C3C">
          <w:rPr>
            <w:rStyle w:val="Hipervnculo"/>
          </w:rPr>
          <w:t xml:space="preserve">Sentencia del Tribunal de Justicia (Sala Novena), de 29 de febrero de 2024 (asunto C-724/22, </w:t>
        </w:r>
        <w:proofErr w:type="spellStart"/>
        <w:r w:rsidR="00C77C3C" w:rsidRPr="00C77C3C">
          <w:rPr>
            <w:rStyle w:val="Hipervnculo"/>
          </w:rPr>
          <w:t>Investcapital</w:t>
        </w:r>
        <w:proofErr w:type="spellEnd"/>
        <w:r w:rsidR="00C77C3C" w:rsidRPr="00C77C3C">
          <w:rPr>
            <w:rStyle w:val="Hipervnculo"/>
          </w:rPr>
          <w:t>)</w:t>
        </w:r>
      </w:hyperlink>
      <w:r w:rsidR="00C77C3C">
        <w:t xml:space="preserve">. </w:t>
      </w:r>
      <w:r w:rsidR="00C77C3C" w:rsidRPr="00C77C3C">
        <w:t>«Procedimiento prejudicial — Cláusulas abusivas en los contratos celebrados con consumidores — Directiva 93/13/CEE — Principio de efectividad del Derecho de la Unión — Contrato de crédito renovable — Proceso monitorio — Control de oficio del carácter abusivo de las cláusulas contractuales efectuado en ese proceso — Ejecución de la resolución procesal por la que se pone fin a dicho proceso — Pérdida por preclusión de la posibilidad de invocar el carácter abusivo de una cláusula del contrato en la fase de ejecución del requerimiento de pago — Facultad de control del juez nacional»</w:t>
      </w:r>
      <w:r w:rsidR="00C77C3C">
        <w:t xml:space="preserve">. </w:t>
      </w:r>
    </w:p>
    <w:p w14:paraId="6846DF95" w14:textId="45AB4810" w:rsidR="00B14838" w:rsidRPr="00792BD1" w:rsidRDefault="00000000" w:rsidP="002B1E17">
      <w:pPr>
        <w:spacing w:after="240"/>
        <w:jc w:val="both"/>
      </w:pPr>
      <w:hyperlink r:id="rId14" w:anchor="ctx1" w:history="1">
        <w:r w:rsidR="00792BD1">
          <w:rPr>
            <w:rStyle w:val="Hipervnculo"/>
          </w:rPr>
          <w:t xml:space="preserve">Sentencia del Tribunal de Justicia (Sala Quinta), de 14 de marzo de 2024 (asunto C-536/22, VR Bank </w:t>
        </w:r>
        <w:proofErr w:type="spellStart"/>
        <w:r w:rsidR="00792BD1">
          <w:rPr>
            <w:rStyle w:val="Hipervnculo"/>
          </w:rPr>
          <w:t>Ravensburg-Weingarten</w:t>
        </w:r>
        <w:proofErr w:type="spellEnd"/>
        <w:r w:rsidR="00792BD1">
          <w:rPr>
            <w:rStyle w:val="Hipervnculo"/>
          </w:rPr>
          <w:t xml:space="preserve"> </w:t>
        </w:r>
        <w:proofErr w:type="spellStart"/>
        <w:r w:rsidR="00792BD1">
          <w:rPr>
            <w:rStyle w:val="Hipervnculo"/>
          </w:rPr>
          <w:t>eG</w:t>
        </w:r>
        <w:proofErr w:type="spellEnd"/>
        <w:r w:rsidR="00792BD1">
          <w:rPr>
            <w:rStyle w:val="Hipervnculo"/>
          </w:rPr>
          <w:t>)</w:t>
        </w:r>
      </w:hyperlink>
      <w:r w:rsidR="00B14838" w:rsidRPr="00792BD1">
        <w:t>. «Procedimiento prejudicial — Protección de los consumidores — Directiva 2014/17/UE — Artículo 25, apartado 3 — Contratos de crédito celebrados con los consumidores para bienes inmuebles de uso residencial — Reembolso anticipado — Compensación al prestamista — Lucro cesante del prestamista — Método de cálculo del lucro cesante».</w:t>
      </w:r>
    </w:p>
    <w:p w14:paraId="5B1F86F4" w14:textId="380E83AB" w:rsidR="00C77C3C" w:rsidRDefault="00000000" w:rsidP="002B1E17">
      <w:pPr>
        <w:spacing w:after="240"/>
        <w:jc w:val="both"/>
      </w:pPr>
      <w:hyperlink r:id="rId15" w:anchor="ctx1" w:history="1">
        <w:r w:rsidR="00792BD1">
          <w:rPr>
            <w:rStyle w:val="Hipervnculo"/>
          </w:rPr>
          <w:t xml:space="preserve">Sentencia del Tribunal de Justicia (Sala Novena), de 21 de marzo de 2024 (asunto C-714/22, </w:t>
        </w:r>
        <w:proofErr w:type="spellStart"/>
        <w:r w:rsidR="00792BD1">
          <w:rPr>
            <w:rStyle w:val="Hipervnculo"/>
          </w:rPr>
          <w:t>Profi</w:t>
        </w:r>
        <w:proofErr w:type="spellEnd"/>
        <w:r w:rsidR="00792BD1">
          <w:rPr>
            <w:rStyle w:val="Hipervnculo"/>
          </w:rPr>
          <w:t xml:space="preserve"> </w:t>
        </w:r>
        <w:proofErr w:type="spellStart"/>
        <w:r w:rsidR="00792BD1">
          <w:rPr>
            <w:rStyle w:val="Hipervnculo"/>
          </w:rPr>
          <w:t>Credit</w:t>
        </w:r>
        <w:proofErr w:type="spellEnd"/>
        <w:r w:rsidR="00792BD1">
          <w:rPr>
            <w:rStyle w:val="Hipervnculo"/>
          </w:rPr>
          <w:t xml:space="preserve"> Bulgaria)</w:t>
        </w:r>
      </w:hyperlink>
      <w:r w:rsidR="00C77C3C" w:rsidRPr="00792BD1">
        <w:t xml:space="preserve">. </w:t>
      </w:r>
      <w:r w:rsidR="00B14838" w:rsidRPr="00792BD1">
        <w:t>«Procedimiento prejudicial — Protección de los consumidores — Contratos de crédito al consumo — Directiva 2008/48/CE — Artículos 3, letra g), 10, apartado 2, letra g), y 23 — Coste total del crédito para el consumidor — Falta de indicación de los gastos pertinentes — Sanción — Directiva 93/13/CEE — Cláusulas abusivas en los contratos celebrados con consumidores — Artículos 3, apartado 1, 4, apartado 2, 6, apartado 1, y 7, apartado 1 — Punto 1, letra o), del anexo de la Directiva 93/13/CEE — Servicios accesorios a un contrato de crédito — Cláusulas que conceden al consumidor que adquiera esos servicios, a cambio del abono de unos gastos adicionales, prioridad en el estudio de su solicitud de crédito y en la puesta a disposición de la cantidad prestada, así como la posibilidad de aplazar o de reprogramar las mensualidades del crédito».</w:t>
      </w:r>
      <w:r w:rsidR="00B14838">
        <w:t xml:space="preserve"> </w:t>
      </w:r>
    </w:p>
    <w:p w14:paraId="40D4DA69" w14:textId="115D9B0D" w:rsidR="00FE1C16" w:rsidRDefault="00FE1C16" w:rsidP="002B1E17">
      <w:pPr>
        <w:spacing w:after="240"/>
        <w:jc w:val="both"/>
        <w:rPr>
          <w:b/>
          <w:bCs/>
        </w:rPr>
      </w:pPr>
      <w:r>
        <w:rPr>
          <w:b/>
          <w:bCs/>
        </w:rPr>
        <w:t>Auto</w:t>
      </w:r>
    </w:p>
    <w:p w14:paraId="431B8C12" w14:textId="76AFEE72" w:rsidR="00FE1C16" w:rsidRPr="00FE1C16" w:rsidRDefault="00000000" w:rsidP="002B1E17">
      <w:pPr>
        <w:spacing w:after="240"/>
        <w:jc w:val="both"/>
      </w:pPr>
      <w:hyperlink r:id="rId16" w:anchor="ctx1" w:history="1">
        <w:r w:rsidR="00FE1C16" w:rsidRPr="00FE1C16">
          <w:rPr>
            <w:rStyle w:val="Hipervnculo"/>
          </w:rPr>
          <w:t>Auto del Tribunal de Justicia (Sala Séptima), de 14 de marzo de 2024 (asunto C-429/22, N1 Interactive)</w:t>
        </w:r>
      </w:hyperlink>
      <w:r w:rsidR="00FE1C16">
        <w:t xml:space="preserve">. </w:t>
      </w:r>
      <w:r w:rsidR="00FE1C16" w:rsidRPr="00FE1C16">
        <w:t>«Procedimiento prejudicial — Artículo 99 del Reglamento de Procedimiento del Tribunal de Justicia — Respuesta que puede deducirse claramente de la jurisprudencia — Cooperación judicial en materia civil — Ley aplicable a las obligaciones contractuales — Reglamento (CE) n.º 593/2008 — Artículo 6 — </w:t>
      </w:r>
      <w:bookmarkStart w:id="0" w:name="ctx1"/>
      <w:r w:rsidR="00FE1C16" w:rsidRPr="00FE1C16">
        <w:t>Consumidor</w:t>
      </w:r>
      <w:bookmarkEnd w:id="0"/>
      <w:r w:rsidR="00FE1C16" w:rsidRPr="00FE1C16">
        <w:t> que reclama el pago de una cantidad de dinero supuestamente ganada en un casino en línea — Falta de elección de la ley aplicable — Aplicación de una ley supuestamente más favorable en detrimento de la ley del país de la residencia habitual del </w:t>
      </w:r>
      <w:bookmarkStart w:id="1" w:name="ctx2"/>
      <w:r w:rsidR="00FE1C16" w:rsidRPr="00FE1C16">
        <w:t>consumidor</w:t>
      </w:r>
      <w:bookmarkEnd w:id="1"/>
      <w:r w:rsidR="00FE1C16" w:rsidRPr="00FE1C16">
        <w:t>».</w:t>
      </w:r>
      <w:r w:rsidR="00FE1C16">
        <w:t xml:space="preserve"> </w:t>
      </w:r>
    </w:p>
    <w:p w14:paraId="0F32F938" w14:textId="77777777" w:rsidR="00D34672" w:rsidRDefault="00D34672" w:rsidP="002B1E17">
      <w:pPr>
        <w:spacing w:after="240"/>
        <w:jc w:val="both"/>
        <w:rPr>
          <w:b/>
          <w:bCs/>
        </w:rPr>
      </w:pPr>
    </w:p>
    <w:p w14:paraId="4D3CBABA" w14:textId="77777777" w:rsidR="00DE6AA5" w:rsidRPr="00CF3866" w:rsidRDefault="00DE6AA5" w:rsidP="002B1E17">
      <w:pPr>
        <w:spacing w:after="240"/>
        <w:jc w:val="both"/>
        <w:rPr>
          <w:b/>
          <w:bCs/>
        </w:rPr>
      </w:pPr>
    </w:p>
    <w:p w14:paraId="2F486A1A" w14:textId="5529CE06" w:rsidR="002B1E17" w:rsidRPr="002B1E17" w:rsidRDefault="008348BF" w:rsidP="002B1E17">
      <w:pPr>
        <w:spacing w:after="240"/>
        <w:jc w:val="center"/>
        <w:rPr>
          <w:b/>
          <w:bCs/>
        </w:rPr>
      </w:pPr>
      <w:r>
        <w:rPr>
          <w:noProof/>
        </w:rPr>
        <w:fldChar w:fldCharType="begin"/>
      </w:r>
      <w:r>
        <w:rPr>
          <w:noProof/>
        </w:rPr>
        <w:instrText>HYPERLINK "https://www.poderjudicial.es/search/AN/openDocument/c49c10161804c317a0a8778d75e36f0d/20240229"</w:instrText>
      </w:r>
      <w:r>
        <w:rPr>
          <w:noProof/>
        </w:rPr>
        <w:fldChar w:fldCharType="separate"/>
      </w:r>
      <w:r>
        <w:rPr>
          <w:noProof/>
        </w:rPr>
        <w:pict w14:anchorId="269DF29D">
          <v:rect id="_x0000_i1027" alt="" style="width:425.2pt;height:.05pt;mso-width-percent:0;mso-height-percent:0;mso-width-percent:0;mso-height-percent:0" o:hralign="center" o:hrstd="t" o:hr="t" fillcolor="#a0a0a0" stroked="f"/>
        </w:pict>
      </w:r>
      <w:r>
        <w:rPr>
          <w:noProof/>
        </w:rPr>
        <w:fldChar w:fldCharType="end"/>
      </w:r>
    </w:p>
    <w:p w14:paraId="128DA054" w14:textId="0A3A49E8" w:rsidR="00C47765" w:rsidRDefault="00C47765" w:rsidP="000D2B7E">
      <w:pPr>
        <w:spacing w:after="240"/>
        <w:rPr>
          <w:b/>
          <w:bCs/>
        </w:rPr>
      </w:pPr>
    </w:p>
    <w:p w14:paraId="44358EA1" w14:textId="77777777" w:rsidR="00DE6AA5" w:rsidRDefault="00DE6AA5" w:rsidP="000D2B7E">
      <w:pPr>
        <w:spacing w:after="240"/>
        <w:rPr>
          <w:b/>
          <w:bCs/>
        </w:rPr>
      </w:pPr>
    </w:p>
    <w:p w14:paraId="101F0A4F" w14:textId="2860ADCD" w:rsidR="00B670BA" w:rsidRPr="002E4D27" w:rsidRDefault="00B670BA" w:rsidP="002B1E17">
      <w:pPr>
        <w:spacing w:after="240"/>
        <w:jc w:val="center"/>
        <w:rPr>
          <w:b/>
          <w:bCs/>
          <w:sz w:val="28"/>
          <w:szCs w:val="28"/>
        </w:rPr>
      </w:pPr>
      <w:r w:rsidRPr="00DE6AA5">
        <w:rPr>
          <w:b/>
          <w:bCs/>
          <w:sz w:val="28"/>
          <w:szCs w:val="28"/>
        </w:rPr>
        <w:lastRenderedPageBreak/>
        <w:t>TRIBUNAL CONSTITUCIONAL</w:t>
      </w:r>
    </w:p>
    <w:p w14:paraId="038C0373" w14:textId="77777777" w:rsidR="0046122C" w:rsidRDefault="0046122C" w:rsidP="00B670BA">
      <w:pPr>
        <w:spacing w:after="240"/>
        <w:jc w:val="both"/>
        <w:rPr>
          <w:b/>
          <w:bCs/>
        </w:rPr>
      </w:pPr>
    </w:p>
    <w:p w14:paraId="1FF85B6E" w14:textId="029E0755" w:rsidR="00B670BA" w:rsidRDefault="00B670BA" w:rsidP="00B670BA">
      <w:pPr>
        <w:spacing w:after="240"/>
        <w:jc w:val="both"/>
        <w:rPr>
          <w:b/>
          <w:bCs/>
        </w:rPr>
      </w:pPr>
      <w:r w:rsidRPr="00D835ED">
        <w:rPr>
          <w:b/>
          <w:bCs/>
        </w:rPr>
        <w:t>Sentencias</w:t>
      </w:r>
    </w:p>
    <w:p w14:paraId="177394F3" w14:textId="6F7774D5" w:rsidR="00B10541" w:rsidRPr="00B10541" w:rsidRDefault="00B10541" w:rsidP="00B10541">
      <w:pPr>
        <w:spacing w:after="240"/>
        <w:jc w:val="both"/>
      </w:pPr>
      <w:hyperlink r:id="rId17" w:history="1">
        <w:r w:rsidRPr="00B10541">
          <w:rPr>
            <w:rStyle w:val="Hipervnculo"/>
          </w:rPr>
          <w:t>Sala Segunda. Sentencia 27/2024, de 26 de febrero</w:t>
        </w:r>
      </w:hyperlink>
      <w:r>
        <w:t>. “</w:t>
      </w:r>
      <w:r>
        <w:t>Recurso de amparo 4127-202</w:t>
      </w:r>
      <w:r>
        <w:t>2, p</w:t>
      </w:r>
      <w:r>
        <w:t xml:space="preserve">romovido por don José Vicente Sabater </w:t>
      </w:r>
      <w:proofErr w:type="spellStart"/>
      <w:r>
        <w:t>Orengo</w:t>
      </w:r>
      <w:proofErr w:type="spellEnd"/>
      <w:r>
        <w:t xml:space="preserve"> respecto de las resoluciones dictadas por un juzgado de primera instancia de Gandía (Valencia) en procedimiento de ejecución de títulos judiciales.</w:t>
      </w:r>
      <w:r>
        <w:t xml:space="preserve"> </w:t>
      </w:r>
      <w:r>
        <w:t>Vulneración del derecho a la tutela judicial efectiva (resolución fundada en Derecho): ausencia de control judicial de las cláusulas abusivas que ignora la primacía del Derecho de la Unión Europea, en los términos de la STC 31/2019 (STC 26/2023)</w:t>
      </w:r>
      <w:r>
        <w:t>”</w:t>
      </w:r>
      <w:r>
        <w:t>.</w:t>
      </w:r>
      <w:r>
        <w:t xml:space="preserve"> </w:t>
      </w:r>
      <w:hyperlink r:id="rId18" w:history="1">
        <w:r w:rsidRPr="00B10541">
          <w:rPr>
            <w:rStyle w:val="Hipervnculo"/>
          </w:rPr>
          <w:t>BOE núm. 82, de 3 de abril de 2024</w:t>
        </w:r>
      </w:hyperlink>
      <w:r>
        <w:t xml:space="preserve">. </w:t>
      </w:r>
    </w:p>
    <w:p w14:paraId="3392DE02" w14:textId="0144E92F" w:rsidR="00B10541" w:rsidRDefault="00B10541" w:rsidP="00B10541">
      <w:pPr>
        <w:spacing w:after="240"/>
        <w:jc w:val="both"/>
      </w:pPr>
      <w:hyperlink r:id="rId19" w:history="1">
        <w:r w:rsidRPr="00B10541">
          <w:rPr>
            <w:rStyle w:val="Hipervnculo"/>
          </w:rPr>
          <w:t>Sala Segunda. Sentencia 38/2024, de 11 de marzo</w:t>
        </w:r>
      </w:hyperlink>
      <w:r>
        <w:t xml:space="preserve">. “Recurso de amparo 1430/2022, promovido por </w:t>
      </w:r>
      <w:r>
        <w:t xml:space="preserve">doña María Teresa Fernández Shaw Navarro y doña Lucía Carlota </w:t>
      </w:r>
      <w:proofErr w:type="spellStart"/>
      <w:r>
        <w:t>Siloniz</w:t>
      </w:r>
      <w:proofErr w:type="spellEnd"/>
      <w:r>
        <w:t xml:space="preserve"> Fernández Shaw en relación con las resoluciones dictadas por un juzgado de primera instancia e instrucción de El Puerto de Santa María (Cádiz) en procedimiento hipotecario.</w:t>
      </w:r>
      <w:r>
        <w:t xml:space="preserve"> </w:t>
      </w:r>
      <w:r>
        <w:t>Vulneración del derecho a la tutela judicial efectiva (motivación): ausencia de control judicial de las cláusulas abusivas que ignora la primacía del Derecho de la Unión Europea, en los términos de la STC 31/2019 (STC 26/2023)</w:t>
      </w:r>
      <w:r>
        <w:t xml:space="preserve">”. </w:t>
      </w:r>
    </w:p>
    <w:p w14:paraId="0FF342DE" w14:textId="77777777" w:rsidR="00B10541" w:rsidRPr="00B10541" w:rsidRDefault="00B10541" w:rsidP="00B670BA">
      <w:pPr>
        <w:spacing w:after="240"/>
        <w:jc w:val="both"/>
      </w:pPr>
    </w:p>
    <w:p w14:paraId="237386E8" w14:textId="1A7D90F3" w:rsidR="00B670BA" w:rsidRDefault="008348BF" w:rsidP="002B1E17">
      <w:pPr>
        <w:spacing w:after="240"/>
        <w:jc w:val="center"/>
        <w:rPr>
          <w:b/>
          <w:bCs/>
          <w:sz w:val="28"/>
          <w:szCs w:val="28"/>
          <w:highlight w:val="yellow"/>
        </w:rPr>
      </w:pPr>
      <w:r>
        <w:rPr>
          <w:noProof/>
        </w:rPr>
        <w:pict w14:anchorId="651C97C7">
          <v:rect id="_x0000_i1026" alt="" style="width:425.2pt;height:.05pt;mso-width-percent:0;mso-height-percent:0;mso-width-percent:0;mso-height-percent:0" o:hralign="center" o:hrstd="t" o:hr="t" fillcolor="#a0a0a0" stroked="f"/>
        </w:pict>
      </w:r>
    </w:p>
    <w:p w14:paraId="219D2AAD" w14:textId="4BC1925C" w:rsidR="00B670BA" w:rsidRPr="00EC2CA3" w:rsidRDefault="00B670BA" w:rsidP="002B1E17">
      <w:pPr>
        <w:spacing w:after="240"/>
        <w:jc w:val="center"/>
        <w:rPr>
          <w:b/>
          <w:bCs/>
          <w:sz w:val="28"/>
          <w:szCs w:val="28"/>
        </w:rPr>
      </w:pPr>
    </w:p>
    <w:p w14:paraId="6CD7E1B6" w14:textId="220B2BD4" w:rsidR="002B1E17" w:rsidRPr="00440EC2" w:rsidRDefault="002B1E17" w:rsidP="002B1E17">
      <w:pPr>
        <w:spacing w:after="240"/>
        <w:jc w:val="center"/>
        <w:rPr>
          <w:b/>
          <w:bCs/>
          <w:sz w:val="28"/>
          <w:szCs w:val="28"/>
        </w:rPr>
      </w:pPr>
      <w:r w:rsidRPr="00EC2CA3">
        <w:rPr>
          <w:b/>
          <w:bCs/>
          <w:sz w:val="28"/>
          <w:szCs w:val="28"/>
        </w:rPr>
        <w:t>TRIBUNAL SUPREMO</w:t>
      </w:r>
      <w:r w:rsidR="00C47765" w:rsidRPr="00EC2CA3">
        <w:rPr>
          <w:b/>
          <w:bCs/>
          <w:sz w:val="28"/>
          <w:szCs w:val="28"/>
        </w:rPr>
        <w:t xml:space="preserve"> (CENDOJ – Selección)</w:t>
      </w:r>
    </w:p>
    <w:p w14:paraId="1655A519" w14:textId="77777777" w:rsidR="00AF4B65" w:rsidRDefault="00AF4B65" w:rsidP="00D637F0">
      <w:pPr>
        <w:spacing w:after="240"/>
        <w:jc w:val="both"/>
        <w:rPr>
          <w:b/>
          <w:bCs/>
        </w:rPr>
      </w:pPr>
    </w:p>
    <w:p w14:paraId="61552DAC" w14:textId="42A8C41C" w:rsidR="00A8324B" w:rsidRDefault="00A8324B" w:rsidP="00A8324B">
      <w:pPr>
        <w:spacing w:after="240"/>
        <w:jc w:val="both"/>
        <w:rPr>
          <w:b/>
          <w:bCs/>
        </w:rPr>
      </w:pPr>
      <w:r w:rsidRPr="00A8324B">
        <w:rPr>
          <w:b/>
          <w:bCs/>
        </w:rPr>
        <w:t xml:space="preserve">Condiciones generales de la contratación. Concepto de consumidor </w:t>
      </w:r>
    </w:p>
    <w:p w14:paraId="49B3E224" w14:textId="2DB72AE6" w:rsidR="00B10541" w:rsidRPr="00B94B24" w:rsidRDefault="00B94B24" w:rsidP="00A8324B">
      <w:pPr>
        <w:spacing w:after="240"/>
        <w:jc w:val="both"/>
      </w:pPr>
      <w:hyperlink r:id="rId20" w:history="1">
        <w:r w:rsidRPr="00B94B24">
          <w:rPr>
            <w:rStyle w:val="Hipervnculo"/>
          </w:rPr>
          <w:t>STS, Sala Primera, 59/2024, de 22 de enero de 2024</w:t>
        </w:r>
      </w:hyperlink>
      <w:r>
        <w:t>. “</w:t>
      </w:r>
      <w:r w:rsidRPr="00B94B24">
        <w:t>Condiciones generales de la contratación. Contratos con cláusulas abusivas celebrados con consumidores. Concepto de consumidor. Contratos con finalidad mixta o doble (consumo y empresa). Control de incorporación cuando el adherente es empresario</w:t>
      </w:r>
      <w:r>
        <w:t xml:space="preserve">”. </w:t>
      </w:r>
    </w:p>
    <w:p w14:paraId="5DA560EF" w14:textId="21592E5D" w:rsidR="009C3A9F" w:rsidRDefault="009C3A9F" w:rsidP="00A8324B">
      <w:pPr>
        <w:spacing w:after="240"/>
        <w:jc w:val="both"/>
        <w:rPr>
          <w:b/>
          <w:bCs/>
        </w:rPr>
      </w:pPr>
      <w:r>
        <w:rPr>
          <w:b/>
          <w:bCs/>
        </w:rPr>
        <w:t>Préstamos con garantía hipotecaria. Cláusula de gastos e impuestos</w:t>
      </w:r>
    </w:p>
    <w:p w14:paraId="429A725D" w14:textId="312F9EC7" w:rsidR="009C3A9F" w:rsidRDefault="00495F36" w:rsidP="00A8324B">
      <w:pPr>
        <w:spacing w:after="240"/>
        <w:jc w:val="both"/>
      </w:pPr>
      <w:hyperlink r:id="rId21" w:history="1">
        <w:r w:rsidR="009C3A9F" w:rsidRPr="00495F36">
          <w:rPr>
            <w:rStyle w:val="Hipervnculo"/>
          </w:rPr>
          <w:t xml:space="preserve">STS, Sala Primera, </w:t>
        </w:r>
        <w:r w:rsidRPr="00495F36">
          <w:rPr>
            <w:rStyle w:val="Hipervnculo"/>
          </w:rPr>
          <w:t>122/2024, de 5 de febrero de 2024</w:t>
        </w:r>
      </w:hyperlink>
      <w:r>
        <w:t>. “</w:t>
      </w:r>
      <w:r w:rsidRPr="00495F36">
        <w:t>Préstamo hipotecario con consumidores. Nulidad de la cláusula de imposición de gastos e impuestos al consumidor. Distribución de los gastos tras la declaración de abusividad</w:t>
      </w:r>
      <w:r>
        <w:t xml:space="preserve">”. </w:t>
      </w:r>
    </w:p>
    <w:p w14:paraId="3B8E9BF5" w14:textId="1823A89E" w:rsidR="00236E9B" w:rsidRDefault="00236E9B" w:rsidP="00A8324B">
      <w:pPr>
        <w:spacing w:after="240"/>
        <w:jc w:val="both"/>
      </w:pPr>
      <w:hyperlink r:id="rId22" w:history="1">
        <w:r w:rsidRPr="00236E9B">
          <w:rPr>
            <w:rStyle w:val="Hipervnculo"/>
          </w:rPr>
          <w:t>STS, Sala Primera, 321/2024, de 5 de marzo de 2024</w:t>
        </w:r>
      </w:hyperlink>
      <w:r>
        <w:t>. “</w:t>
      </w:r>
      <w:r w:rsidRPr="00236E9B">
        <w:t>Préstamo hipotecario con consumidores (anterior a la Ley 5/2019). Nulidad de la cláusula de imposición de gastos e impuestos al consumidor. Distribución de los gastos tras la declaración de abusividad. Costas</w:t>
      </w:r>
      <w:r>
        <w:t xml:space="preserve">”. </w:t>
      </w:r>
    </w:p>
    <w:p w14:paraId="64E4B9D5" w14:textId="2C7DA30A" w:rsidR="00236E9B" w:rsidRPr="009C3A9F" w:rsidRDefault="00236E9B" w:rsidP="00A8324B">
      <w:pPr>
        <w:spacing w:after="240"/>
        <w:jc w:val="both"/>
      </w:pPr>
      <w:hyperlink r:id="rId23" w:history="1">
        <w:r w:rsidRPr="00236E9B">
          <w:rPr>
            <w:rStyle w:val="Hipervnculo"/>
          </w:rPr>
          <w:t>STS, Sala Primera, 323/2024, de 5 de marzo de 2024</w:t>
        </w:r>
      </w:hyperlink>
      <w:r>
        <w:t>. “</w:t>
      </w:r>
      <w:r w:rsidRPr="00236E9B">
        <w:t xml:space="preserve">Nulidad de </w:t>
      </w:r>
      <w:r w:rsidRPr="00236E9B">
        <w:t>cláusula</w:t>
      </w:r>
      <w:r w:rsidRPr="00236E9B">
        <w:t xml:space="preserve"> de gastos e intereses. La nulidad de estos arrastra la del pacto de capitalización (anatocismo). Imposición de los gastos de gestoría a la prestamista. Costas</w:t>
      </w:r>
      <w:r>
        <w:t xml:space="preserve">”. </w:t>
      </w:r>
    </w:p>
    <w:p w14:paraId="1E0C8692" w14:textId="031BD41F" w:rsidR="00A8324B" w:rsidRDefault="00904AD1" w:rsidP="00A8324B">
      <w:pPr>
        <w:spacing w:after="240"/>
        <w:jc w:val="both"/>
        <w:rPr>
          <w:b/>
          <w:bCs/>
        </w:rPr>
      </w:pPr>
      <w:r>
        <w:rPr>
          <w:b/>
          <w:bCs/>
        </w:rPr>
        <w:t>Préstamos con garantía hipotecaria. Cláusula</w:t>
      </w:r>
      <w:r w:rsidR="0046122C">
        <w:rPr>
          <w:b/>
          <w:bCs/>
        </w:rPr>
        <w:t>s</w:t>
      </w:r>
      <w:r>
        <w:rPr>
          <w:b/>
          <w:bCs/>
        </w:rPr>
        <w:t xml:space="preserve"> “suelo”</w:t>
      </w:r>
      <w:r w:rsidR="00CD66C6">
        <w:rPr>
          <w:b/>
          <w:bCs/>
        </w:rPr>
        <w:t xml:space="preserve"> </w:t>
      </w:r>
    </w:p>
    <w:p w14:paraId="5D932EBF" w14:textId="6B3FBEBF" w:rsidR="00193378" w:rsidRPr="00193378" w:rsidRDefault="00193378" w:rsidP="00A8324B">
      <w:pPr>
        <w:spacing w:after="240"/>
        <w:jc w:val="both"/>
      </w:pPr>
      <w:hyperlink r:id="rId24" w:history="1">
        <w:r w:rsidRPr="00193378">
          <w:rPr>
            <w:rStyle w:val="Hipervnculo"/>
          </w:rPr>
          <w:t>STS, Sala Primera, 37/2024, de 15 de enero de 2024</w:t>
        </w:r>
      </w:hyperlink>
      <w:r>
        <w:t>. “</w:t>
      </w:r>
      <w:r w:rsidRPr="00193378">
        <w:t>Cláusula suelo. Proceso declarativo previo de nulidad de cláusula suelo y ulterior de condena a la restitución de lo indebidamente abonado. Interés legítimo: inexistencia de cosa juzgada</w:t>
      </w:r>
      <w:r>
        <w:t xml:space="preserve">”. </w:t>
      </w:r>
    </w:p>
    <w:p w14:paraId="1E3BAAC7" w14:textId="77777777" w:rsidR="00B778A0" w:rsidRPr="00666C7B" w:rsidRDefault="00B778A0" w:rsidP="00B778A0">
      <w:pPr>
        <w:spacing w:after="240"/>
        <w:jc w:val="both"/>
      </w:pPr>
      <w:hyperlink r:id="rId25" w:history="1">
        <w:r w:rsidRPr="00666C7B">
          <w:rPr>
            <w:rStyle w:val="Hipervnculo"/>
          </w:rPr>
          <w:t>STS, Sala Primera, 58/2024, de 22 de enero de 2024</w:t>
        </w:r>
      </w:hyperlink>
      <w:r>
        <w:t>. “</w:t>
      </w:r>
      <w:r w:rsidRPr="00666C7B">
        <w:t>Contrato de préstamo con garantía hipotecaria que contiene cláusula suelo. El préstamo tiene doble finalidad, privada y empresarial. Reiteración de doctrina (STS, Sala 1ª, 873/2022, de 9 de diciembre)</w:t>
      </w:r>
      <w:r>
        <w:t xml:space="preserve">”. </w:t>
      </w:r>
    </w:p>
    <w:p w14:paraId="17CCDB90" w14:textId="5C4C024C" w:rsidR="007E0FAA" w:rsidRPr="007E0FAA" w:rsidRDefault="007E0FAA" w:rsidP="00A8324B">
      <w:pPr>
        <w:spacing w:after="240"/>
        <w:jc w:val="both"/>
      </w:pPr>
      <w:hyperlink r:id="rId26" w:history="1">
        <w:r w:rsidRPr="007E0FAA">
          <w:rPr>
            <w:rStyle w:val="Hipervnculo"/>
          </w:rPr>
          <w:t>STS, Sala Primera, 77/2024, de 22 de enero de 2024</w:t>
        </w:r>
      </w:hyperlink>
      <w:r>
        <w:t>. “</w:t>
      </w:r>
      <w:r w:rsidRPr="007E0FAA">
        <w:t>Nulidad de cláusulas abusivas contenidas en contrato de préstamo con garantía hipotecaria celebrado con consumidores. Control de transparencia proyectado sobre novación de cláusula suelo, que la reduce, realizada antes de la STS de 9 de mayo de 2013</w:t>
      </w:r>
      <w:r>
        <w:t xml:space="preserve">”. </w:t>
      </w:r>
    </w:p>
    <w:p w14:paraId="60042473" w14:textId="68E6D615" w:rsidR="009C3A9F" w:rsidRPr="009C3A9F" w:rsidRDefault="009C3A9F" w:rsidP="00A8324B">
      <w:pPr>
        <w:spacing w:after="240"/>
        <w:jc w:val="both"/>
      </w:pPr>
      <w:hyperlink r:id="rId27" w:history="1">
        <w:r w:rsidRPr="009C3A9F">
          <w:rPr>
            <w:rStyle w:val="Hipervnculo"/>
          </w:rPr>
          <w:t>STS, Sala Primera, 134/2024, de 5 de febrero de 2024</w:t>
        </w:r>
      </w:hyperlink>
      <w:r>
        <w:t>. “</w:t>
      </w:r>
      <w:r w:rsidRPr="009C3A9F">
        <w:t>Préstamo hipotecario con consumidores. Nulidad de cláusula suelo. Acuerdo posterior a la STS de 9 de mayo de 2013 que elimina la cláusula suelo e incluye una estipulación sobre renuncia de acciones que es nula por falta de transparencia</w:t>
      </w:r>
      <w:r>
        <w:t xml:space="preserve">”. </w:t>
      </w:r>
    </w:p>
    <w:p w14:paraId="7512A304" w14:textId="7BC7BC2A" w:rsidR="004F4ACF" w:rsidRPr="004F4ACF" w:rsidRDefault="004F4ACF" w:rsidP="00A8324B">
      <w:pPr>
        <w:spacing w:after="240"/>
        <w:jc w:val="both"/>
      </w:pPr>
      <w:hyperlink r:id="rId28" w:history="1">
        <w:r w:rsidRPr="004F4ACF">
          <w:rPr>
            <w:rStyle w:val="Hipervnculo"/>
          </w:rPr>
          <w:t>STS, Sala Primera, 155/2024, de 7 de febrero de 2024</w:t>
        </w:r>
      </w:hyperlink>
      <w:r>
        <w:t>. “</w:t>
      </w:r>
      <w:r w:rsidRPr="004F4ACF">
        <w:t>Validez de la estipulación del contrato privado que modifica la originaria cláusula suelo y nulidad de la cláusula de renuncia de acciones. Se reitera la jurisprudencia de la sala</w:t>
      </w:r>
      <w:r>
        <w:t xml:space="preserve">”. </w:t>
      </w:r>
    </w:p>
    <w:p w14:paraId="49A2513A" w14:textId="7B13E61E" w:rsidR="004F4ACF" w:rsidRPr="004F4ACF" w:rsidRDefault="004F4ACF" w:rsidP="00A8324B">
      <w:pPr>
        <w:spacing w:after="240"/>
        <w:jc w:val="both"/>
      </w:pPr>
      <w:hyperlink r:id="rId29" w:history="1">
        <w:r w:rsidRPr="004F4ACF">
          <w:rPr>
            <w:rStyle w:val="Hipervnculo"/>
          </w:rPr>
          <w:t>STS, Sala Primera, 179/2024, de 12 de febrero de 2024</w:t>
        </w:r>
      </w:hyperlink>
      <w:r>
        <w:t>. “</w:t>
      </w:r>
      <w:r w:rsidRPr="004F4ACF">
        <w:t>Contratos con consumidores. Novación de cláusula suelo contenida en préstamo con garantía hipotecaria. Validez de la estipulación que suprime la cláusula suelo. Nulidad de la cláusula de renuncia al ejercicio de acciones</w:t>
      </w:r>
      <w:r>
        <w:t xml:space="preserve">”. </w:t>
      </w:r>
    </w:p>
    <w:p w14:paraId="2F3D159B" w14:textId="12CBCB23" w:rsidR="004F4ACF" w:rsidRPr="004F4ACF" w:rsidRDefault="004F4ACF" w:rsidP="00A8324B">
      <w:pPr>
        <w:spacing w:after="240"/>
        <w:jc w:val="both"/>
      </w:pPr>
      <w:hyperlink r:id="rId30" w:history="1">
        <w:r w:rsidRPr="004F4ACF">
          <w:rPr>
            <w:rStyle w:val="Hipervnculo"/>
          </w:rPr>
          <w:t>STS, Sala Primera, 180/2024, de 12 de febrero de 2024</w:t>
        </w:r>
      </w:hyperlink>
      <w:r>
        <w:t>. “</w:t>
      </w:r>
      <w:r w:rsidRPr="004F4ACF">
        <w:t>Cláusula suelo. Acuerdo novatorio que suprime la cláusula suelo y contiene una cláusula de renuncia de acciones. Control de transparencia</w:t>
      </w:r>
      <w:r>
        <w:t xml:space="preserve">”. </w:t>
      </w:r>
    </w:p>
    <w:p w14:paraId="62199E2A" w14:textId="45CD73B6" w:rsidR="004F4ACF" w:rsidRPr="004F4ACF" w:rsidRDefault="004F4ACF" w:rsidP="00A8324B">
      <w:pPr>
        <w:spacing w:after="240"/>
        <w:jc w:val="both"/>
      </w:pPr>
      <w:hyperlink r:id="rId31" w:history="1">
        <w:r w:rsidRPr="004F4ACF">
          <w:rPr>
            <w:rStyle w:val="Hipervnculo"/>
          </w:rPr>
          <w:t>STS, Sala Primera, 199/2024, 14 de febrero de 2024</w:t>
        </w:r>
      </w:hyperlink>
      <w:r>
        <w:t>. “</w:t>
      </w:r>
      <w:r w:rsidRPr="004F4ACF">
        <w:t>Préstamo hipotecario con consumidores. Cláusula suelo. Renuncia al ejercicio de acciones dentro de un pacto transaccional de modificación o novación de la cláusula. Nulidad de la cláusula de renuncia de acciones por no superar el control de transparencia</w:t>
      </w:r>
      <w:r>
        <w:t xml:space="preserve">”. </w:t>
      </w:r>
    </w:p>
    <w:p w14:paraId="48FAD89F" w14:textId="57C44A28" w:rsidR="00B41899" w:rsidRPr="00B41899" w:rsidRDefault="00B41899" w:rsidP="00A8324B">
      <w:pPr>
        <w:spacing w:after="240"/>
        <w:jc w:val="both"/>
      </w:pPr>
      <w:hyperlink r:id="rId32" w:history="1">
        <w:r w:rsidRPr="00B41899">
          <w:rPr>
            <w:rStyle w:val="Hipervnculo"/>
          </w:rPr>
          <w:t>STS, Sala Primera, 244/2024, de 26 de febrero de 2024</w:t>
        </w:r>
      </w:hyperlink>
      <w:r>
        <w:t>. “</w:t>
      </w:r>
      <w:r w:rsidRPr="00B41899">
        <w:t>Cláusula suelo. Acuerdo novatorio que suprime la cláusula suelo y contiene una cláusula de renuncia de acciones. Control de transparencia</w:t>
      </w:r>
      <w:r>
        <w:t xml:space="preserve">”. </w:t>
      </w:r>
    </w:p>
    <w:p w14:paraId="62CB06A8" w14:textId="211FBEA7" w:rsidR="00B10541" w:rsidRDefault="00B10541" w:rsidP="00A8324B">
      <w:pPr>
        <w:spacing w:after="240"/>
        <w:jc w:val="both"/>
      </w:pPr>
      <w:hyperlink r:id="rId33" w:history="1">
        <w:r w:rsidRPr="00B10541">
          <w:rPr>
            <w:rStyle w:val="Hipervnculo"/>
          </w:rPr>
          <w:t>STS, Sala Primera, 291/2024, de 28 de febrero de 2024</w:t>
        </w:r>
      </w:hyperlink>
      <w:r>
        <w:t>. “</w:t>
      </w:r>
      <w:r w:rsidRPr="00B10541">
        <w:t>Cláusula suelo. Acuerdo posterior que suprime la cláusula e incluye una renuncia de acciones genérica. Validez del acuerdo novatorio porque supera el control de transparencia. Nulidad de la cláusula de renuncia de acciones. Costas</w:t>
      </w:r>
      <w:r>
        <w:t xml:space="preserve">”. </w:t>
      </w:r>
    </w:p>
    <w:p w14:paraId="57BBE2E8" w14:textId="77777777" w:rsidR="00234A10" w:rsidRPr="00B10541" w:rsidRDefault="00234A10" w:rsidP="00234A10">
      <w:pPr>
        <w:spacing w:after="240"/>
        <w:jc w:val="both"/>
      </w:pPr>
      <w:hyperlink r:id="rId34" w:history="1">
        <w:r w:rsidRPr="00236E9B">
          <w:rPr>
            <w:rStyle w:val="Hipervnculo"/>
          </w:rPr>
          <w:t>STS, Sala Primera, 320/2024, de 5 de marzo de 2024</w:t>
        </w:r>
      </w:hyperlink>
      <w:r>
        <w:t>. “</w:t>
      </w:r>
      <w:r w:rsidRPr="00236E9B">
        <w:t>Préstamo hipotecario con consumidores. Nulidad de la cláusula suelo suscrita en una segunda escritura: supera el control de transparencia (supuesto similar al de novación de la cláusula). Costas procesales. Recurso de casación: requisitos interposición</w:t>
      </w:r>
      <w:r>
        <w:t xml:space="preserve">”. </w:t>
      </w:r>
    </w:p>
    <w:p w14:paraId="383C7938" w14:textId="263FD993" w:rsidR="00C7021A" w:rsidRDefault="00C7021A" w:rsidP="00A8324B">
      <w:pPr>
        <w:spacing w:after="240"/>
        <w:jc w:val="both"/>
      </w:pPr>
      <w:hyperlink r:id="rId35" w:history="1">
        <w:r w:rsidRPr="00C7021A">
          <w:rPr>
            <w:rStyle w:val="Hipervnculo"/>
          </w:rPr>
          <w:t>STS, Sala Primera, 413/2024, de 20 de marzo de 2024</w:t>
        </w:r>
      </w:hyperlink>
      <w:r>
        <w:t>. “</w:t>
      </w:r>
      <w:r w:rsidRPr="00C7021A">
        <w:t>Novación cláusula suelo de préstamos hipotecarios y renuncia de acciones. Valoración de su transparencia y abusividad. Reiteración de jurisprudencia</w:t>
      </w:r>
      <w:r>
        <w:t xml:space="preserve">”. </w:t>
      </w:r>
    </w:p>
    <w:p w14:paraId="691227CC" w14:textId="4CE8D982" w:rsidR="00274E63" w:rsidRDefault="0004481A" w:rsidP="006B6B86">
      <w:pPr>
        <w:spacing w:after="240"/>
        <w:jc w:val="both"/>
        <w:rPr>
          <w:b/>
          <w:bCs/>
        </w:rPr>
      </w:pPr>
      <w:r w:rsidRPr="0004481A">
        <w:rPr>
          <w:b/>
          <w:bCs/>
        </w:rPr>
        <w:t xml:space="preserve">Préstamos con garantía hipotecaria. </w:t>
      </w:r>
      <w:r w:rsidR="00904AD1">
        <w:rPr>
          <w:b/>
          <w:bCs/>
        </w:rPr>
        <w:t>Cláusula</w:t>
      </w:r>
      <w:r w:rsidR="0046122C">
        <w:rPr>
          <w:b/>
          <w:bCs/>
        </w:rPr>
        <w:t>s</w:t>
      </w:r>
      <w:r w:rsidR="00904AD1">
        <w:rPr>
          <w:b/>
          <w:bCs/>
        </w:rPr>
        <w:t xml:space="preserve"> m</w:t>
      </w:r>
      <w:r w:rsidRPr="0004481A">
        <w:rPr>
          <w:b/>
          <w:bCs/>
        </w:rPr>
        <w:t>ultidivisa</w:t>
      </w:r>
    </w:p>
    <w:p w14:paraId="6C8E0854" w14:textId="52DF4A68" w:rsidR="00C476C0" w:rsidRPr="00C476C0" w:rsidRDefault="00C476C0" w:rsidP="006B6B86">
      <w:pPr>
        <w:spacing w:after="240"/>
        <w:jc w:val="both"/>
      </w:pPr>
      <w:hyperlink r:id="rId36" w:history="1">
        <w:r w:rsidRPr="00C476C0">
          <w:rPr>
            <w:rStyle w:val="Hipervnculo"/>
          </w:rPr>
          <w:t>STS, Sala Primera, 51/2024, de 16 de enero de 2024</w:t>
        </w:r>
      </w:hyperlink>
      <w:r>
        <w:t>. “</w:t>
      </w:r>
      <w:r w:rsidRPr="00C476C0">
        <w:t>Préstamo hipotecario. Nulidad de cláusula multidivisa por abusiva al no superar el control de transparencia</w:t>
      </w:r>
      <w:r>
        <w:t xml:space="preserve">”. </w:t>
      </w:r>
    </w:p>
    <w:p w14:paraId="6A1A4B83" w14:textId="100B5559" w:rsidR="00666C7B" w:rsidRPr="00666C7B" w:rsidRDefault="00666C7B" w:rsidP="006B6B86">
      <w:pPr>
        <w:spacing w:after="240"/>
        <w:jc w:val="both"/>
      </w:pPr>
      <w:hyperlink r:id="rId37" w:history="1">
        <w:r w:rsidRPr="00666C7B">
          <w:rPr>
            <w:rStyle w:val="Hipervnculo"/>
          </w:rPr>
          <w:t>STS, Sala Primera, 83/2024, de 23 de enero de 2024</w:t>
        </w:r>
      </w:hyperlink>
      <w:r>
        <w:t>. “</w:t>
      </w:r>
      <w:r w:rsidRPr="00666C7B">
        <w:t>Nulidad de clausulado multidivisa en préstamo hipotecario con consumidores. Validez del documento de primera disposición</w:t>
      </w:r>
      <w:r>
        <w:t xml:space="preserve">”. </w:t>
      </w:r>
    </w:p>
    <w:p w14:paraId="4ED1B228" w14:textId="77777777" w:rsidR="003102CA" w:rsidRPr="00495F36" w:rsidRDefault="003102CA" w:rsidP="003102CA">
      <w:pPr>
        <w:spacing w:after="240"/>
        <w:jc w:val="both"/>
      </w:pPr>
      <w:hyperlink r:id="rId38" w:history="1">
        <w:r w:rsidRPr="00495F36">
          <w:rPr>
            <w:rStyle w:val="Hipervnculo"/>
          </w:rPr>
          <w:t>STS, Sala Primera, 109/2024, de 30 de enero de 2024</w:t>
        </w:r>
      </w:hyperlink>
      <w:r>
        <w:t>. “</w:t>
      </w:r>
      <w:r w:rsidRPr="00495F36">
        <w:t>Préstamo multidivisa. Nulidad de la cláusula por abusiva al no superar el control de transparencia ya que no aparece justificado que los demandantes antes de la concertación del préstamo conocieran sus riesgos básicos</w:t>
      </w:r>
      <w:r>
        <w:t xml:space="preserve">”. </w:t>
      </w:r>
    </w:p>
    <w:p w14:paraId="34035BA6" w14:textId="77777777" w:rsidR="003102CA" w:rsidRPr="00495F36" w:rsidRDefault="003102CA" w:rsidP="003102CA">
      <w:pPr>
        <w:spacing w:after="240"/>
        <w:jc w:val="both"/>
      </w:pPr>
      <w:hyperlink r:id="rId39" w:history="1">
        <w:r w:rsidRPr="00495F36">
          <w:rPr>
            <w:rStyle w:val="Hipervnculo"/>
          </w:rPr>
          <w:t>STS, Sala Primera, 110/2024, de 30 de enero de 2024</w:t>
        </w:r>
      </w:hyperlink>
      <w:r>
        <w:t>. “</w:t>
      </w:r>
      <w:r w:rsidRPr="00495F36">
        <w:t>Préstamo hipotecario con consumidores. Nulidad de las cláusulas multidivisa. Reiteración de jurisprudencia sobre el control de transparencia y abusividad. Diferencia con los préstamos indexados en divisas. Inexistencia de prescripción</w:t>
      </w:r>
      <w:r>
        <w:t xml:space="preserve">”. </w:t>
      </w:r>
    </w:p>
    <w:p w14:paraId="4E955646" w14:textId="00B391A5" w:rsidR="00495F36" w:rsidRPr="00495F36" w:rsidRDefault="00495F36" w:rsidP="006B6B86">
      <w:pPr>
        <w:spacing w:after="240"/>
        <w:jc w:val="both"/>
      </w:pPr>
      <w:hyperlink r:id="rId40" w:history="1">
        <w:r w:rsidRPr="00495F36">
          <w:rPr>
            <w:rStyle w:val="Hipervnculo"/>
          </w:rPr>
          <w:t>STS, Sala Primera, 111/2024, de 30 de enero de 2024</w:t>
        </w:r>
      </w:hyperlink>
      <w:r>
        <w:t>. “</w:t>
      </w:r>
      <w:r w:rsidRPr="00495F36">
        <w:t>Préstamo hipotecario. Cláusula multidivisa. Documento de primera disposición. Validez de la cláusula multidivisa al superar el control de transparencia</w:t>
      </w:r>
      <w:r>
        <w:t xml:space="preserve">”. </w:t>
      </w:r>
    </w:p>
    <w:p w14:paraId="6BB1B872" w14:textId="77777777" w:rsidR="003102CA" w:rsidRPr="008C42B1" w:rsidRDefault="003102CA" w:rsidP="003102CA">
      <w:pPr>
        <w:spacing w:after="240"/>
        <w:jc w:val="both"/>
      </w:pPr>
      <w:hyperlink r:id="rId41" w:history="1">
        <w:r w:rsidRPr="008C42B1">
          <w:rPr>
            <w:rStyle w:val="Hipervnculo"/>
          </w:rPr>
          <w:t>STS, Sala Primera, 146/2024, de 6 de febrero de 2024</w:t>
        </w:r>
      </w:hyperlink>
      <w:r>
        <w:t>. “</w:t>
      </w:r>
      <w:r w:rsidRPr="008C42B1">
        <w:t>Condiciones generales de la contratación. Préstamo multidivisa. Control de transparencia. Documento de primera disposición. Abusividad de la cláusula que exigía garantías adicionales</w:t>
      </w:r>
      <w:r>
        <w:t>”.</w:t>
      </w:r>
    </w:p>
    <w:p w14:paraId="780F1421" w14:textId="1B0A3D91" w:rsidR="009C3A9F" w:rsidRPr="009C3A9F" w:rsidRDefault="009C3A9F" w:rsidP="006B6B86">
      <w:pPr>
        <w:spacing w:after="240"/>
        <w:jc w:val="both"/>
      </w:pPr>
      <w:hyperlink r:id="rId42" w:history="1">
        <w:r w:rsidRPr="009C3A9F">
          <w:rPr>
            <w:rStyle w:val="Hipervnculo"/>
          </w:rPr>
          <w:t>STS, Sala Primera, 149/2024, de 6 de febrero de 2024</w:t>
        </w:r>
      </w:hyperlink>
      <w:r>
        <w:t>. “</w:t>
      </w:r>
      <w:r w:rsidRPr="009C3A9F">
        <w:t>Préstamo multidivisa. Ausencia de información precontractual. Falta de transparencia. Abusividad. Improcedente planteamiento de cuestión prejudicial</w:t>
      </w:r>
      <w:r>
        <w:t xml:space="preserve">”. </w:t>
      </w:r>
    </w:p>
    <w:p w14:paraId="36E5930E" w14:textId="36C4FAA9" w:rsidR="004F4ACF" w:rsidRPr="004F4ACF" w:rsidRDefault="004F4ACF" w:rsidP="006B6B86">
      <w:pPr>
        <w:spacing w:after="240"/>
        <w:jc w:val="both"/>
      </w:pPr>
      <w:hyperlink r:id="rId43" w:history="1">
        <w:r w:rsidRPr="004F4ACF">
          <w:rPr>
            <w:rStyle w:val="Hipervnculo"/>
          </w:rPr>
          <w:t>STS, Sala Primera, 195/2024, de 13 febrero de 2024</w:t>
        </w:r>
      </w:hyperlink>
      <w:r>
        <w:t>. “</w:t>
      </w:r>
      <w:r w:rsidRPr="004F4ACF">
        <w:t>Nulidad del clausulado multidivisa. Documento de primera disposición. Nulidad de la cláusula por la que el banco se reserva el derecho de exigir garantías adicionales y de vencimiento anticipado caso de no prestarlas. Comisión de cambio de moneda</w:t>
      </w:r>
      <w:r>
        <w:t>”.</w:t>
      </w:r>
    </w:p>
    <w:p w14:paraId="27958EA6" w14:textId="3281093D" w:rsidR="00B102CE" w:rsidRDefault="00B102CE" w:rsidP="006B6B86">
      <w:pPr>
        <w:spacing w:after="240"/>
        <w:jc w:val="both"/>
      </w:pPr>
      <w:hyperlink r:id="rId44" w:history="1">
        <w:r w:rsidRPr="00B102CE">
          <w:rPr>
            <w:rStyle w:val="Hipervnculo"/>
          </w:rPr>
          <w:t>STS, Sala Primera, 276/2024, de 27 de febrero de 2024</w:t>
        </w:r>
      </w:hyperlink>
      <w:r>
        <w:t>. “</w:t>
      </w:r>
      <w:r w:rsidRPr="00B102CE">
        <w:t>Cláusula multidivisa. Control de transparencia. Documento de primera disposición. Carácter abusivo de la cláusula que permite al banco exigir la ampliación de la garantía y, caso de no prestarse tales garantías, dar por vencido anticipadamente el préstamo</w:t>
      </w:r>
      <w:r>
        <w:t xml:space="preserve">”. </w:t>
      </w:r>
    </w:p>
    <w:p w14:paraId="561DDAE8" w14:textId="5F698781" w:rsidR="00B102CE" w:rsidRPr="00B102CE" w:rsidRDefault="00FA5B37" w:rsidP="006B6B86">
      <w:pPr>
        <w:spacing w:after="240"/>
        <w:jc w:val="both"/>
      </w:pPr>
      <w:hyperlink r:id="rId45" w:history="1">
        <w:r w:rsidR="00B102CE" w:rsidRPr="00FA5B37">
          <w:rPr>
            <w:rStyle w:val="Hipervnculo"/>
          </w:rPr>
          <w:t>STS, Sala Primera, 279/2024, de 27 de febrero de 2024</w:t>
        </w:r>
      </w:hyperlink>
      <w:r w:rsidR="00B102CE">
        <w:t>. “</w:t>
      </w:r>
      <w:r w:rsidR="00B102CE" w:rsidRPr="00B102CE">
        <w:t xml:space="preserve">Préstamo hipotecario multidivisa. Nulidad del clausulado multidivisa. Error en la </w:t>
      </w:r>
      <w:r w:rsidR="00B102CE" w:rsidRPr="00B102CE">
        <w:t>valoración</w:t>
      </w:r>
      <w:r w:rsidR="00B102CE" w:rsidRPr="00B102CE">
        <w:t xml:space="preserve"> de la prueba (documento de primera disposición)</w:t>
      </w:r>
      <w:r w:rsidR="00B102CE">
        <w:t xml:space="preserve">”. </w:t>
      </w:r>
    </w:p>
    <w:p w14:paraId="7020C0C8" w14:textId="568D22AE" w:rsidR="00B10541" w:rsidRDefault="009A2B29" w:rsidP="006B6B86">
      <w:pPr>
        <w:spacing w:after="240"/>
        <w:jc w:val="both"/>
      </w:pPr>
      <w:hyperlink r:id="rId46" w:history="1">
        <w:r w:rsidR="00B10541" w:rsidRPr="009A2B29">
          <w:rPr>
            <w:rStyle w:val="Hipervnculo"/>
          </w:rPr>
          <w:t xml:space="preserve">STS, Sala Primera, </w:t>
        </w:r>
        <w:r w:rsidRPr="009A2B29">
          <w:rPr>
            <w:rStyle w:val="Hipervnculo"/>
          </w:rPr>
          <w:t>288/2024, de 28 de febrero de 2024</w:t>
        </w:r>
      </w:hyperlink>
      <w:r>
        <w:t>. “</w:t>
      </w:r>
      <w:r w:rsidRPr="009A2B29">
        <w:t>Préstamo hipotecario con consumidores con clausulado multidivisa. Transparencia y abusividad. Documento de primera disposición. Reiteración de la doctrina de la sala</w:t>
      </w:r>
      <w:r>
        <w:t xml:space="preserve">”. </w:t>
      </w:r>
    </w:p>
    <w:p w14:paraId="3C1775A6" w14:textId="77777777" w:rsidR="003102CA" w:rsidRPr="00B10541" w:rsidRDefault="003102CA" w:rsidP="003102CA">
      <w:pPr>
        <w:spacing w:after="240"/>
        <w:jc w:val="both"/>
      </w:pPr>
      <w:hyperlink r:id="rId47" w:history="1">
        <w:r w:rsidRPr="00177AEC">
          <w:rPr>
            <w:rStyle w:val="Hipervnculo"/>
          </w:rPr>
          <w:t>STS, Sala Primera, 367/2024, de 12 de marzo de 2024</w:t>
        </w:r>
      </w:hyperlink>
      <w:r>
        <w:t>. “</w:t>
      </w:r>
      <w:r w:rsidRPr="00177AEC">
        <w:t>Préstamo hipotecario con consumidores. Clausulado multidivisa. Suficiencia del documento de primera disposición para informar de los riesgos</w:t>
      </w:r>
      <w:r>
        <w:t xml:space="preserve">”. </w:t>
      </w:r>
    </w:p>
    <w:p w14:paraId="5A4BCE20" w14:textId="52513F61" w:rsidR="00C7021A" w:rsidRDefault="00C7021A" w:rsidP="006B6B86">
      <w:pPr>
        <w:spacing w:after="240"/>
        <w:jc w:val="both"/>
      </w:pPr>
      <w:hyperlink r:id="rId48" w:history="1">
        <w:r w:rsidRPr="00C7021A">
          <w:rPr>
            <w:rStyle w:val="Hipervnculo"/>
          </w:rPr>
          <w:t>STS, Sala Primera, 401/2024, de 19 de marzo de 2024</w:t>
        </w:r>
      </w:hyperlink>
      <w:r>
        <w:t>. “</w:t>
      </w:r>
      <w:r w:rsidRPr="00C7021A">
        <w:t>Préstamo hipotecario multidivisa con consumidores. Nulidad de las cláusulas multidivisa. Control de transparencia. Reiteración de jurisprudencia. Diferente tratamiento respecto a los préstamos indexados a divisas</w:t>
      </w:r>
      <w:r>
        <w:t xml:space="preserve">”. </w:t>
      </w:r>
    </w:p>
    <w:p w14:paraId="5850897D" w14:textId="77777777" w:rsidR="009C3A9F" w:rsidRDefault="009C3A9F" w:rsidP="009C3A9F">
      <w:pPr>
        <w:spacing w:after="240"/>
        <w:jc w:val="both"/>
        <w:rPr>
          <w:b/>
          <w:bCs/>
        </w:rPr>
      </w:pPr>
      <w:r w:rsidRPr="006B6B86">
        <w:rPr>
          <w:b/>
          <w:bCs/>
        </w:rPr>
        <w:t>Cláusulas abusivas y costas procesales</w:t>
      </w:r>
    </w:p>
    <w:p w14:paraId="72EC4CA0" w14:textId="3FC6164F" w:rsidR="00C455E0" w:rsidRPr="00C455E0" w:rsidRDefault="00C455E0" w:rsidP="009C3A9F">
      <w:pPr>
        <w:spacing w:after="240"/>
        <w:jc w:val="both"/>
      </w:pPr>
      <w:hyperlink r:id="rId49" w:history="1">
        <w:r w:rsidRPr="00C455E0">
          <w:rPr>
            <w:rStyle w:val="Hipervnculo"/>
          </w:rPr>
          <w:t>STS, Sala Primera, 60/2024, de 22 de enero de 2024</w:t>
        </w:r>
      </w:hyperlink>
      <w:r>
        <w:t>. “</w:t>
      </w:r>
      <w:r w:rsidRPr="00C455E0">
        <w:t>Tratamiento de las costas procesales de primera instancia. Contrato de préstamo con garantía hipotecaria, con cláusula multidivisa referenciada en yenes, celebrado con un consumidor</w:t>
      </w:r>
      <w:r>
        <w:t xml:space="preserve">”. </w:t>
      </w:r>
    </w:p>
    <w:p w14:paraId="10A32A67" w14:textId="77777777" w:rsidR="003102CA" w:rsidRPr="00666C7B" w:rsidRDefault="003102CA" w:rsidP="003102CA">
      <w:pPr>
        <w:spacing w:after="240"/>
        <w:jc w:val="both"/>
      </w:pPr>
      <w:hyperlink r:id="rId50" w:history="1">
        <w:r w:rsidRPr="00666C7B">
          <w:rPr>
            <w:rStyle w:val="Hipervnculo"/>
          </w:rPr>
          <w:t>STS, Sala Primera, 71/2024, de 22 de enero de 2024</w:t>
        </w:r>
      </w:hyperlink>
      <w:r>
        <w:t>. “</w:t>
      </w:r>
      <w:r w:rsidRPr="00666C7B">
        <w:t>Costas procesales de primera instancia impuestas de oficio en segunda instancia en procedimientos sobre cláusulas abusivas contenidas en contratos celebrados con consumidores. No hay pasividad del demandante consumidor</w:t>
      </w:r>
      <w:r>
        <w:t xml:space="preserve">”. </w:t>
      </w:r>
    </w:p>
    <w:p w14:paraId="765AF8E7" w14:textId="67C149A9" w:rsidR="00B94B24" w:rsidRPr="00B94B24" w:rsidRDefault="00B94B24" w:rsidP="009C3A9F">
      <w:pPr>
        <w:spacing w:after="240"/>
        <w:jc w:val="both"/>
      </w:pPr>
      <w:hyperlink r:id="rId51" w:history="1">
        <w:r w:rsidRPr="00B94B24">
          <w:rPr>
            <w:rStyle w:val="Hipervnculo"/>
          </w:rPr>
          <w:t>STS, Sala Primera, 72/2024, de 22 de enero de 2024</w:t>
        </w:r>
      </w:hyperlink>
      <w:r>
        <w:t>. “</w:t>
      </w:r>
      <w:r w:rsidRPr="00B94B24">
        <w:t>Costas en procesos con consumidores. Principios de no vinculación y efectividad del Derecho UE. Imposición al banco</w:t>
      </w:r>
      <w:r>
        <w:t xml:space="preserve">”. </w:t>
      </w:r>
    </w:p>
    <w:p w14:paraId="55BC17B9" w14:textId="39974D4A" w:rsidR="00495F36" w:rsidRPr="00495F36" w:rsidRDefault="00495F36" w:rsidP="009C3A9F">
      <w:pPr>
        <w:spacing w:after="240"/>
        <w:jc w:val="both"/>
      </w:pPr>
      <w:hyperlink r:id="rId52" w:history="1">
        <w:r w:rsidRPr="00495F36">
          <w:rPr>
            <w:rStyle w:val="Hipervnculo"/>
          </w:rPr>
          <w:t>STS, Sala Primera, 99/2024, de 29 de enero de 2024</w:t>
        </w:r>
      </w:hyperlink>
      <w:r>
        <w:t>. “</w:t>
      </w:r>
      <w:r w:rsidRPr="00495F36">
        <w:t>Préstamo hipotecario. Nulidad de cláusula de gastos. Desatención injustificada por el banco del previo requerimiento, que obligó al consumidor a litigar, lo que implica la condena en costas del banco pese a su allanamiento</w:t>
      </w:r>
      <w:r>
        <w:t xml:space="preserve">”. </w:t>
      </w:r>
    </w:p>
    <w:p w14:paraId="24B76CC2" w14:textId="77777777" w:rsidR="009C3A9F" w:rsidRPr="009C3A9F" w:rsidRDefault="009C3A9F" w:rsidP="009C3A9F">
      <w:pPr>
        <w:spacing w:after="240"/>
        <w:jc w:val="both"/>
      </w:pPr>
      <w:hyperlink r:id="rId53" w:history="1">
        <w:r w:rsidRPr="009C3A9F">
          <w:rPr>
            <w:rStyle w:val="Hipervnculo"/>
          </w:rPr>
          <w:t>STS, Sala Primera, 145/2024, de 6 de febrero de 2024</w:t>
        </w:r>
      </w:hyperlink>
      <w:r>
        <w:t>. “</w:t>
      </w:r>
      <w:r w:rsidRPr="009C3A9F">
        <w:t>Costas procesales en litigios con consumidores sobre cláusulas abusivas. Costas procesales de primera instancia en caso de estimación parcial. Costas de los recursos de apelación y extraordinarios. Reiteración de doctrina jurisprudencial</w:t>
      </w:r>
      <w:r>
        <w:t xml:space="preserve">”. </w:t>
      </w:r>
    </w:p>
    <w:p w14:paraId="2BD41AFB" w14:textId="3B6208A2" w:rsidR="009C3A9F" w:rsidRDefault="009C3A9F" w:rsidP="009C3A9F">
      <w:pPr>
        <w:spacing w:after="240"/>
        <w:jc w:val="both"/>
      </w:pPr>
      <w:hyperlink r:id="rId54" w:history="1">
        <w:r w:rsidRPr="00C85983">
          <w:rPr>
            <w:rStyle w:val="Hipervnculo"/>
          </w:rPr>
          <w:t>STS, Sala Primera, 284/2024, de 27 de febrero de 2024</w:t>
        </w:r>
      </w:hyperlink>
      <w:r>
        <w:t>. “</w:t>
      </w:r>
      <w:r w:rsidRPr="00C85983">
        <w:t>Condena en costas en procesos con consumidores. Improcedente apreciación de serias dudas de hecho o de derecho para excepcionar el principio objetivo del vencimiento</w:t>
      </w:r>
      <w:r>
        <w:t>”.</w:t>
      </w:r>
    </w:p>
    <w:p w14:paraId="2BA79030" w14:textId="49D9A600" w:rsidR="00C7021A" w:rsidRDefault="00C7021A" w:rsidP="009C3A9F">
      <w:pPr>
        <w:spacing w:after="240"/>
        <w:jc w:val="both"/>
      </w:pPr>
      <w:hyperlink r:id="rId55" w:history="1">
        <w:r w:rsidRPr="00C7021A">
          <w:rPr>
            <w:rStyle w:val="Hipervnculo"/>
          </w:rPr>
          <w:t>STS, Sala Primera, 403/2024, de 19 de marzo de 2024</w:t>
        </w:r>
      </w:hyperlink>
      <w:r>
        <w:t>. “</w:t>
      </w:r>
      <w:r w:rsidRPr="00C7021A">
        <w:t>Costas en procesos con consumidores. Reiteración de jurisprudencia</w:t>
      </w:r>
      <w:r>
        <w:t xml:space="preserve">”. </w:t>
      </w:r>
    </w:p>
    <w:p w14:paraId="7DDF135E" w14:textId="77777777" w:rsidR="003102CA" w:rsidRDefault="003102CA" w:rsidP="009C3A9F">
      <w:pPr>
        <w:spacing w:after="240"/>
        <w:jc w:val="both"/>
      </w:pPr>
    </w:p>
    <w:p w14:paraId="2BE3918D" w14:textId="77777777" w:rsidR="003102CA" w:rsidRDefault="003102CA" w:rsidP="009C3A9F">
      <w:pPr>
        <w:spacing w:after="240"/>
        <w:jc w:val="both"/>
      </w:pPr>
    </w:p>
    <w:p w14:paraId="1D94DCB6" w14:textId="629A8331" w:rsidR="00236E9B" w:rsidRDefault="00236E9B" w:rsidP="009C3A9F">
      <w:pPr>
        <w:spacing w:after="240"/>
        <w:jc w:val="both"/>
        <w:rPr>
          <w:b/>
          <w:bCs/>
        </w:rPr>
      </w:pPr>
      <w:r>
        <w:rPr>
          <w:b/>
          <w:bCs/>
        </w:rPr>
        <w:lastRenderedPageBreak/>
        <w:t>Resolución de contrato de préstamo hipotecario</w:t>
      </w:r>
    </w:p>
    <w:p w14:paraId="2E866DB2" w14:textId="1317717D" w:rsidR="00236E9B" w:rsidRPr="00236E9B" w:rsidRDefault="00236E9B" w:rsidP="009C3A9F">
      <w:pPr>
        <w:spacing w:after="240"/>
        <w:jc w:val="both"/>
      </w:pPr>
      <w:hyperlink r:id="rId56" w:history="1">
        <w:r w:rsidRPr="00236E9B">
          <w:rPr>
            <w:rStyle w:val="Hipervnculo"/>
          </w:rPr>
          <w:t>STS, Sala Primera, 335/2024, de 7 de marzo de 2024</w:t>
        </w:r>
      </w:hyperlink>
      <w:r>
        <w:t>. “</w:t>
      </w:r>
      <w:r w:rsidRPr="00236E9B">
        <w:t>Resolución de contrato de préstamo hipotecario por incumplimiento de los prestatarios que, al tiempo de la presentación de la demanda, habían dejado de pagar 23 cuotas trimestrales, de un total de 60. Incumplimiento esencial e intencional</w:t>
      </w:r>
      <w:r>
        <w:t xml:space="preserve">”. </w:t>
      </w:r>
    </w:p>
    <w:p w14:paraId="3040289C" w14:textId="4867C1C0" w:rsidR="00C73F06" w:rsidRDefault="00B41899" w:rsidP="00B655CE">
      <w:pPr>
        <w:spacing w:after="240"/>
        <w:jc w:val="both"/>
        <w:rPr>
          <w:b/>
          <w:bCs/>
        </w:rPr>
      </w:pPr>
      <w:r>
        <w:rPr>
          <w:b/>
          <w:bCs/>
        </w:rPr>
        <w:t>Crédito “revolving”. Usura</w:t>
      </w:r>
    </w:p>
    <w:p w14:paraId="2D64BCD2" w14:textId="7204DA83" w:rsidR="00613A6D" w:rsidRPr="00613A6D" w:rsidRDefault="00613A6D" w:rsidP="00B655CE">
      <w:pPr>
        <w:spacing w:after="240"/>
        <w:jc w:val="both"/>
      </w:pPr>
      <w:hyperlink r:id="rId57" w:history="1">
        <w:r w:rsidRPr="00613A6D">
          <w:rPr>
            <w:rStyle w:val="Hipervnculo"/>
          </w:rPr>
          <w:t>STS, Sala Primera, 24/2024, de 10 de enero de 2024</w:t>
        </w:r>
      </w:hyperlink>
      <w:r>
        <w:t>. “</w:t>
      </w:r>
      <w:r w:rsidRPr="00613A6D">
        <w:t>Tarjeta de crédito "revolving". Aplicación de la jurisprudencia sobre el carácter usurario del interés percibido, contenida en la sentencia 258/2023, de 15 de febrero. Determinación de la TAE</w:t>
      </w:r>
      <w:r>
        <w:t xml:space="preserve">”. </w:t>
      </w:r>
    </w:p>
    <w:p w14:paraId="2E6915C8" w14:textId="5A1C1A37" w:rsidR="009C3A9F" w:rsidRPr="009C3A9F" w:rsidRDefault="009C3A9F" w:rsidP="00B655CE">
      <w:pPr>
        <w:spacing w:after="240"/>
        <w:jc w:val="both"/>
      </w:pPr>
      <w:hyperlink r:id="rId58" w:history="1">
        <w:r w:rsidRPr="009C3A9F">
          <w:rPr>
            <w:rStyle w:val="Hipervnculo"/>
          </w:rPr>
          <w:t>STS, Sala Primera, 151/2024, de 6 de febrero de 2024</w:t>
        </w:r>
      </w:hyperlink>
      <w:r>
        <w:t>. “</w:t>
      </w:r>
      <w:r w:rsidRPr="009C3A9F">
        <w:t>Contrato de crédito mediante tarjeta revolving. Criterios que deben ponderarse para resolver sobre el carácter usurario o no del interés remuneratorio convenido. Control de inclusión: legibilidad, tamaño de letra</w:t>
      </w:r>
      <w:r>
        <w:t xml:space="preserve">”. </w:t>
      </w:r>
    </w:p>
    <w:p w14:paraId="1333311F" w14:textId="5500F5CD" w:rsidR="004F4ACF" w:rsidRPr="004F4ACF" w:rsidRDefault="004F4ACF" w:rsidP="00B655CE">
      <w:pPr>
        <w:spacing w:after="240"/>
        <w:jc w:val="both"/>
      </w:pPr>
      <w:hyperlink r:id="rId59" w:history="1">
        <w:r w:rsidRPr="004F4ACF">
          <w:rPr>
            <w:rStyle w:val="Hipervnculo"/>
          </w:rPr>
          <w:t>STS, Sala Primera, 188/2024, de 13 de febrero de 2024</w:t>
        </w:r>
      </w:hyperlink>
      <w:r>
        <w:t>. “</w:t>
      </w:r>
      <w:r w:rsidRPr="004F4ACF">
        <w:t>Tarjeta de crédito revolving. Carácter usurario del interés percibido. Doctrina jurisprudencial. Conceptos que integran la TAE. Congruencia</w:t>
      </w:r>
      <w:r>
        <w:t xml:space="preserve">”. </w:t>
      </w:r>
    </w:p>
    <w:p w14:paraId="6B3DF828" w14:textId="1548CDBE" w:rsidR="00B41899" w:rsidRPr="00B41899" w:rsidRDefault="00B41899" w:rsidP="00B655CE">
      <w:pPr>
        <w:spacing w:after="240"/>
        <w:jc w:val="both"/>
      </w:pPr>
      <w:hyperlink r:id="rId60" w:history="1">
        <w:r w:rsidRPr="00B41899">
          <w:rPr>
            <w:rStyle w:val="Hipervnculo"/>
          </w:rPr>
          <w:t>STS, Sala Primera, 231/2024, de 21 de febrero de 2024</w:t>
        </w:r>
      </w:hyperlink>
      <w:r>
        <w:t>. “</w:t>
      </w:r>
      <w:r w:rsidRPr="00B41899">
        <w:t>Tarjeta de crédito revolving. Carácter usurario del interés percibido, contenida en la sentencia 258/2023, de 15 de febrero. Modificación del interés por la entidad financiera durante la vigencia del contrato. Doctrina jurisprudencial</w:t>
      </w:r>
      <w:r>
        <w:t xml:space="preserve">”. </w:t>
      </w:r>
    </w:p>
    <w:p w14:paraId="558F9153" w14:textId="7EF3A799" w:rsidR="00B41899" w:rsidRPr="00B41899" w:rsidRDefault="00B41899" w:rsidP="00B655CE">
      <w:pPr>
        <w:spacing w:after="240"/>
        <w:jc w:val="both"/>
      </w:pPr>
      <w:hyperlink r:id="rId61" w:history="1">
        <w:r w:rsidRPr="00B41899">
          <w:rPr>
            <w:rStyle w:val="Hipervnculo"/>
          </w:rPr>
          <w:t>STS, Sala Primera, 237/2024, de 22 de febrero de 2024</w:t>
        </w:r>
      </w:hyperlink>
      <w:r>
        <w:t>. “</w:t>
      </w:r>
      <w:r w:rsidRPr="00B41899">
        <w:t>Tarjeta de crédito revolving. Aplicación de la jurisprudencia sobre el carácter usurario del interés percibido, contenida en la sentencia 258/2023, de 15 de febrero</w:t>
      </w:r>
      <w:r>
        <w:t xml:space="preserve">”. </w:t>
      </w:r>
    </w:p>
    <w:p w14:paraId="68D0BC6F" w14:textId="2EB61BCD" w:rsidR="008B05FC" w:rsidRDefault="008B05FC" w:rsidP="00B655CE">
      <w:pPr>
        <w:spacing w:after="240"/>
        <w:jc w:val="both"/>
        <w:rPr>
          <w:b/>
          <w:bCs/>
        </w:rPr>
      </w:pPr>
      <w:r>
        <w:rPr>
          <w:b/>
          <w:bCs/>
        </w:rPr>
        <w:t>Compraventa de vivienda. Devolución de anticipos</w:t>
      </w:r>
    </w:p>
    <w:p w14:paraId="7551C8F9" w14:textId="45C0D06F" w:rsidR="00495F36" w:rsidRDefault="00495F36" w:rsidP="00B655CE">
      <w:pPr>
        <w:spacing w:after="240"/>
        <w:jc w:val="both"/>
      </w:pPr>
      <w:hyperlink r:id="rId62" w:history="1">
        <w:r w:rsidRPr="00495F36">
          <w:rPr>
            <w:rStyle w:val="Hipervnculo"/>
          </w:rPr>
          <w:t>STS, Sala Primera, 130/2024, de 5 de febrero de 2024</w:t>
        </w:r>
      </w:hyperlink>
      <w:r>
        <w:t>. “</w:t>
      </w:r>
      <w:r w:rsidRPr="00495F36">
        <w:t>Ley 57/1968. Acción de dos compradores de viviendas en construcción contra el banco avalista individual, reclamando su condena al pago de las cantidades anticipadas hasta el límite de los avales. Comienzo del devengo de intereses legales y congruencia</w:t>
      </w:r>
      <w:r>
        <w:t xml:space="preserve">”. </w:t>
      </w:r>
    </w:p>
    <w:p w14:paraId="25E1D960" w14:textId="4D78058C" w:rsidR="00495F36" w:rsidRPr="00495F36" w:rsidRDefault="00495F36" w:rsidP="00B655CE">
      <w:pPr>
        <w:spacing w:after="240"/>
        <w:jc w:val="both"/>
      </w:pPr>
      <w:hyperlink r:id="rId63" w:history="1">
        <w:r w:rsidRPr="00495F36">
          <w:rPr>
            <w:rStyle w:val="Hipervnculo"/>
          </w:rPr>
          <w:t>STS, Sala Primera, 132/2024, de 5 de febrero de 2024</w:t>
        </w:r>
      </w:hyperlink>
      <w:r>
        <w:t>. “</w:t>
      </w:r>
      <w:r w:rsidRPr="00495F36">
        <w:t>Ley 57/1968. No incurre en la responsabilidad del art. 1-2.ª la entidad de crédito que no consta conociera los ingresos de los compradores en una cuenta del promotor en dicha entidad</w:t>
      </w:r>
      <w:r>
        <w:t>”.</w:t>
      </w:r>
    </w:p>
    <w:p w14:paraId="39C3AC1B" w14:textId="1F970668" w:rsidR="006C0A0E" w:rsidRPr="006C0A0E" w:rsidRDefault="006C0A0E" w:rsidP="00B655CE">
      <w:pPr>
        <w:spacing w:after="240"/>
        <w:jc w:val="both"/>
      </w:pPr>
      <w:hyperlink r:id="rId64" w:history="1">
        <w:r w:rsidRPr="006C0A0E">
          <w:rPr>
            <w:rStyle w:val="Hipervnculo"/>
          </w:rPr>
          <w:t>STS, Sala Primera, 200/2024, de 15 de febrero de 2024</w:t>
        </w:r>
      </w:hyperlink>
      <w:r>
        <w:t>. “</w:t>
      </w:r>
      <w:r w:rsidRPr="006C0A0E">
        <w:t>Ley 57/1968. Ámbito de protección. Compradores de un apartamento turístico tipo suite en construcción, destinado, como el conjunto en el que se integraba, a una finalidad y explotación hotelera, no residencial</w:t>
      </w:r>
      <w:r>
        <w:t xml:space="preserve">”. </w:t>
      </w:r>
    </w:p>
    <w:p w14:paraId="6D1C2F65" w14:textId="77777777" w:rsidR="003102CA" w:rsidRPr="006C0A0E" w:rsidRDefault="003102CA" w:rsidP="003102CA">
      <w:pPr>
        <w:spacing w:after="240"/>
        <w:jc w:val="both"/>
      </w:pPr>
      <w:hyperlink r:id="rId65" w:history="1">
        <w:r w:rsidRPr="006C0A0E">
          <w:rPr>
            <w:rStyle w:val="Hipervnculo"/>
          </w:rPr>
          <w:t>STS, Sala Primera, 203/2024, de 19 de febrero de 2024</w:t>
        </w:r>
      </w:hyperlink>
      <w:r>
        <w:t>. “</w:t>
      </w:r>
      <w:r w:rsidRPr="006C0A0E">
        <w:t>Ley 57/1968. Es inaplicable a favor de los compradores de dos viviendas y dos plazas de garaje en construcción de la misma promoción por no constar una finalidad residencial</w:t>
      </w:r>
      <w:r>
        <w:t xml:space="preserve">”. </w:t>
      </w:r>
    </w:p>
    <w:p w14:paraId="19F22BF3" w14:textId="7A6B4330" w:rsidR="006C0A0E" w:rsidRPr="006C0A0E" w:rsidRDefault="006C0A0E" w:rsidP="00B655CE">
      <w:pPr>
        <w:spacing w:after="240"/>
        <w:jc w:val="both"/>
      </w:pPr>
      <w:hyperlink r:id="rId66" w:history="1">
        <w:r w:rsidRPr="006C0A0E">
          <w:rPr>
            <w:rStyle w:val="Hipervnculo"/>
          </w:rPr>
          <w:t>STS, Sala Primera, 205/2024, de 19 de febrero de 2024</w:t>
        </w:r>
      </w:hyperlink>
      <w:r>
        <w:t>. “</w:t>
      </w:r>
      <w:r w:rsidRPr="006C0A0E">
        <w:t>Ley 57/1968. Inexistencia de indicios suficientes para considerar que dos viviendas de una misma promoción fueron compradas por la misma persona y no por quienes figuraron como compradores en cada contrato</w:t>
      </w:r>
      <w:r>
        <w:t xml:space="preserve">”. </w:t>
      </w:r>
    </w:p>
    <w:p w14:paraId="47EE92BC" w14:textId="347AEF5B" w:rsidR="00B41899" w:rsidRDefault="00B41899" w:rsidP="00B655CE">
      <w:pPr>
        <w:spacing w:after="240"/>
        <w:jc w:val="both"/>
      </w:pPr>
      <w:hyperlink r:id="rId67" w:history="1">
        <w:r w:rsidRPr="00B41899">
          <w:rPr>
            <w:rStyle w:val="Hipervnculo"/>
          </w:rPr>
          <w:t>STS, Sala Primera, 254/2024, de 26 de febrero de 2024</w:t>
        </w:r>
      </w:hyperlink>
      <w:r>
        <w:t>. “</w:t>
      </w:r>
      <w:r w:rsidRPr="00B41899">
        <w:t>Ley 57/68. Inaplicabilidad respecto de un apartamento turístico tipo suite en construcción. Explotación hotelera, no residencial</w:t>
      </w:r>
      <w:r>
        <w:t>”.</w:t>
      </w:r>
    </w:p>
    <w:p w14:paraId="095811C4" w14:textId="0BECA255" w:rsidR="00236E9B" w:rsidRDefault="00ED1B85" w:rsidP="00B655CE">
      <w:pPr>
        <w:spacing w:after="240"/>
        <w:jc w:val="both"/>
      </w:pPr>
      <w:hyperlink r:id="rId68" w:history="1">
        <w:r w:rsidR="00236E9B" w:rsidRPr="00ED1B85">
          <w:rPr>
            <w:rStyle w:val="Hipervnculo"/>
          </w:rPr>
          <w:t>STS, Sala Primera, 306/2024, de 4 de marzo de 2024</w:t>
        </w:r>
      </w:hyperlink>
      <w:r w:rsidR="00236E9B">
        <w:t>. “</w:t>
      </w:r>
      <w:r w:rsidR="00236E9B" w:rsidRPr="00236E9B">
        <w:t>Ley 57/1968. Responsabilidad de la entidad de crédito receptora de anticipos en la que se perciben anticipos en la cuenta de la mercantil identificada no como promotora sino como titular de los derechos de venta de las viviendas de la promoción</w:t>
      </w:r>
      <w:r>
        <w:t xml:space="preserve">”. </w:t>
      </w:r>
    </w:p>
    <w:p w14:paraId="64D24474" w14:textId="77777777" w:rsidR="003102CA" w:rsidRPr="00B41899" w:rsidRDefault="003102CA" w:rsidP="003102CA">
      <w:pPr>
        <w:spacing w:after="240"/>
        <w:jc w:val="both"/>
      </w:pPr>
      <w:hyperlink r:id="rId69" w:history="1">
        <w:r w:rsidRPr="00177AEC">
          <w:rPr>
            <w:rStyle w:val="Hipervnculo"/>
          </w:rPr>
          <w:t>STS, Sala Primera, 344/2024, de 11 de marzo de 2024</w:t>
        </w:r>
      </w:hyperlink>
      <w:r>
        <w:t>. “</w:t>
      </w:r>
      <w:r w:rsidRPr="00177AEC">
        <w:t>Ley 57/1968. Responsabilidad de la entidad de crédito receptora de anticipos en la que se perciben anticipos en la cuenta de la mercantil identificada no como promotora sino como titular de los derechos de venta de las viviendas de la promoción</w:t>
      </w:r>
      <w:r>
        <w:t xml:space="preserve">”. </w:t>
      </w:r>
    </w:p>
    <w:p w14:paraId="6E4603A0" w14:textId="298CE370" w:rsidR="00177AEC" w:rsidRDefault="00177AEC" w:rsidP="00B655CE">
      <w:pPr>
        <w:spacing w:after="240"/>
        <w:jc w:val="both"/>
      </w:pPr>
      <w:hyperlink r:id="rId70" w:history="1">
        <w:r w:rsidRPr="00177AEC">
          <w:rPr>
            <w:rStyle w:val="Hipervnculo"/>
          </w:rPr>
          <w:t>STS, Sala Primera, 388/2024, de 18 de marzo de 2024</w:t>
        </w:r>
      </w:hyperlink>
      <w:r>
        <w:t>. “</w:t>
      </w:r>
      <w:r w:rsidRPr="00177AEC">
        <w:t>Ley 57/1968. Cantidades entregadas a cuenta: comienzo del devengo del interés legal; es remuneratorio de las cantidades anticipadas y, por tanto, exigible desde cada anticipo</w:t>
      </w:r>
      <w:r>
        <w:t xml:space="preserve">”. </w:t>
      </w:r>
    </w:p>
    <w:p w14:paraId="29BC8A53" w14:textId="41135BBB" w:rsidR="00C7021A" w:rsidRDefault="009A2B29" w:rsidP="00B655CE">
      <w:pPr>
        <w:spacing w:after="240"/>
        <w:jc w:val="both"/>
        <w:rPr>
          <w:b/>
          <w:bCs/>
        </w:rPr>
      </w:pPr>
      <w:r>
        <w:rPr>
          <w:b/>
          <w:bCs/>
        </w:rPr>
        <w:t xml:space="preserve">Vulneración del derecho al honor </w:t>
      </w:r>
    </w:p>
    <w:p w14:paraId="14E15306" w14:textId="26122579" w:rsidR="009A2B29" w:rsidRDefault="009A2B29" w:rsidP="00B655CE">
      <w:pPr>
        <w:spacing w:after="240"/>
        <w:jc w:val="both"/>
      </w:pPr>
      <w:hyperlink r:id="rId71" w:history="1">
        <w:r w:rsidRPr="009A2B29">
          <w:rPr>
            <w:rStyle w:val="Hipervnculo"/>
          </w:rPr>
          <w:t>STS, Sala Primera, 281/2024, de 27 de febrero de 2024</w:t>
        </w:r>
      </w:hyperlink>
      <w:r>
        <w:t>. “</w:t>
      </w:r>
      <w:r w:rsidRPr="009A2B29">
        <w:t>Vulneración del derecho al honor por comunicación de los datos personales a un fichero de solvencia patrimonial. Tratamiento de datos que vulnera los principios de prudencia y proporcionalidad. Existencia de intromisión ilegítima en el honor</w:t>
      </w:r>
      <w:r>
        <w:t xml:space="preserve">”. </w:t>
      </w:r>
    </w:p>
    <w:p w14:paraId="53A11B07" w14:textId="4DDC663D" w:rsidR="00C7021A" w:rsidRDefault="00C7021A" w:rsidP="00B655CE">
      <w:pPr>
        <w:spacing w:after="240"/>
        <w:jc w:val="both"/>
      </w:pPr>
      <w:hyperlink r:id="rId72" w:history="1">
        <w:r w:rsidRPr="00C7021A">
          <w:rPr>
            <w:rStyle w:val="Hipervnculo"/>
          </w:rPr>
          <w:t>STS, Sala Primera, 408/2024, de 20 de marzo de 2024</w:t>
        </w:r>
      </w:hyperlink>
      <w:r>
        <w:t>. “</w:t>
      </w:r>
      <w:r w:rsidRPr="00C7021A">
        <w:t>Vulneración del derecho al honor por la inhabilitación de un perfil de usuario en Facebook</w:t>
      </w:r>
      <w:r>
        <w:t xml:space="preserve">”. </w:t>
      </w:r>
    </w:p>
    <w:p w14:paraId="346923A7" w14:textId="051045EE" w:rsidR="004F4ACF" w:rsidRDefault="004F4ACF" w:rsidP="00B655CE">
      <w:pPr>
        <w:spacing w:after="240"/>
        <w:jc w:val="both"/>
        <w:rPr>
          <w:b/>
          <w:bCs/>
        </w:rPr>
      </w:pPr>
      <w:r>
        <w:rPr>
          <w:b/>
          <w:bCs/>
        </w:rPr>
        <w:t>Responsabilidad por productos defectuosos</w:t>
      </w:r>
    </w:p>
    <w:p w14:paraId="22A38F37" w14:textId="0E9881F1" w:rsidR="004F4ACF" w:rsidRPr="004F4ACF" w:rsidRDefault="004F4ACF" w:rsidP="00B655CE">
      <w:pPr>
        <w:spacing w:after="240"/>
        <w:jc w:val="both"/>
      </w:pPr>
      <w:hyperlink r:id="rId73" w:history="1">
        <w:r w:rsidRPr="004F4ACF">
          <w:rPr>
            <w:rStyle w:val="Hipervnculo"/>
          </w:rPr>
          <w:t>STS, Sala Primera, 161/2024, de 7 de febrero de 2024</w:t>
        </w:r>
      </w:hyperlink>
      <w:r>
        <w:t>. “</w:t>
      </w:r>
      <w:r w:rsidRPr="004F4ACF">
        <w:t>Responsabilidad por productos defectuosos (prótesis de cadera). Extinción de responsabilidad por el transcurso de diez años desde que se hubiera puesto en circulación el producto. Responsabilidad del suministrador que no identifica al fabricante</w:t>
      </w:r>
      <w:r>
        <w:t xml:space="preserve">”. </w:t>
      </w:r>
    </w:p>
    <w:p w14:paraId="44EE6806" w14:textId="77777777" w:rsidR="009A2B29" w:rsidRDefault="009A2B29" w:rsidP="00B655CE">
      <w:pPr>
        <w:spacing w:after="240"/>
        <w:jc w:val="both"/>
        <w:rPr>
          <w:b/>
          <w:bCs/>
        </w:rPr>
      </w:pPr>
    </w:p>
    <w:p w14:paraId="5E7E22BD" w14:textId="48C8DF4F" w:rsidR="00451AF4" w:rsidRPr="009A2B29" w:rsidRDefault="008348BF" w:rsidP="009A2B29">
      <w:pPr>
        <w:spacing w:after="240"/>
        <w:jc w:val="center"/>
        <w:rPr>
          <w:b/>
          <w:bCs/>
          <w:sz w:val="28"/>
          <w:szCs w:val="28"/>
          <w:highlight w:val="yellow"/>
        </w:rPr>
      </w:pPr>
      <w:r>
        <w:rPr>
          <w:noProof/>
        </w:rPr>
        <w:pict w14:anchorId="7AB4E102">
          <v:rect id="_x0000_i1025" alt="" style="width:425.2pt;height:.05pt;mso-width-percent:0;mso-height-percent:0;mso-width-percent:0;mso-height-percent:0" o:hralign="center" o:hrstd="t" o:hr="t" fillcolor="#a0a0a0" stroked="f"/>
        </w:pict>
      </w:r>
    </w:p>
    <w:p w14:paraId="139789F6" w14:textId="77777777" w:rsidR="0046122C" w:rsidRDefault="0046122C" w:rsidP="00CC503E">
      <w:pPr>
        <w:spacing w:after="240"/>
        <w:jc w:val="center"/>
        <w:rPr>
          <w:b/>
          <w:bCs/>
          <w:sz w:val="28"/>
          <w:szCs w:val="28"/>
        </w:rPr>
      </w:pPr>
    </w:p>
    <w:p w14:paraId="37EDA19E" w14:textId="03634017" w:rsidR="00CC503E" w:rsidRPr="0046521D" w:rsidRDefault="00CC503E" w:rsidP="002B1E17">
      <w:pPr>
        <w:spacing w:after="240"/>
        <w:jc w:val="both"/>
      </w:pPr>
    </w:p>
    <w:p w14:paraId="1FC5A824" w14:textId="77777777" w:rsidR="007C7222" w:rsidRDefault="007C7222" w:rsidP="007C7222">
      <w:pPr>
        <w:ind w:right="-1"/>
        <w:rPr>
          <w:bCs/>
          <w:color w:val="000000" w:themeColor="text1"/>
        </w:rPr>
      </w:pPr>
    </w:p>
    <w:p w14:paraId="7FFB165D" w14:textId="4B830A74" w:rsidR="007A7EB8" w:rsidRPr="00470BF9" w:rsidRDefault="002C2DB9" w:rsidP="002C2DB9">
      <w:pPr>
        <w:ind w:right="-1"/>
        <w:jc w:val="both"/>
        <w:rPr>
          <w:bCs/>
          <w:color w:val="000000" w:themeColor="text1"/>
        </w:rPr>
      </w:pPr>
      <w:r>
        <w:rPr>
          <w:bCs/>
          <w:color w:val="000000" w:themeColor="text1"/>
        </w:rPr>
        <w:t xml:space="preserve"> </w:t>
      </w:r>
    </w:p>
    <w:sectPr w:rsidR="007A7EB8" w:rsidRPr="00470BF9" w:rsidSect="008348BF">
      <w:footerReference w:type="default" r:id="rId74"/>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F3D39" w14:textId="77777777" w:rsidR="008348BF" w:rsidRDefault="008348BF" w:rsidP="000562B1">
      <w:r>
        <w:separator/>
      </w:r>
    </w:p>
  </w:endnote>
  <w:endnote w:type="continuationSeparator" w:id="0">
    <w:p w14:paraId="368D0E04" w14:textId="77777777" w:rsidR="008348BF" w:rsidRDefault="008348BF" w:rsidP="00056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363187"/>
      <w:docPartObj>
        <w:docPartGallery w:val="Page Numbers (Bottom of Page)"/>
        <w:docPartUnique/>
      </w:docPartObj>
    </w:sdtPr>
    <w:sdtEndPr>
      <w:rPr>
        <w:rFonts w:ascii="Times New Roman" w:hAnsi="Times New Roman" w:cs="Times New Roman"/>
        <w:sz w:val="24"/>
        <w:szCs w:val="24"/>
      </w:rPr>
    </w:sdtEndPr>
    <w:sdtContent>
      <w:p w14:paraId="63290595" w14:textId="77777777" w:rsidR="00101C22" w:rsidRPr="001832F8" w:rsidRDefault="00101C22">
        <w:pPr>
          <w:pStyle w:val="Piedepgina"/>
          <w:jc w:val="right"/>
          <w:rPr>
            <w:rFonts w:ascii="Times New Roman" w:hAnsi="Times New Roman" w:cs="Times New Roman"/>
            <w:sz w:val="24"/>
            <w:szCs w:val="24"/>
          </w:rPr>
        </w:pPr>
        <w:r w:rsidRPr="001832F8">
          <w:rPr>
            <w:rFonts w:ascii="Times New Roman" w:hAnsi="Times New Roman" w:cs="Times New Roman"/>
            <w:sz w:val="24"/>
            <w:szCs w:val="24"/>
          </w:rPr>
          <w:fldChar w:fldCharType="begin"/>
        </w:r>
        <w:r w:rsidRPr="001832F8">
          <w:rPr>
            <w:rFonts w:ascii="Times New Roman" w:hAnsi="Times New Roman" w:cs="Times New Roman"/>
            <w:sz w:val="24"/>
            <w:szCs w:val="24"/>
          </w:rPr>
          <w:instrText>PAGE   \* MERGEFORMAT</w:instrText>
        </w:r>
        <w:r w:rsidRPr="001832F8">
          <w:rPr>
            <w:rFonts w:ascii="Times New Roman" w:hAnsi="Times New Roman" w:cs="Times New Roman"/>
            <w:sz w:val="24"/>
            <w:szCs w:val="24"/>
          </w:rPr>
          <w:fldChar w:fldCharType="separate"/>
        </w:r>
        <w:r w:rsidR="00F1056F">
          <w:rPr>
            <w:rFonts w:ascii="Times New Roman" w:hAnsi="Times New Roman" w:cs="Times New Roman"/>
            <w:noProof/>
            <w:sz w:val="24"/>
            <w:szCs w:val="24"/>
          </w:rPr>
          <w:t>9</w:t>
        </w:r>
        <w:r w:rsidRPr="001832F8">
          <w:rPr>
            <w:rFonts w:ascii="Times New Roman" w:hAnsi="Times New Roman" w:cs="Times New Roman"/>
            <w:sz w:val="24"/>
            <w:szCs w:val="24"/>
          </w:rPr>
          <w:fldChar w:fldCharType="end"/>
        </w:r>
      </w:p>
    </w:sdtContent>
  </w:sdt>
  <w:p w14:paraId="37C823B9" w14:textId="77777777" w:rsidR="00101C22" w:rsidRDefault="00101C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C7002" w14:textId="77777777" w:rsidR="008348BF" w:rsidRDefault="008348BF" w:rsidP="000562B1">
      <w:r>
        <w:separator/>
      </w:r>
    </w:p>
  </w:footnote>
  <w:footnote w:type="continuationSeparator" w:id="0">
    <w:p w14:paraId="268A2C2D" w14:textId="77777777" w:rsidR="008348BF" w:rsidRDefault="008348BF" w:rsidP="00056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A47CDC"/>
    <w:multiLevelType w:val="hybridMultilevel"/>
    <w:tmpl w:val="9CFE2A6E"/>
    <w:lvl w:ilvl="0" w:tplc="D750CB88">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795D65"/>
    <w:multiLevelType w:val="hybridMultilevel"/>
    <w:tmpl w:val="6CAED840"/>
    <w:lvl w:ilvl="0" w:tplc="2C8094C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F21AAF"/>
    <w:multiLevelType w:val="multilevel"/>
    <w:tmpl w:val="C2CC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82441CA"/>
    <w:multiLevelType w:val="hybridMultilevel"/>
    <w:tmpl w:val="7AC4537A"/>
    <w:lvl w:ilvl="0" w:tplc="471E95E2">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5861EC8"/>
    <w:multiLevelType w:val="hybridMultilevel"/>
    <w:tmpl w:val="B194020E"/>
    <w:lvl w:ilvl="0" w:tplc="8DF0A50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B2123B9"/>
    <w:multiLevelType w:val="hybridMultilevel"/>
    <w:tmpl w:val="B9C406EE"/>
    <w:lvl w:ilvl="0" w:tplc="471C8DA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C1E0587"/>
    <w:multiLevelType w:val="hybridMultilevel"/>
    <w:tmpl w:val="E03A9884"/>
    <w:lvl w:ilvl="0" w:tplc="C1349A3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D145F24"/>
    <w:multiLevelType w:val="hybridMultilevel"/>
    <w:tmpl w:val="D308732C"/>
    <w:lvl w:ilvl="0" w:tplc="643E15FC">
      <w:start w:val="1"/>
      <w:numFmt w:val="bullet"/>
      <w:lvlText w:val=""/>
      <w:lvlJc w:val="left"/>
      <w:pPr>
        <w:ind w:left="720" w:hanging="360"/>
      </w:pPr>
      <w:rPr>
        <w:rFonts w:ascii="Wingdings" w:eastAsia="Times New Roman" w:hAnsi="Wingdings"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3CD4892"/>
    <w:multiLevelType w:val="hybridMultilevel"/>
    <w:tmpl w:val="31923E98"/>
    <w:lvl w:ilvl="0" w:tplc="459E2956">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CBC1C0F"/>
    <w:multiLevelType w:val="hybridMultilevel"/>
    <w:tmpl w:val="8B8E37E0"/>
    <w:lvl w:ilvl="0" w:tplc="23560D96">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50885556">
    <w:abstractNumId w:val="14"/>
  </w:num>
  <w:num w:numId="2" w16cid:durableId="161898188">
    <w:abstractNumId w:val="0"/>
  </w:num>
  <w:num w:numId="3" w16cid:durableId="438574505">
    <w:abstractNumId w:val="12"/>
  </w:num>
  <w:num w:numId="4" w16cid:durableId="1700349985">
    <w:abstractNumId w:val="6"/>
  </w:num>
  <w:num w:numId="5" w16cid:durableId="726418586">
    <w:abstractNumId w:val="2"/>
  </w:num>
  <w:num w:numId="6" w16cid:durableId="2101562868">
    <w:abstractNumId w:val="4"/>
  </w:num>
  <w:num w:numId="7" w16cid:durableId="55979577">
    <w:abstractNumId w:val="1"/>
  </w:num>
  <w:num w:numId="8" w16cid:durableId="774132843">
    <w:abstractNumId w:val="3"/>
  </w:num>
  <w:num w:numId="9" w16cid:durableId="995571696">
    <w:abstractNumId w:val="8"/>
  </w:num>
  <w:num w:numId="10" w16cid:durableId="537862301">
    <w:abstractNumId w:val="9"/>
  </w:num>
  <w:num w:numId="11" w16cid:durableId="681246970">
    <w:abstractNumId w:val="13"/>
  </w:num>
  <w:num w:numId="12" w16cid:durableId="1900821912">
    <w:abstractNumId w:val="5"/>
  </w:num>
  <w:num w:numId="13" w16cid:durableId="1992513075">
    <w:abstractNumId w:val="10"/>
  </w:num>
  <w:num w:numId="14" w16cid:durableId="826017279">
    <w:abstractNumId w:val="11"/>
  </w:num>
  <w:num w:numId="15" w16cid:durableId="625966765">
    <w:abstractNumId w:val="15"/>
  </w:num>
  <w:num w:numId="16" w16cid:durableId="862860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D6"/>
    <w:rsid w:val="00006585"/>
    <w:rsid w:val="0001261B"/>
    <w:rsid w:val="000132EC"/>
    <w:rsid w:val="000148EA"/>
    <w:rsid w:val="00020F4E"/>
    <w:rsid w:val="0002281F"/>
    <w:rsid w:val="00023371"/>
    <w:rsid w:val="00023D79"/>
    <w:rsid w:val="00025F28"/>
    <w:rsid w:val="000260EA"/>
    <w:rsid w:val="000261CD"/>
    <w:rsid w:val="00033A21"/>
    <w:rsid w:val="00033CB2"/>
    <w:rsid w:val="00036BBC"/>
    <w:rsid w:val="00036CB1"/>
    <w:rsid w:val="00037ECF"/>
    <w:rsid w:val="0004481A"/>
    <w:rsid w:val="00045895"/>
    <w:rsid w:val="0004700D"/>
    <w:rsid w:val="00047917"/>
    <w:rsid w:val="000503EC"/>
    <w:rsid w:val="000523A3"/>
    <w:rsid w:val="00054FB7"/>
    <w:rsid w:val="00055DCF"/>
    <w:rsid w:val="000562B1"/>
    <w:rsid w:val="00056D06"/>
    <w:rsid w:val="000630D2"/>
    <w:rsid w:val="00064ADC"/>
    <w:rsid w:val="0006715A"/>
    <w:rsid w:val="00080E3E"/>
    <w:rsid w:val="00087618"/>
    <w:rsid w:val="00091C1F"/>
    <w:rsid w:val="00092150"/>
    <w:rsid w:val="00092F2B"/>
    <w:rsid w:val="000A28D2"/>
    <w:rsid w:val="000B0A5D"/>
    <w:rsid w:val="000B5305"/>
    <w:rsid w:val="000C03B5"/>
    <w:rsid w:val="000C1C9A"/>
    <w:rsid w:val="000C29EB"/>
    <w:rsid w:val="000C5244"/>
    <w:rsid w:val="000D2B7E"/>
    <w:rsid w:val="000D30BF"/>
    <w:rsid w:val="000E09B2"/>
    <w:rsid w:val="000E1594"/>
    <w:rsid w:val="000F1465"/>
    <w:rsid w:val="000F7FE0"/>
    <w:rsid w:val="001003C3"/>
    <w:rsid w:val="00101146"/>
    <w:rsid w:val="001019C5"/>
    <w:rsid w:val="00101C22"/>
    <w:rsid w:val="00102EA3"/>
    <w:rsid w:val="00104F0A"/>
    <w:rsid w:val="001175FF"/>
    <w:rsid w:val="00120D0B"/>
    <w:rsid w:val="0012310A"/>
    <w:rsid w:val="001243F0"/>
    <w:rsid w:val="0012496D"/>
    <w:rsid w:val="001269ED"/>
    <w:rsid w:val="001315E9"/>
    <w:rsid w:val="00133E4A"/>
    <w:rsid w:val="00134193"/>
    <w:rsid w:val="001342BF"/>
    <w:rsid w:val="001355D9"/>
    <w:rsid w:val="00137D74"/>
    <w:rsid w:val="001426E9"/>
    <w:rsid w:val="001427D2"/>
    <w:rsid w:val="00146B56"/>
    <w:rsid w:val="0015251B"/>
    <w:rsid w:val="00152B3F"/>
    <w:rsid w:val="0016024A"/>
    <w:rsid w:val="001630E8"/>
    <w:rsid w:val="001661B9"/>
    <w:rsid w:val="0017035A"/>
    <w:rsid w:val="0017254F"/>
    <w:rsid w:val="00175C7E"/>
    <w:rsid w:val="00177205"/>
    <w:rsid w:val="00177AEC"/>
    <w:rsid w:val="00181687"/>
    <w:rsid w:val="001832F8"/>
    <w:rsid w:val="00193378"/>
    <w:rsid w:val="0019626A"/>
    <w:rsid w:val="00197F42"/>
    <w:rsid w:val="001A0218"/>
    <w:rsid w:val="001A34D0"/>
    <w:rsid w:val="001A5CEC"/>
    <w:rsid w:val="001A65B0"/>
    <w:rsid w:val="001B39D6"/>
    <w:rsid w:val="001B66EC"/>
    <w:rsid w:val="001C29AF"/>
    <w:rsid w:val="001C6BB5"/>
    <w:rsid w:val="001C7752"/>
    <w:rsid w:val="001D2A5A"/>
    <w:rsid w:val="001D599B"/>
    <w:rsid w:val="001E467C"/>
    <w:rsid w:val="001E50D5"/>
    <w:rsid w:val="001E705B"/>
    <w:rsid w:val="00205FBC"/>
    <w:rsid w:val="0021486E"/>
    <w:rsid w:val="00215B27"/>
    <w:rsid w:val="0022401C"/>
    <w:rsid w:val="00226C2F"/>
    <w:rsid w:val="002321F9"/>
    <w:rsid w:val="00234A10"/>
    <w:rsid w:val="00236E9B"/>
    <w:rsid w:val="0024550F"/>
    <w:rsid w:val="00250FE2"/>
    <w:rsid w:val="002523D3"/>
    <w:rsid w:val="00253626"/>
    <w:rsid w:val="002578B0"/>
    <w:rsid w:val="002664A5"/>
    <w:rsid w:val="00274E63"/>
    <w:rsid w:val="00277E42"/>
    <w:rsid w:val="0028255D"/>
    <w:rsid w:val="00282C9D"/>
    <w:rsid w:val="002831C1"/>
    <w:rsid w:val="00291147"/>
    <w:rsid w:val="002920B4"/>
    <w:rsid w:val="0029296C"/>
    <w:rsid w:val="0029421E"/>
    <w:rsid w:val="0029550E"/>
    <w:rsid w:val="00295F80"/>
    <w:rsid w:val="002968D2"/>
    <w:rsid w:val="002A11EF"/>
    <w:rsid w:val="002A1C6A"/>
    <w:rsid w:val="002B1E17"/>
    <w:rsid w:val="002B2E72"/>
    <w:rsid w:val="002B3E1B"/>
    <w:rsid w:val="002B7051"/>
    <w:rsid w:val="002B7203"/>
    <w:rsid w:val="002C1D4A"/>
    <w:rsid w:val="002C2DB9"/>
    <w:rsid w:val="002C300B"/>
    <w:rsid w:val="002C3D5D"/>
    <w:rsid w:val="002D39CF"/>
    <w:rsid w:val="002E4D27"/>
    <w:rsid w:val="003102CA"/>
    <w:rsid w:val="00311C89"/>
    <w:rsid w:val="0031312C"/>
    <w:rsid w:val="00320972"/>
    <w:rsid w:val="00324CCA"/>
    <w:rsid w:val="00326C94"/>
    <w:rsid w:val="00330ED4"/>
    <w:rsid w:val="00331A7A"/>
    <w:rsid w:val="00333940"/>
    <w:rsid w:val="00335937"/>
    <w:rsid w:val="00335C17"/>
    <w:rsid w:val="00350904"/>
    <w:rsid w:val="00354663"/>
    <w:rsid w:val="00361AE5"/>
    <w:rsid w:val="00361DBD"/>
    <w:rsid w:val="003662F8"/>
    <w:rsid w:val="00371B60"/>
    <w:rsid w:val="00374843"/>
    <w:rsid w:val="00375149"/>
    <w:rsid w:val="0038090B"/>
    <w:rsid w:val="003814E9"/>
    <w:rsid w:val="00382342"/>
    <w:rsid w:val="00390B60"/>
    <w:rsid w:val="0039501D"/>
    <w:rsid w:val="003A053C"/>
    <w:rsid w:val="003A75CE"/>
    <w:rsid w:val="003A7DD6"/>
    <w:rsid w:val="003B18F4"/>
    <w:rsid w:val="003B5E26"/>
    <w:rsid w:val="003B64E6"/>
    <w:rsid w:val="003B6A79"/>
    <w:rsid w:val="003C10C7"/>
    <w:rsid w:val="003C3202"/>
    <w:rsid w:val="003C4F44"/>
    <w:rsid w:val="003C7E66"/>
    <w:rsid w:val="003D1215"/>
    <w:rsid w:val="003D146F"/>
    <w:rsid w:val="003D1768"/>
    <w:rsid w:val="003D2EB7"/>
    <w:rsid w:val="003D4582"/>
    <w:rsid w:val="003D575B"/>
    <w:rsid w:val="003D5808"/>
    <w:rsid w:val="003E0A54"/>
    <w:rsid w:val="003E0E19"/>
    <w:rsid w:val="003E66AA"/>
    <w:rsid w:val="003E79C6"/>
    <w:rsid w:val="003F3C4D"/>
    <w:rsid w:val="003F44BD"/>
    <w:rsid w:val="003F49BB"/>
    <w:rsid w:val="003F4BCA"/>
    <w:rsid w:val="003F5D08"/>
    <w:rsid w:val="003F5DB5"/>
    <w:rsid w:val="00401E34"/>
    <w:rsid w:val="00406207"/>
    <w:rsid w:val="00410FE1"/>
    <w:rsid w:val="004132F9"/>
    <w:rsid w:val="004154E4"/>
    <w:rsid w:val="004158D3"/>
    <w:rsid w:val="004165FA"/>
    <w:rsid w:val="00423FD0"/>
    <w:rsid w:val="00425F18"/>
    <w:rsid w:val="00426FB5"/>
    <w:rsid w:val="00427094"/>
    <w:rsid w:val="00432663"/>
    <w:rsid w:val="00440EC2"/>
    <w:rsid w:val="00445A7A"/>
    <w:rsid w:val="004501EC"/>
    <w:rsid w:val="00450241"/>
    <w:rsid w:val="00451AF4"/>
    <w:rsid w:val="0045575C"/>
    <w:rsid w:val="00460642"/>
    <w:rsid w:val="00460A2B"/>
    <w:rsid w:val="0046122C"/>
    <w:rsid w:val="0046521D"/>
    <w:rsid w:val="00470BF9"/>
    <w:rsid w:val="00474518"/>
    <w:rsid w:val="00474CF6"/>
    <w:rsid w:val="00480480"/>
    <w:rsid w:val="0048273A"/>
    <w:rsid w:val="00493DA0"/>
    <w:rsid w:val="00495CD3"/>
    <w:rsid w:val="00495F36"/>
    <w:rsid w:val="004A1086"/>
    <w:rsid w:val="004A2D44"/>
    <w:rsid w:val="004A67EC"/>
    <w:rsid w:val="004B17F0"/>
    <w:rsid w:val="004B2857"/>
    <w:rsid w:val="004C11CD"/>
    <w:rsid w:val="004C42FE"/>
    <w:rsid w:val="004C499E"/>
    <w:rsid w:val="004C7740"/>
    <w:rsid w:val="004D0941"/>
    <w:rsid w:val="004D3353"/>
    <w:rsid w:val="004D4FDA"/>
    <w:rsid w:val="004D794A"/>
    <w:rsid w:val="004E2966"/>
    <w:rsid w:val="004F1964"/>
    <w:rsid w:val="004F32B8"/>
    <w:rsid w:val="004F4ACF"/>
    <w:rsid w:val="004F749B"/>
    <w:rsid w:val="005054E9"/>
    <w:rsid w:val="005058C6"/>
    <w:rsid w:val="0051297C"/>
    <w:rsid w:val="00514DB2"/>
    <w:rsid w:val="00517B2D"/>
    <w:rsid w:val="0052180D"/>
    <w:rsid w:val="00537598"/>
    <w:rsid w:val="0055001F"/>
    <w:rsid w:val="0055152E"/>
    <w:rsid w:val="005524C4"/>
    <w:rsid w:val="005527B0"/>
    <w:rsid w:val="005527D4"/>
    <w:rsid w:val="00552F70"/>
    <w:rsid w:val="0055648D"/>
    <w:rsid w:val="005575A8"/>
    <w:rsid w:val="00571521"/>
    <w:rsid w:val="00582008"/>
    <w:rsid w:val="005912A7"/>
    <w:rsid w:val="005939BE"/>
    <w:rsid w:val="005B57B6"/>
    <w:rsid w:val="005B7019"/>
    <w:rsid w:val="005C04C5"/>
    <w:rsid w:val="005E322B"/>
    <w:rsid w:val="005E340F"/>
    <w:rsid w:val="005E3F4E"/>
    <w:rsid w:val="005F0DEC"/>
    <w:rsid w:val="005F1DFB"/>
    <w:rsid w:val="005F3600"/>
    <w:rsid w:val="005F3622"/>
    <w:rsid w:val="005F3752"/>
    <w:rsid w:val="005F54B3"/>
    <w:rsid w:val="005F7187"/>
    <w:rsid w:val="00610E3B"/>
    <w:rsid w:val="0061376A"/>
    <w:rsid w:val="00613A6D"/>
    <w:rsid w:val="00617D90"/>
    <w:rsid w:val="00621A2B"/>
    <w:rsid w:val="006240C0"/>
    <w:rsid w:val="00625298"/>
    <w:rsid w:val="00626300"/>
    <w:rsid w:val="00630753"/>
    <w:rsid w:val="00631205"/>
    <w:rsid w:val="00633110"/>
    <w:rsid w:val="00633D7E"/>
    <w:rsid w:val="006342AA"/>
    <w:rsid w:val="006355F8"/>
    <w:rsid w:val="00652A96"/>
    <w:rsid w:val="00653C35"/>
    <w:rsid w:val="00656A1A"/>
    <w:rsid w:val="00656CF1"/>
    <w:rsid w:val="00666C3C"/>
    <w:rsid w:val="00666C7B"/>
    <w:rsid w:val="00671FC1"/>
    <w:rsid w:val="006732D5"/>
    <w:rsid w:val="00673A7C"/>
    <w:rsid w:val="006A016D"/>
    <w:rsid w:val="006A2909"/>
    <w:rsid w:val="006A52C5"/>
    <w:rsid w:val="006A68C8"/>
    <w:rsid w:val="006B09DF"/>
    <w:rsid w:val="006B172C"/>
    <w:rsid w:val="006B54FE"/>
    <w:rsid w:val="006B6B86"/>
    <w:rsid w:val="006C0A0E"/>
    <w:rsid w:val="006C3083"/>
    <w:rsid w:val="006D40FF"/>
    <w:rsid w:val="006D500E"/>
    <w:rsid w:val="006D64C6"/>
    <w:rsid w:val="006E2037"/>
    <w:rsid w:val="006F0EA9"/>
    <w:rsid w:val="006F1548"/>
    <w:rsid w:val="006F1906"/>
    <w:rsid w:val="006F5993"/>
    <w:rsid w:val="006F5DF5"/>
    <w:rsid w:val="006F7400"/>
    <w:rsid w:val="007002AC"/>
    <w:rsid w:val="00705FFE"/>
    <w:rsid w:val="00707164"/>
    <w:rsid w:val="00707BBB"/>
    <w:rsid w:val="00710790"/>
    <w:rsid w:val="00715756"/>
    <w:rsid w:val="00716BDF"/>
    <w:rsid w:val="00716C67"/>
    <w:rsid w:val="0071756E"/>
    <w:rsid w:val="00720DEF"/>
    <w:rsid w:val="0072347E"/>
    <w:rsid w:val="00723A17"/>
    <w:rsid w:val="007250AF"/>
    <w:rsid w:val="00726A56"/>
    <w:rsid w:val="00726EA9"/>
    <w:rsid w:val="0073215C"/>
    <w:rsid w:val="00743A28"/>
    <w:rsid w:val="00745159"/>
    <w:rsid w:val="00746864"/>
    <w:rsid w:val="00750159"/>
    <w:rsid w:val="00750189"/>
    <w:rsid w:val="00751E61"/>
    <w:rsid w:val="00766984"/>
    <w:rsid w:val="00773D8D"/>
    <w:rsid w:val="007757FA"/>
    <w:rsid w:val="00777769"/>
    <w:rsid w:val="00777A36"/>
    <w:rsid w:val="00782E3C"/>
    <w:rsid w:val="007831A3"/>
    <w:rsid w:val="00784F6E"/>
    <w:rsid w:val="007876F2"/>
    <w:rsid w:val="00791B67"/>
    <w:rsid w:val="00792BD1"/>
    <w:rsid w:val="00796680"/>
    <w:rsid w:val="007A3A07"/>
    <w:rsid w:val="007A3FFB"/>
    <w:rsid w:val="007A7EB8"/>
    <w:rsid w:val="007B0C81"/>
    <w:rsid w:val="007B235C"/>
    <w:rsid w:val="007C21CB"/>
    <w:rsid w:val="007C2FE3"/>
    <w:rsid w:val="007C6552"/>
    <w:rsid w:val="007C7222"/>
    <w:rsid w:val="007C7C81"/>
    <w:rsid w:val="007D6201"/>
    <w:rsid w:val="007D7C6E"/>
    <w:rsid w:val="007E0FAA"/>
    <w:rsid w:val="007F1BA6"/>
    <w:rsid w:val="008047D0"/>
    <w:rsid w:val="00805312"/>
    <w:rsid w:val="008059F7"/>
    <w:rsid w:val="00806B2B"/>
    <w:rsid w:val="00815A4D"/>
    <w:rsid w:val="0081601A"/>
    <w:rsid w:val="00823AEA"/>
    <w:rsid w:val="008251E3"/>
    <w:rsid w:val="00825E3F"/>
    <w:rsid w:val="00827C04"/>
    <w:rsid w:val="008348BF"/>
    <w:rsid w:val="00846866"/>
    <w:rsid w:val="00847269"/>
    <w:rsid w:val="008502A5"/>
    <w:rsid w:val="00851A41"/>
    <w:rsid w:val="00852BC2"/>
    <w:rsid w:val="0085768E"/>
    <w:rsid w:val="008613A0"/>
    <w:rsid w:val="00861C62"/>
    <w:rsid w:val="00864A76"/>
    <w:rsid w:val="00864B11"/>
    <w:rsid w:val="00880188"/>
    <w:rsid w:val="008866B3"/>
    <w:rsid w:val="00891EF7"/>
    <w:rsid w:val="00892A47"/>
    <w:rsid w:val="00896B39"/>
    <w:rsid w:val="008A254E"/>
    <w:rsid w:val="008B032C"/>
    <w:rsid w:val="008B05FC"/>
    <w:rsid w:val="008B3BC5"/>
    <w:rsid w:val="008B5F7C"/>
    <w:rsid w:val="008C279F"/>
    <w:rsid w:val="008C42B1"/>
    <w:rsid w:val="008D2AC3"/>
    <w:rsid w:val="008D423F"/>
    <w:rsid w:val="008D4ACD"/>
    <w:rsid w:val="008D6849"/>
    <w:rsid w:val="008E6492"/>
    <w:rsid w:val="008E7FE1"/>
    <w:rsid w:val="008F0C15"/>
    <w:rsid w:val="008F2744"/>
    <w:rsid w:val="008F2A25"/>
    <w:rsid w:val="008F5D80"/>
    <w:rsid w:val="008F7E17"/>
    <w:rsid w:val="00904AD1"/>
    <w:rsid w:val="009059BB"/>
    <w:rsid w:val="0090638A"/>
    <w:rsid w:val="00913265"/>
    <w:rsid w:val="00914F9E"/>
    <w:rsid w:val="00916F83"/>
    <w:rsid w:val="009226D2"/>
    <w:rsid w:val="00923CBC"/>
    <w:rsid w:val="00927005"/>
    <w:rsid w:val="00930248"/>
    <w:rsid w:val="00931802"/>
    <w:rsid w:val="0093649B"/>
    <w:rsid w:val="009432D4"/>
    <w:rsid w:val="009443FB"/>
    <w:rsid w:val="00944EC3"/>
    <w:rsid w:val="009479F9"/>
    <w:rsid w:val="00952BF5"/>
    <w:rsid w:val="00964889"/>
    <w:rsid w:val="009728E7"/>
    <w:rsid w:val="00974521"/>
    <w:rsid w:val="00974842"/>
    <w:rsid w:val="00982BD1"/>
    <w:rsid w:val="009868A9"/>
    <w:rsid w:val="00992538"/>
    <w:rsid w:val="00992FE4"/>
    <w:rsid w:val="0099775E"/>
    <w:rsid w:val="009A0FDF"/>
    <w:rsid w:val="009A2B29"/>
    <w:rsid w:val="009A3417"/>
    <w:rsid w:val="009A4659"/>
    <w:rsid w:val="009A4EB9"/>
    <w:rsid w:val="009B102D"/>
    <w:rsid w:val="009B105B"/>
    <w:rsid w:val="009B29A8"/>
    <w:rsid w:val="009B2F45"/>
    <w:rsid w:val="009B7B00"/>
    <w:rsid w:val="009B7D1C"/>
    <w:rsid w:val="009C21C2"/>
    <w:rsid w:val="009C3A9F"/>
    <w:rsid w:val="009C6AF6"/>
    <w:rsid w:val="009D0E82"/>
    <w:rsid w:val="009D7CA7"/>
    <w:rsid w:val="009E6308"/>
    <w:rsid w:val="009E7373"/>
    <w:rsid w:val="009E7932"/>
    <w:rsid w:val="009E7F1B"/>
    <w:rsid w:val="009F6D54"/>
    <w:rsid w:val="009F7D57"/>
    <w:rsid w:val="00A00862"/>
    <w:rsid w:val="00A02EDB"/>
    <w:rsid w:val="00A0441B"/>
    <w:rsid w:val="00A178D6"/>
    <w:rsid w:val="00A21DDE"/>
    <w:rsid w:val="00A41E9E"/>
    <w:rsid w:val="00A535EC"/>
    <w:rsid w:val="00A5491D"/>
    <w:rsid w:val="00A61FD1"/>
    <w:rsid w:val="00A63896"/>
    <w:rsid w:val="00A66B5E"/>
    <w:rsid w:val="00A74B3B"/>
    <w:rsid w:val="00A7569C"/>
    <w:rsid w:val="00A8324B"/>
    <w:rsid w:val="00A91B03"/>
    <w:rsid w:val="00A95CE0"/>
    <w:rsid w:val="00A970C5"/>
    <w:rsid w:val="00AA150A"/>
    <w:rsid w:val="00AA4CA8"/>
    <w:rsid w:val="00AB31D0"/>
    <w:rsid w:val="00AC6F75"/>
    <w:rsid w:val="00AD11D1"/>
    <w:rsid w:val="00AD5FB9"/>
    <w:rsid w:val="00AE39AA"/>
    <w:rsid w:val="00AF138B"/>
    <w:rsid w:val="00AF371A"/>
    <w:rsid w:val="00AF4237"/>
    <w:rsid w:val="00AF4B65"/>
    <w:rsid w:val="00B00158"/>
    <w:rsid w:val="00B003A6"/>
    <w:rsid w:val="00B01124"/>
    <w:rsid w:val="00B03532"/>
    <w:rsid w:val="00B0403C"/>
    <w:rsid w:val="00B065EF"/>
    <w:rsid w:val="00B100A1"/>
    <w:rsid w:val="00B102CE"/>
    <w:rsid w:val="00B10541"/>
    <w:rsid w:val="00B1119A"/>
    <w:rsid w:val="00B14838"/>
    <w:rsid w:val="00B25732"/>
    <w:rsid w:val="00B2676E"/>
    <w:rsid w:val="00B270D8"/>
    <w:rsid w:val="00B32AD3"/>
    <w:rsid w:val="00B3342E"/>
    <w:rsid w:val="00B355FC"/>
    <w:rsid w:val="00B40032"/>
    <w:rsid w:val="00B41377"/>
    <w:rsid w:val="00B41899"/>
    <w:rsid w:val="00B42623"/>
    <w:rsid w:val="00B44604"/>
    <w:rsid w:val="00B46ED6"/>
    <w:rsid w:val="00B51238"/>
    <w:rsid w:val="00B532F6"/>
    <w:rsid w:val="00B55B74"/>
    <w:rsid w:val="00B56F8B"/>
    <w:rsid w:val="00B60EA5"/>
    <w:rsid w:val="00B655CE"/>
    <w:rsid w:val="00B670BA"/>
    <w:rsid w:val="00B71B6E"/>
    <w:rsid w:val="00B74082"/>
    <w:rsid w:val="00B74839"/>
    <w:rsid w:val="00B778A0"/>
    <w:rsid w:val="00B917BF"/>
    <w:rsid w:val="00B94B24"/>
    <w:rsid w:val="00BA563E"/>
    <w:rsid w:val="00BA5D21"/>
    <w:rsid w:val="00BB262E"/>
    <w:rsid w:val="00BC455E"/>
    <w:rsid w:val="00BC7926"/>
    <w:rsid w:val="00BD0FDC"/>
    <w:rsid w:val="00BD3643"/>
    <w:rsid w:val="00BD53FF"/>
    <w:rsid w:val="00BD73B0"/>
    <w:rsid w:val="00BE313B"/>
    <w:rsid w:val="00BE3615"/>
    <w:rsid w:val="00BE5D7E"/>
    <w:rsid w:val="00BE5DD5"/>
    <w:rsid w:val="00BE706F"/>
    <w:rsid w:val="00BF1769"/>
    <w:rsid w:val="00BF4969"/>
    <w:rsid w:val="00BF6852"/>
    <w:rsid w:val="00C03537"/>
    <w:rsid w:val="00C07046"/>
    <w:rsid w:val="00C076BB"/>
    <w:rsid w:val="00C078C5"/>
    <w:rsid w:val="00C12370"/>
    <w:rsid w:val="00C16506"/>
    <w:rsid w:val="00C172A2"/>
    <w:rsid w:val="00C2237F"/>
    <w:rsid w:val="00C23D6B"/>
    <w:rsid w:val="00C26685"/>
    <w:rsid w:val="00C275BB"/>
    <w:rsid w:val="00C32AE8"/>
    <w:rsid w:val="00C37702"/>
    <w:rsid w:val="00C37DE5"/>
    <w:rsid w:val="00C418AB"/>
    <w:rsid w:val="00C41A52"/>
    <w:rsid w:val="00C426D9"/>
    <w:rsid w:val="00C44259"/>
    <w:rsid w:val="00C44460"/>
    <w:rsid w:val="00C455E0"/>
    <w:rsid w:val="00C45C39"/>
    <w:rsid w:val="00C476C0"/>
    <w:rsid w:val="00C47765"/>
    <w:rsid w:val="00C51E9F"/>
    <w:rsid w:val="00C5425C"/>
    <w:rsid w:val="00C5496E"/>
    <w:rsid w:val="00C57D67"/>
    <w:rsid w:val="00C6473C"/>
    <w:rsid w:val="00C660D0"/>
    <w:rsid w:val="00C67BF4"/>
    <w:rsid w:val="00C70151"/>
    <w:rsid w:val="00C7021A"/>
    <w:rsid w:val="00C70BDE"/>
    <w:rsid w:val="00C73F06"/>
    <w:rsid w:val="00C755BB"/>
    <w:rsid w:val="00C76461"/>
    <w:rsid w:val="00C77C3C"/>
    <w:rsid w:val="00C85983"/>
    <w:rsid w:val="00C87AA6"/>
    <w:rsid w:val="00C943B2"/>
    <w:rsid w:val="00C967BA"/>
    <w:rsid w:val="00C972C4"/>
    <w:rsid w:val="00C97402"/>
    <w:rsid w:val="00C97832"/>
    <w:rsid w:val="00CA2167"/>
    <w:rsid w:val="00CA6B57"/>
    <w:rsid w:val="00CA73CC"/>
    <w:rsid w:val="00CA7C2A"/>
    <w:rsid w:val="00CB0586"/>
    <w:rsid w:val="00CB1A93"/>
    <w:rsid w:val="00CB6624"/>
    <w:rsid w:val="00CB6B3B"/>
    <w:rsid w:val="00CB7F0D"/>
    <w:rsid w:val="00CC503E"/>
    <w:rsid w:val="00CC7512"/>
    <w:rsid w:val="00CD3213"/>
    <w:rsid w:val="00CD66C6"/>
    <w:rsid w:val="00CE63DC"/>
    <w:rsid w:val="00CE70D4"/>
    <w:rsid w:val="00CF3866"/>
    <w:rsid w:val="00D03066"/>
    <w:rsid w:val="00D10448"/>
    <w:rsid w:val="00D22E2A"/>
    <w:rsid w:val="00D26B86"/>
    <w:rsid w:val="00D33275"/>
    <w:rsid w:val="00D332A9"/>
    <w:rsid w:val="00D34672"/>
    <w:rsid w:val="00D35C4A"/>
    <w:rsid w:val="00D364FB"/>
    <w:rsid w:val="00D36C84"/>
    <w:rsid w:val="00D37249"/>
    <w:rsid w:val="00D41835"/>
    <w:rsid w:val="00D42581"/>
    <w:rsid w:val="00D42EAD"/>
    <w:rsid w:val="00D464E6"/>
    <w:rsid w:val="00D46DF1"/>
    <w:rsid w:val="00D47695"/>
    <w:rsid w:val="00D51C35"/>
    <w:rsid w:val="00D637F0"/>
    <w:rsid w:val="00D730B6"/>
    <w:rsid w:val="00D74241"/>
    <w:rsid w:val="00D825DF"/>
    <w:rsid w:val="00D827B7"/>
    <w:rsid w:val="00D82DD4"/>
    <w:rsid w:val="00D835ED"/>
    <w:rsid w:val="00D864C6"/>
    <w:rsid w:val="00D86C9D"/>
    <w:rsid w:val="00D90A21"/>
    <w:rsid w:val="00DA30E6"/>
    <w:rsid w:val="00DA793D"/>
    <w:rsid w:val="00DB24F9"/>
    <w:rsid w:val="00DC14E7"/>
    <w:rsid w:val="00DC326F"/>
    <w:rsid w:val="00DD5D6D"/>
    <w:rsid w:val="00DD73EB"/>
    <w:rsid w:val="00DD7428"/>
    <w:rsid w:val="00DE6AA5"/>
    <w:rsid w:val="00DF5469"/>
    <w:rsid w:val="00E017A7"/>
    <w:rsid w:val="00E14F4D"/>
    <w:rsid w:val="00E26FAD"/>
    <w:rsid w:val="00E3031C"/>
    <w:rsid w:val="00E34339"/>
    <w:rsid w:val="00E35225"/>
    <w:rsid w:val="00E37172"/>
    <w:rsid w:val="00E417BF"/>
    <w:rsid w:val="00E41CFF"/>
    <w:rsid w:val="00E42D53"/>
    <w:rsid w:val="00E500AF"/>
    <w:rsid w:val="00E570EA"/>
    <w:rsid w:val="00E612C0"/>
    <w:rsid w:val="00E618E3"/>
    <w:rsid w:val="00E66B8F"/>
    <w:rsid w:val="00E67C54"/>
    <w:rsid w:val="00E733D8"/>
    <w:rsid w:val="00E73D4B"/>
    <w:rsid w:val="00E743C1"/>
    <w:rsid w:val="00E74AD9"/>
    <w:rsid w:val="00E750F2"/>
    <w:rsid w:val="00E7533D"/>
    <w:rsid w:val="00E75818"/>
    <w:rsid w:val="00E76D1E"/>
    <w:rsid w:val="00E77B8A"/>
    <w:rsid w:val="00E80417"/>
    <w:rsid w:val="00E82D08"/>
    <w:rsid w:val="00E843AB"/>
    <w:rsid w:val="00E84781"/>
    <w:rsid w:val="00E86324"/>
    <w:rsid w:val="00E93BC5"/>
    <w:rsid w:val="00E947D1"/>
    <w:rsid w:val="00EB2590"/>
    <w:rsid w:val="00EC0375"/>
    <w:rsid w:val="00EC1131"/>
    <w:rsid w:val="00EC25EC"/>
    <w:rsid w:val="00EC2CA3"/>
    <w:rsid w:val="00ED0DDE"/>
    <w:rsid w:val="00ED1B85"/>
    <w:rsid w:val="00ED414B"/>
    <w:rsid w:val="00ED63FB"/>
    <w:rsid w:val="00EE05FD"/>
    <w:rsid w:val="00EE3418"/>
    <w:rsid w:val="00EF0B8C"/>
    <w:rsid w:val="00EF0F88"/>
    <w:rsid w:val="00EF1BE0"/>
    <w:rsid w:val="00F01CAD"/>
    <w:rsid w:val="00F1056F"/>
    <w:rsid w:val="00F12096"/>
    <w:rsid w:val="00F2361C"/>
    <w:rsid w:val="00F267FE"/>
    <w:rsid w:val="00F314D1"/>
    <w:rsid w:val="00F334A1"/>
    <w:rsid w:val="00F53917"/>
    <w:rsid w:val="00F5658C"/>
    <w:rsid w:val="00F60701"/>
    <w:rsid w:val="00F63687"/>
    <w:rsid w:val="00F706AC"/>
    <w:rsid w:val="00F7142B"/>
    <w:rsid w:val="00F722CD"/>
    <w:rsid w:val="00F732B7"/>
    <w:rsid w:val="00F767C8"/>
    <w:rsid w:val="00F817A4"/>
    <w:rsid w:val="00F827FD"/>
    <w:rsid w:val="00F864A8"/>
    <w:rsid w:val="00F90AAE"/>
    <w:rsid w:val="00F9146F"/>
    <w:rsid w:val="00F94598"/>
    <w:rsid w:val="00F9647C"/>
    <w:rsid w:val="00F9663B"/>
    <w:rsid w:val="00F96DCE"/>
    <w:rsid w:val="00FA3DA2"/>
    <w:rsid w:val="00FA5B37"/>
    <w:rsid w:val="00FA6A80"/>
    <w:rsid w:val="00FA6DED"/>
    <w:rsid w:val="00FB58B2"/>
    <w:rsid w:val="00FC1DFB"/>
    <w:rsid w:val="00FC250F"/>
    <w:rsid w:val="00FD27A5"/>
    <w:rsid w:val="00FD2D7E"/>
    <w:rsid w:val="00FD3527"/>
    <w:rsid w:val="00FD62D1"/>
    <w:rsid w:val="00FD6383"/>
    <w:rsid w:val="00FE1C16"/>
    <w:rsid w:val="00FE1D5C"/>
    <w:rsid w:val="00FE5F96"/>
    <w:rsid w:val="00FF006E"/>
    <w:rsid w:val="00FF618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F9BF5"/>
  <w15:docId w15:val="{4EB8BDB1-8A81-554C-B439-5679433F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5ED"/>
    <w:pPr>
      <w:spacing w:after="0" w:line="240" w:lineRule="auto"/>
    </w:pPr>
    <w:rPr>
      <w:rFonts w:ascii="Times New Roman" w:eastAsia="Times New Roman" w:hAnsi="Times New Roman" w:cs="Times New Roman"/>
      <w:sz w:val="24"/>
      <w:szCs w:val="24"/>
      <w:lang w:eastAsia="es-ES_tradnl"/>
    </w:rPr>
  </w:style>
  <w:style w:type="paragraph" w:styleId="Ttulo3">
    <w:name w:val="heading 3"/>
    <w:basedOn w:val="Normal"/>
    <w:next w:val="Normal"/>
    <w:link w:val="Ttulo3Car"/>
    <w:uiPriority w:val="9"/>
    <w:semiHidden/>
    <w:unhideWhenUsed/>
    <w:qFormat/>
    <w:rsid w:val="00E017A7"/>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spacing w:after="200" w:line="276"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C660D0"/>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562B1"/>
  </w:style>
  <w:style w:type="character" w:styleId="Hipervnculo">
    <w:name w:val="Hyperlink"/>
    <w:basedOn w:val="Fuentedeprrafopredeter"/>
    <w:uiPriority w:val="99"/>
    <w:unhideWhenUsed/>
    <w:rsid w:val="002B1E17"/>
    <w:rPr>
      <w:color w:val="0000FF" w:themeColor="hyperlink"/>
      <w:u w:val="single"/>
    </w:rPr>
  </w:style>
  <w:style w:type="character" w:customStyle="1" w:styleId="Mencinsinresolver1">
    <w:name w:val="Mención sin resolver1"/>
    <w:basedOn w:val="Fuentedeprrafopredeter"/>
    <w:uiPriority w:val="99"/>
    <w:semiHidden/>
    <w:unhideWhenUsed/>
    <w:rsid w:val="00C47765"/>
    <w:rPr>
      <w:color w:val="605E5C"/>
      <w:shd w:val="clear" w:color="auto" w:fill="E1DFDD"/>
    </w:rPr>
  </w:style>
  <w:style w:type="character" w:styleId="Hipervnculovisitado">
    <w:name w:val="FollowedHyperlink"/>
    <w:basedOn w:val="Fuentedeprrafopredeter"/>
    <w:uiPriority w:val="99"/>
    <w:semiHidden/>
    <w:unhideWhenUsed/>
    <w:rsid w:val="00F334A1"/>
    <w:rPr>
      <w:color w:val="800080" w:themeColor="followedHyperlink"/>
      <w:u w:val="single"/>
    </w:rPr>
  </w:style>
  <w:style w:type="character" w:customStyle="1" w:styleId="Mencinsinresolver2">
    <w:name w:val="Mención sin resolver2"/>
    <w:basedOn w:val="Fuentedeprrafopredeter"/>
    <w:uiPriority w:val="99"/>
    <w:semiHidden/>
    <w:unhideWhenUsed/>
    <w:rsid w:val="00C5425C"/>
    <w:rPr>
      <w:color w:val="605E5C"/>
      <w:shd w:val="clear" w:color="auto" w:fill="E1DFDD"/>
    </w:rPr>
  </w:style>
  <w:style w:type="paragraph" w:styleId="Textonotapie">
    <w:name w:val="footnote text"/>
    <w:basedOn w:val="Normal"/>
    <w:link w:val="TextonotapieCar"/>
    <w:uiPriority w:val="99"/>
    <w:semiHidden/>
    <w:unhideWhenUsed/>
    <w:rsid w:val="00C5425C"/>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C5425C"/>
    <w:rPr>
      <w:sz w:val="20"/>
      <w:szCs w:val="20"/>
    </w:rPr>
  </w:style>
  <w:style w:type="character" w:styleId="Refdenotaalpie">
    <w:name w:val="footnote reference"/>
    <w:basedOn w:val="Fuentedeprrafopredeter"/>
    <w:uiPriority w:val="99"/>
    <w:semiHidden/>
    <w:unhideWhenUsed/>
    <w:rsid w:val="00C5425C"/>
    <w:rPr>
      <w:vertAlign w:val="superscript"/>
    </w:rPr>
  </w:style>
  <w:style w:type="character" w:styleId="Mencinsinresolver">
    <w:name w:val="Unresolved Mention"/>
    <w:basedOn w:val="Fuentedeprrafopredeter"/>
    <w:uiPriority w:val="99"/>
    <w:semiHidden/>
    <w:unhideWhenUsed/>
    <w:rsid w:val="006240C0"/>
    <w:rPr>
      <w:color w:val="605E5C"/>
      <w:shd w:val="clear" w:color="auto" w:fill="E1DFDD"/>
    </w:rPr>
  </w:style>
  <w:style w:type="character" w:customStyle="1" w:styleId="Ttulo3Car">
    <w:name w:val="Título 3 Car"/>
    <w:basedOn w:val="Fuentedeprrafopredeter"/>
    <w:link w:val="Ttulo3"/>
    <w:uiPriority w:val="9"/>
    <w:semiHidden/>
    <w:rsid w:val="00E017A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13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198">
      <w:bodyDiv w:val="1"/>
      <w:marLeft w:val="0"/>
      <w:marRight w:val="0"/>
      <w:marTop w:val="0"/>
      <w:marBottom w:val="0"/>
      <w:divBdr>
        <w:top w:val="none" w:sz="0" w:space="0" w:color="auto"/>
        <w:left w:val="none" w:sz="0" w:space="0" w:color="auto"/>
        <w:bottom w:val="none" w:sz="0" w:space="0" w:color="auto"/>
        <w:right w:val="none" w:sz="0" w:space="0" w:color="auto"/>
      </w:divBdr>
    </w:div>
    <w:div w:id="12079837">
      <w:bodyDiv w:val="1"/>
      <w:marLeft w:val="0"/>
      <w:marRight w:val="0"/>
      <w:marTop w:val="0"/>
      <w:marBottom w:val="0"/>
      <w:divBdr>
        <w:top w:val="none" w:sz="0" w:space="0" w:color="auto"/>
        <w:left w:val="none" w:sz="0" w:space="0" w:color="auto"/>
        <w:bottom w:val="none" w:sz="0" w:space="0" w:color="auto"/>
        <w:right w:val="none" w:sz="0" w:space="0" w:color="auto"/>
      </w:divBdr>
    </w:div>
    <w:div w:id="23865775">
      <w:bodyDiv w:val="1"/>
      <w:marLeft w:val="0"/>
      <w:marRight w:val="0"/>
      <w:marTop w:val="0"/>
      <w:marBottom w:val="0"/>
      <w:divBdr>
        <w:top w:val="none" w:sz="0" w:space="0" w:color="auto"/>
        <w:left w:val="none" w:sz="0" w:space="0" w:color="auto"/>
        <w:bottom w:val="none" w:sz="0" w:space="0" w:color="auto"/>
        <w:right w:val="none" w:sz="0" w:space="0" w:color="auto"/>
      </w:divBdr>
    </w:div>
    <w:div w:id="25059497">
      <w:bodyDiv w:val="1"/>
      <w:marLeft w:val="0"/>
      <w:marRight w:val="0"/>
      <w:marTop w:val="0"/>
      <w:marBottom w:val="0"/>
      <w:divBdr>
        <w:top w:val="none" w:sz="0" w:space="0" w:color="auto"/>
        <w:left w:val="none" w:sz="0" w:space="0" w:color="auto"/>
        <w:bottom w:val="none" w:sz="0" w:space="0" w:color="auto"/>
        <w:right w:val="none" w:sz="0" w:space="0" w:color="auto"/>
      </w:divBdr>
    </w:div>
    <w:div w:id="29691072">
      <w:bodyDiv w:val="1"/>
      <w:marLeft w:val="0"/>
      <w:marRight w:val="0"/>
      <w:marTop w:val="0"/>
      <w:marBottom w:val="0"/>
      <w:divBdr>
        <w:top w:val="none" w:sz="0" w:space="0" w:color="auto"/>
        <w:left w:val="none" w:sz="0" w:space="0" w:color="auto"/>
        <w:bottom w:val="none" w:sz="0" w:space="0" w:color="auto"/>
        <w:right w:val="none" w:sz="0" w:space="0" w:color="auto"/>
      </w:divBdr>
    </w:div>
    <w:div w:id="35013825">
      <w:bodyDiv w:val="1"/>
      <w:marLeft w:val="0"/>
      <w:marRight w:val="0"/>
      <w:marTop w:val="0"/>
      <w:marBottom w:val="0"/>
      <w:divBdr>
        <w:top w:val="none" w:sz="0" w:space="0" w:color="auto"/>
        <w:left w:val="none" w:sz="0" w:space="0" w:color="auto"/>
        <w:bottom w:val="none" w:sz="0" w:space="0" w:color="auto"/>
        <w:right w:val="none" w:sz="0" w:space="0" w:color="auto"/>
      </w:divBdr>
    </w:div>
    <w:div w:id="41099239">
      <w:bodyDiv w:val="1"/>
      <w:marLeft w:val="0"/>
      <w:marRight w:val="0"/>
      <w:marTop w:val="0"/>
      <w:marBottom w:val="0"/>
      <w:divBdr>
        <w:top w:val="none" w:sz="0" w:space="0" w:color="auto"/>
        <w:left w:val="none" w:sz="0" w:space="0" w:color="auto"/>
        <w:bottom w:val="none" w:sz="0" w:space="0" w:color="auto"/>
        <w:right w:val="none" w:sz="0" w:space="0" w:color="auto"/>
      </w:divBdr>
    </w:div>
    <w:div w:id="41904112">
      <w:bodyDiv w:val="1"/>
      <w:marLeft w:val="0"/>
      <w:marRight w:val="0"/>
      <w:marTop w:val="0"/>
      <w:marBottom w:val="0"/>
      <w:divBdr>
        <w:top w:val="none" w:sz="0" w:space="0" w:color="auto"/>
        <w:left w:val="none" w:sz="0" w:space="0" w:color="auto"/>
        <w:bottom w:val="none" w:sz="0" w:space="0" w:color="auto"/>
        <w:right w:val="none" w:sz="0" w:space="0" w:color="auto"/>
      </w:divBdr>
      <w:divsChild>
        <w:div w:id="1677994020">
          <w:marLeft w:val="0"/>
          <w:marRight w:val="0"/>
          <w:marTop w:val="0"/>
          <w:marBottom w:val="0"/>
          <w:divBdr>
            <w:top w:val="none" w:sz="0" w:space="0" w:color="auto"/>
            <w:left w:val="none" w:sz="0" w:space="0" w:color="auto"/>
            <w:bottom w:val="none" w:sz="0" w:space="0" w:color="auto"/>
            <w:right w:val="none" w:sz="0" w:space="0" w:color="auto"/>
          </w:divBdr>
          <w:divsChild>
            <w:div w:id="1142387205">
              <w:marLeft w:val="0"/>
              <w:marRight w:val="0"/>
              <w:marTop w:val="0"/>
              <w:marBottom w:val="0"/>
              <w:divBdr>
                <w:top w:val="none" w:sz="0" w:space="0" w:color="auto"/>
                <w:left w:val="none" w:sz="0" w:space="0" w:color="auto"/>
                <w:bottom w:val="none" w:sz="0" w:space="0" w:color="auto"/>
                <w:right w:val="none" w:sz="0" w:space="0" w:color="auto"/>
              </w:divBdr>
              <w:divsChild>
                <w:div w:id="1794904544">
                  <w:marLeft w:val="0"/>
                  <w:marRight w:val="0"/>
                  <w:marTop w:val="0"/>
                  <w:marBottom w:val="0"/>
                  <w:divBdr>
                    <w:top w:val="none" w:sz="0" w:space="0" w:color="auto"/>
                    <w:left w:val="none" w:sz="0" w:space="0" w:color="auto"/>
                    <w:bottom w:val="none" w:sz="0" w:space="0" w:color="auto"/>
                    <w:right w:val="none" w:sz="0" w:space="0" w:color="auto"/>
                  </w:divBdr>
                  <w:divsChild>
                    <w:div w:id="510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1527">
      <w:bodyDiv w:val="1"/>
      <w:marLeft w:val="0"/>
      <w:marRight w:val="0"/>
      <w:marTop w:val="0"/>
      <w:marBottom w:val="0"/>
      <w:divBdr>
        <w:top w:val="none" w:sz="0" w:space="0" w:color="auto"/>
        <w:left w:val="none" w:sz="0" w:space="0" w:color="auto"/>
        <w:bottom w:val="none" w:sz="0" w:space="0" w:color="auto"/>
        <w:right w:val="none" w:sz="0" w:space="0" w:color="auto"/>
      </w:divBdr>
    </w:div>
    <w:div w:id="50154982">
      <w:bodyDiv w:val="1"/>
      <w:marLeft w:val="0"/>
      <w:marRight w:val="0"/>
      <w:marTop w:val="0"/>
      <w:marBottom w:val="0"/>
      <w:divBdr>
        <w:top w:val="none" w:sz="0" w:space="0" w:color="auto"/>
        <w:left w:val="none" w:sz="0" w:space="0" w:color="auto"/>
        <w:bottom w:val="none" w:sz="0" w:space="0" w:color="auto"/>
        <w:right w:val="none" w:sz="0" w:space="0" w:color="auto"/>
      </w:divBdr>
    </w:div>
    <w:div w:id="53894008">
      <w:bodyDiv w:val="1"/>
      <w:marLeft w:val="0"/>
      <w:marRight w:val="0"/>
      <w:marTop w:val="0"/>
      <w:marBottom w:val="0"/>
      <w:divBdr>
        <w:top w:val="none" w:sz="0" w:space="0" w:color="auto"/>
        <w:left w:val="none" w:sz="0" w:space="0" w:color="auto"/>
        <w:bottom w:val="none" w:sz="0" w:space="0" w:color="auto"/>
        <w:right w:val="none" w:sz="0" w:space="0" w:color="auto"/>
      </w:divBdr>
      <w:divsChild>
        <w:div w:id="747382009">
          <w:marLeft w:val="0"/>
          <w:marRight w:val="0"/>
          <w:marTop w:val="0"/>
          <w:marBottom w:val="0"/>
          <w:divBdr>
            <w:top w:val="none" w:sz="0" w:space="0" w:color="auto"/>
            <w:left w:val="none" w:sz="0" w:space="0" w:color="auto"/>
            <w:bottom w:val="none" w:sz="0" w:space="0" w:color="auto"/>
            <w:right w:val="none" w:sz="0" w:space="0" w:color="auto"/>
          </w:divBdr>
        </w:div>
      </w:divsChild>
    </w:div>
    <w:div w:id="60105869">
      <w:bodyDiv w:val="1"/>
      <w:marLeft w:val="0"/>
      <w:marRight w:val="0"/>
      <w:marTop w:val="0"/>
      <w:marBottom w:val="0"/>
      <w:divBdr>
        <w:top w:val="none" w:sz="0" w:space="0" w:color="auto"/>
        <w:left w:val="none" w:sz="0" w:space="0" w:color="auto"/>
        <w:bottom w:val="none" w:sz="0" w:space="0" w:color="auto"/>
        <w:right w:val="none" w:sz="0" w:space="0" w:color="auto"/>
      </w:divBdr>
    </w:div>
    <w:div w:id="66651212">
      <w:bodyDiv w:val="1"/>
      <w:marLeft w:val="0"/>
      <w:marRight w:val="0"/>
      <w:marTop w:val="0"/>
      <w:marBottom w:val="0"/>
      <w:divBdr>
        <w:top w:val="none" w:sz="0" w:space="0" w:color="auto"/>
        <w:left w:val="none" w:sz="0" w:space="0" w:color="auto"/>
        <w:bottom w:val="none" w:sz="0" w:space="0" w:color="auto"/>
        <w:right w:val="none" w:sz="0" w:space="0" w:color="auto"/>
      </w:divBdr>
    </w:div>
    <w:div w:id="73403755">
      <w:bodyDiv w:val="1"/>
      <w:marLeft w:val="0"/>
      <w:marRight w:val="0"/>
      <w:marTop w:val="0"/>
      <w:marBottom w:val="0"/>
      <w:divBdr>
        <w:top w:val="none" w:sz="0" w:space="0" w:color="auto"/>
        <w:left w:val="none" w:sz="0" w:space="0" w:color="auto"/>
        <w:bottom w:val="none" w:sz="0" w:space="0" w:color="auto"/>
        <w:right w:val="none" w:sz="0" w:space="0" w:color="auto"/>
      </w:divBdr>
    </w:div>
    <w:div w:id="76289904">
      <w:bodyDiv w:val="1"/>
      <w:marLeft w:val="0"/>
      <w:marRight w:val="0"/>
      <w:marTop w:val="0"/>
      <w:marBottom w:val="0"/>
      <w:divBdr>
        <w:top w:val="none" w:sz="0" w:space="0" w:color="auto"/>
        <w:left w:val="none" w:sz="0" w:space="0" w:color="auto"/>
        <w:bottom w:val="none" w:sz="0" w:space="0" w:color="auto"/>
        <w:right w:val="none" w:sz="0" w:space="0" w:color="auto"/>
      </w:divBdr>
    </w:div>
    <w:div w:id="93940625">
      <w:bodyDiv w:val="1"/>
      <w:marLeft w:val="0"/>
      <w:marRight w:val="0"/>
      <w:marTop w:val="0"/>
      <w:marBottom w:val="0"/>
      <w:divBdr>
        <w:top w:val="none" w:sz="0" w:space="0" w:color="auto"/>
        <w:left w:val="none" w:sz="0" w:space="0" w:color="auto"/>
        <w:bottom w:val="none" w:sz="0" w:space="0" w:color="auto"/>
        <w:right w:val="none" w:sz="0" w:space="0" w:color="auto"/>
      </w:divBdr>
      <w:divsChild>
        <w:div w:id="1430078842">
          <w:marLeft w:val="0"/>
          <w:marRight w:val="0"/>
          <w:marTop w:val="0"/>
          <w:marBottom w:val="0"/>
          <w:divBdr>
            <w:top w:val="none" w:sz="0" w:space="0" w:color="auto"/>
            <w:left w:val="none" w:sz="0" w:space="0" w:color="auto"/>
            <w:bottom w:val="none" w:sz="0" w:space="0" w:color="auto"/>
            <w:right w:val="none" w:sz="0" w:space="0" w:color="auto"/>
          </w:divBdr>
          <w:divsChild>
            <w:div w:id="65299148">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106824522">
      <w:bodyDiv w:val="1"/>
      <w:marLeft w:val="0"/>
      <w:marRight w:val="0"/>
      <w:marTop w:val="0"/>
      <w:marBottom w:val="0"/>
      <w:divBdr>
        <w:top w:val="none" w:sz="0" w:space="0" w:color="auto"/>
        <w:left w:val="none" w:sz="0" w:space="0" w:color="auto"/>
        <w:bottom w:val="none" w:sz="0" w:space="0" w:color="auto"/>
        <w:right w:val="none" w:sz="0" w:space="0" w:color="auto"/>
      </w:divBdr>
    </w:div>
    <w:div w:id="111287261">
      <w:bodyDiv w:val="1"/>
      <w:marLeft w:val="0"/>
      <w:marRight w:val="0"/>
      <w:marTop w:val="0"/>
      <w:marBottom w:val="0"/>
      <w:divBdr>
        <w:top w:val="none" w:sz="0" w:space="0" w:color="auto"/>
        <w:left w:val="none" w:sz="0" w:space="0" w:color="auto"/>
        <w:bottom w:val="none" w:sz="0" w:space="0" w:color="auto"/>
        <w:right w:val="none" w:sz="0" w:space="0" w:color="auto"/>
      </w:divBdr>
    </w:div>
    <w:div w:id="120390313">
      <w:bodyDiv w:val="1"/>
      <w:marLeft w:val="0"/>
      <w:marRight w:val="0"/>
      <w:marTop w:val="0"/>
      <w:marBottom w:val="0"/>
      <w:divBdr>
        <w:top w:val="none" w:sz="0" w:space="0" w:color="auto"/>
        <w:left w:val="none" w:sz="0" w:space="0" w:color="auto"/>
        <w:bottom w:val="none" w:sz="0" w:space="0" w:color="auto"/>
        <w:right w:val="none" w:sz="0" w:space="0" w:color="auto"/>
      </w:divBdr>
    </w:div>
    <w:div w:id="128398917">
      <w:bodyDiv w:val="1"/>
      <w:marLeft w:val="0"/>
      <w:marRight w:val="0"/>
      <w:marTop w:val="0"/>
      <w:marBottom w:val="0"/>
      <w:divBdr>
        <w:top w:val="none" w:sz="0" w:space="0" w:color="auto"/>
        <w:left w:val="none" w:sz="0" w:space="0" w:color="auto"/>
        <w:bottom w:val="none" w:sz="0" w:space="0" w:color="auto"/>
        <w:right w:val="none" w:sz="0" w:space="0" w:color="auto"/>
      </w:divBdr>
    </w:div>
    <w:div w:id="137114601">
      <w:bodyDiv w:val="1"/>
      <w:marLeft w:val="0"/>
      <w:marRight w:val="0"/>
      <w:marTop w:val="0"/>
      <w:marBottom w:val="0"/>
      <w:divBdr>
        <w:top w:val="none" w:sz="0" w:space="0" w:color="auto"/>
        <w:left w:val="none" w:sz="0" w:space="0" w:color="auto"/>
        <w:bottom w:val="none" w:sz="0" w:space="0" w:color="auto"/>
        <w:right w:val="none" w:sz="0" w:space="0" w:color="auto"/>
      </w:divBdr>
    </w:div>
    <w:div w:id="156462706">
      <w:bodyDiv w:val="1"/>
      <w:marLeft w:val="0"/>
      <w:marRight w:val="0"/>
      <w:marTop w:val="0"/>
      <w:marBottom w:val="0"/>
      <w:divBdr>
        <w:top w:val="none" w:sz="0" w:space="0" w:color="auto"/>
        <w:left w:val="none" w:sz="0" w:space="0" w:color="auto"/>
        <w:bottom w:val="none" w:sz="0" w:space="0" w:color="auto"/>
        <w:right w:val="none" w:sz="0" w:space="0" w:color="auto"/>
      </w:divBdr>
    </w:div>
    <w:div w:id="183905336">
      <w:bodyDiv w:val="1"/>
      <w:marLeft w:val="0"/>
      <w:marRight w:val="0"/>
      <w:marTop w:val="0"/>
      <w:marBottom w:val="0"/>
      <w:divBdr>
        <w:top w:val="none" w:sz="0" w:space="0" w:color="auto"/>
        <w:left w:val="none" w:sz="0" w:space="0" w:color="auto"/>
        <w:bottom w:val="none" w:sz="0" w:space="0" w:color="auto"/>
        <w:right w:val="none" w:sz="0" w:space="0" w:color="auto"/>
      </w:divBdr>
    </w:div>
    <w:div w:id="185752207">
      <w:bodyDiv w:val="1"/>
      <w:marLeft w:val="0"/>
      <w:marRight w:val="0"/>
      <w:marTop w:val="0"/>
      <w:marBottom w:val="0"/>
      <w:divBdr>
        <w:top w:val="none" w:sz="0" w:space="0" w:color="auto"/>
        <w:left w:val="none" w:sz="0" w:space="0" w:color="auto"/>
        <w:bottom w:val="none" w:sz="0" w:space="0" w:color="auto"/>
        <w:right w:val="none" w:sz="0" w:space="0" w:color="auto"/>
      </w:divBdr>
    </w:div>
    <w:div w:id="200828647">
      <w:bodyDiv w:val="1"/>
      <w:marLeft w:val="0"/>
      <w:marRight w:val="0"/>
      <w:marTop w:val="0"/>
      <w:marBottom w:val="0"/>
      <w:divBdr>
        <w:top w:val="none" w:sz="0" w:space="0" w:color="auto"/>
        <w:left w:val="none" w:sz="0" w:space="0" w:color="auto"/>
        <w:bottom w:val="none" w:sz="0" w:space="0" w:color="auto"/>
        <w:right w:val="none" w:sz="0" w:space="0" w:color="auto"/>
      </w:divBdr>
    </w:div>
    <w:div w:id="201137454">
      <w:bodyDiv w:val="1"/>
      <w:marLeft w:val="0"/>
      <w:marRight w:val="0"/>
      <w:marTop w:val="0"/>
      <w:marBottom w:val="0"/>
      <w:divBdr>
        <w:top w:val="none" w:sz="0" w:space="0" w:color="auto"/>
        <w:left w:val="none" w:sz="0" w:space="0" w:color="auto"/>
        <w:bottom w:val="none" w:sz="0" w:space="0" w:color="auto"/>
        <w:right w:val="none" w:sz="0" w:space="0" w:color="auto"/>
      </w:divBdr>
    </w:div>
    <w:div w:id="203367826">
      <w:bodyDiv w:val="1"/>
      <w:marLeft w:val="0"/>
      <w:marRight w:val="0"/>
      <w:marTop w:val="0"/>
      <w:marBottom w:val="0"/>
      <w:divBdr>
        <w:top w:val="none" w:sz="0" w:space="0" w:color="auto"/>
        <w:left w:val="none" w:sz="0" w:space="0" w:color="auto"/>
        <w:bottom w:val="none" w:sz="0" w:space="0" w:color="auto"/>
        <w:right w:val="none" w:sz="0" w:space="0" w:color="auto"/>
      </w:divBdr>
    </w:div>
    <w:div w:id="208344502">
      <w:bodyDiv w:val="1"/>
      <w:marLeft w:val="0"/>
      <w:marRight w:val="0"/>
      <w:marTop w:val="0"/>
      <w:marBottom w:val="0"/>
      <w:divBdr>
        <w:top w:val="none" w:sz="0" w:space="0" w:color="auto"/>
        <w:left w:val="none" w:sz="0" w:space="0" w:color="auto"/>
        <w:bottom w:val="none" w:sz="0" w:space="0" w:color="auto"/>
        <w:right w:val="none" w:sz="0" w:space="0" w:color="auto"/>
      </w:divBdr>
    </w:div>
    <w:div w:id="210269313">
      <w:bodyDiv w:val="1"/>
      <w:marLeft w:val="0"/>
      <w:marRight w:val="0"/>
      <w:marTop w:val="0"/>
      <w:marBottom w:val="0"/>
      <w:divBdr>
        <w:top w:val="none" w:sz="0" w:space="0" w:color="auto"/>
        <w:left w:val="none" w:sz="0" w:space="0" w:color="auto"/>
        <w:bottom w:val="none" w:sz="0" w:space="0" w:color="auto"/>
        <w:right w:val="none" w:sz="0" w:space="0" w:color="auto"/>
      </w:divBdr>
    </w:div>
    <w:div w:id="212037633">
      <w:bodyDiv w:val="1"/>
      <w:marLeft w:val="0"/>
      <w:marRight w:val="0"/>
      <w:marTop w:val="0"/>
      <w:marBottom w:val="0"/>
      <w:divBdr>
        <w:top w:val="none" w:sz="0" w:space="0" w:color="auto"/>
        <w:left w:val="none" w:sz="0" w:space="0" w:color="auto"/>
        <w:bottom w:val="none" w:sz="0" w:space="0" w:color="auto"/>
        <w:right w:val="none" w:sz="0" w:space="0" w:color="auto"/>
      </w:divBdr>
    </w:div>
    <w:div w:id="214464490">
      <w:bodyDiv w:val="1"/>
      <w:marLeft w:val="0"/>
      <w:marRight w:val="0"/>
      <w:marTop w:val="0"/>
      <w:marBottom w:val="0"/>
      <w:divBdr>
        <w:top w:val="none" w:sz="0" w:space="0" w:color="auto"/>
        <w:left w:val="none" w:sz="0" w:space="0" w:color="auto"/>
        <w:bottom w:val="none" w:sz="0" w:space="0" w:color="auto"/>
        <w:right w:val="none" w:sz="0" w:space="0" w:color="auto"/>
      </w:divBdr>
    </w:div>
    <w:div w:id="217129846">
      <w:bodyDiv w:val="1"/>
      <w:marLeft w:val="0"/>
      <w:marRight w:val="0"/>
      <w:marTop w:val="0"/>
      <w:marBottom w:val="0"/>
      <w:divBdr>
        <w:top w:val="none" w:sz="0" w:space="0" w:color="auto"/>
        <w:left w:val="none" w:sz="0" w:space="0" w:color="auto"/>
        <w:bottom w:val="none" w:sz="0" w:space="0" w:color="auto"/>
        <w:right w:val="none" w:sz="0" w:space="0" w:color="auto"/>
      </w:divBdr>
    </w:div>
    <w:div w:id="222638825">
      <w:bodyDiv w:val="1"/>
      <w:marLeft w:val="0"/>
      <w:marRight w:val="0"/>
      <w:marTop w:val="0"/>
      <w:marBottom w:val="0"/>
      <w:divBdr>
        <w:top w:val="none" w:sz="0" w:space="0" w:color="auto"/>
        <w:left w:val="none" w:sz="0" w:space="0" w:color="auto"/>
        <w:bottom w:val="none" w:sz="0" w:space="0" w:color="auto"/>
        <w:right w:val="none" w:sz="0" w:space="0" w:color="auto"/>
      </w:divBdr>
    </w:div>
    <w:div w:id="227495142">
      <w:bodyDiv w:val="1"/>
      <w:marLeft w:val="0"/>
      <w:marRight w:val="0"/>
      <w:marTop w:val="0"/>
      <w:marBottom w:val="0"/>
      <w:divBdr>
        <w:top w:val="none" w:sz="0" w:space="0" w:color="auto"/>
        <w:left w:val="none" w:sz="0" w:space="0" w:color="auto"/>
        <w:bottom w:val="none" w:sz="0" w:space="0" w:color="auto"/>
        <w:right w:val="none" w:sz="0" w:space="0" w:color="auto"/>
      </w:divBdr>
    </w:div>
    <w:div w:id="234780553">
      <w:bodyDiv w:val="1"/>
      <w:marLeft w:val="0"/>
      <w:marRight w:val="0"/>
      <w:marTop w:val="0"/>
      <w:marBottom w:val="0"/>
      <w:divBdr>
        <w:top w:val="none" w:sz="0" w:space="0" w:color="auto"/>
        <w:left w:val="none" w:sz="0" w:space="0" w:color="auto"/>
        <w:bottom w:val="none" w:sz="0" w:space="0" w:color="auto"/>
        <w:right w:val="none" w:sz="0" w:space="0" w:color="auto"/>
      </w:divBdr>
    </w:div>
    <w:div w:id="235210723">
      <w:bodyDiv w:val="1"/>
      <w:marLeft w:val="0"/>
      <w:marRight w:val="0"/>
      <w:marTop w:val="0"/>
      <w:marBottom w:val="0"/>
      <w:divBdr>
        <w:top w:val="none" w:sz="0" w:space="0" w:color="auto"/>
        <w:left w:val="none" w:sz="0" w:space="0" w:color="auto"/>
        <w:bottom w:val="none" w:sz="0" w:space="0" w:color="auto"/>
        <w:right w:val="none" w:sz="0" w:space="0" w:color="auto"/>
      </w:divBdr>
    </w:div>
    <w:div w:id="237640859">
      <w:bodyDiv w:val="1"/>
      <w:marLeft w:val="0"/>
      <w:marRight w:val="0"/>
      <w:marTop w:val="0"/>
      <w:marBottom w:val="0"/>
      <w:divBdr>
        <w:top w:val="none" w:sz="0" w:space="0" w:color="auto"/>
        <w:left w:val="none" w:sz="0" w:space="0" w:color="auto"/>
        <w:bottom w:val="none" w:sz="0" w:space="0" w:color="auto"/>
        <w:right w:val="none" w:sz="0" w:space="0" w:color="auto"/>
      </w:divBdr>
    </w:div>
    <w:div w:id="246695220">
      <w:bodyDiv w:val="1"/>
      <w:marLeft w:val="0"/>
      <w:marRight w:val="0"/>
      <w:marTop w:val="0"/>
      <w:marBottom w:val="0"/>
      <w:divBdr>
        <w:top w:val="none" w:sz="0" w:space="0" w:color="auto"/>
        <w:left w:val="none" w:sz="0" w:space="0" w:color="auto"/>
        <w:bottom w:val="none" w:sz="0" w:space="0" w:color="auto"/>
        <w:right w:val="none" w:sz="0" w:space="0" w:color="auto"/>
      </w:divBdr>
    </w:div>
    <w:div w:id="250630130">
      <w:bodyDiv w:val="1"/>
      <w:marLeft w:val="0"/>
      <w:marRight w:val="0"/>
      <w:marTop w:val="0"/>
      <w:marBottom w:val="0"/>
      <w:divBdr>
        <w:top w:val="none" w:sz="0" w:space="0" w:color="auto"/>
        <w:left w:val="none" w:sz="0" w:space="0" w:color="auto"/>
        <w:bottom w:val="none" w:sz="0" w:space="0" w:color="auto"/>
        <w:right w:val="none" w:sz="0" w:space="0" w:color="auto"/>
      </w:divBdr>
    </w:div>
    <w:div w:id="261190098">
      <w:bodyDiv w:val="1"/>
      <w:marLeft w:val="0"/>
      <w:marRight w:val="0"/>
      <w:marTop w:val="0"/>
      <w:marBottom w:val="0"/>
      <w:divBdr>
        <w:top w:val="none" w:sz="0" w:space="0" w:color="auto"/>
        <w:left w:val="none" w:sz="0" w:space="0" w:color="auto"/>
        <w:bottom w:val="none" w:sz="0" w:space="0" w:color="auto"/>
        <w:right w:val="none" w:sz="0" w:space="0" w:color="auto"/>
      </w:divBdr>
    </w:div>
    <w:div w:id="269287930">
      <w:bodyDiv w:val="1"/>
      <w:marLeft w:val="0"/>
      <w:marRight w:val="0"/>
      <w:marTop w:val="0"/>
      <w:marBottom w:val="0"/>
      <w:divBdr>
        <w:top w:val="none" w:sz="0" w:space="0" w:color="auto"/>
        <w:left w:val="none" w:sz="0" w:space="0" w:color="auto"/>
        <w:bottom w:val="none" w:sz="0" w:space="0" w:color="auto"/>
        <w:right w:val="none" w:sz="0" w:space="0" w:color="auto"/>
      </w:divBdr>
    </w:div>
    <w:div w:id="272640276">
      <w:bodyDiv w:val="1"/>
      <w:marLeft w:val="0"/>
      <w:marRight w:val="0"/>
      <w:marTop w:val="0"/>
      <w:marBottom w:val="0"/>
      <w:divBdr>
        <w:top w:val="none" w:sz="0" w:space="0" w:color="auto"/>
        <w:left w:val="none" w:sz="0" w:space="0" w:color="auto"/>
        <w:bottom w:val="none" w:sz="0" w:space="0" w:color="auto"/>
        <w:right w:val="none" w:sz="0" w:space="0" w:color="auto"/>
      </w:divBdr>
    </w:div>
    <w:div w:id="284360772">
      <w:bodyDiv w:val="1"/>
      <w:marLeft w:val="0"/>
      <w:marRight w:val="0"/>
      <w:marTop w:val="0"/>
      <w:marBottom w:val="0"/>
      <w:divBdr>
        <w:top w:val="none" w:sz="0" w:space="0" w:color="auto"/>
        <w:left w:val="none" w:sz="0" w:space="0" w:color="auto"/>
        <w:bottom w:val="none" w:sz="0" w:space="0" w:color="auto"/>
        <w:right w:val="none" w:sz="0" w:space="0" w:color="auto"/>
      </w:divBdr>
    </w:div>
    <w:div w:id="286546241">
      <w:bodyDiv w:val="1"/>
      <w:marLeft w:val="0"/>
      <w:marRight w:val="0"/>
      <w:marTop w:val="0"/>
      <w:marBottom w:val="0"/>
      <w:divBdr>
        <w:top w:val="none" w:sz="0" w:space="0" w:color="auto"/>
        <w:left w:val="none" w:sz="0" w:space="0" w:color="auto"/>
        <w:bottom w:val="none" w:sz="0" w:space="0" w:color="auto"/>
        <w:right w:val="none" w:sz="0" w:space="0" w:color="auto"/>
      </w:divBdr>
    </w:div>
    <w:div w:id="301083214">
      <w:bodyDiv w:val="1"/>
      <w:marLeft w:val="0"/>
      <w:marRight w:val="0"/>
      <w:marTop w:val="0"/>
      <w:marBottom w:val="0"/>
      <w:divBdr>
        <w:top w:val="none" w:sz="0" w:space="0" w:color="auto"/>
        <w:left w:val="none" w:sz="0" w:space="0" w:color="auto"/>
        <w:bottom w:val="none" w:sz="0" w:space="0" w:color="auto"/>
        <w:right w:val="none" w:sz="0" w:space="0" w:color="auto"/>
      </w:divBdr>
    </w:div>
    <w:div w:id="305939843">
      <w:bodyDiv w:val="1"/>
      <w:marLeft w:val="0"/>
      <w:marRight w:val="0"/>
      <w:marTop w:val="0"/>
      <w:marBottom w:val="0"/>
      <w:divBdr>
        <w:top w:val="none" w:sz="0" w:space="0" w:color="auto"/>
        <w:left w:val="none" w:sz="0" w:space="0" w:color="auto"/>
        <w:bottom w:val="none" w:sz="0" w:space="0" w:color="auto"/>
        <w:right w:val="none" w:sz="0" w:space="0" w:color="auto"/>
      </w:divBdr>
    </w:div>
    <w:div w:id="312680325">
      <w:bodyDiv w:val="1"/>
      <w:marLeft w:val="0"/>
      <w:marRight w:val="0"/>
      <w:marTop w:val="0"/>
      <w:marBottom w:val="0"/>
      <w:divBdr>
        <w:top w:val="none" w:sz="0" w:space="0" w:color="auto"/>
        <w:left w:val="none" w:sz="0" w:space="0" w:color="auto"/>
        <w:bottom w:val="none" w:sz="0" w:space="0" w:color="auto"/>
        <w:right w:val="none" w:sz="0" w:space="0" w:color="auto"/>
      </w:divBdr>
    </w:div>
    <w:div w:id="314333705">
      <w:bodyDiv w:val="1"/>
      <w:marLeft w:val="0"/>
      <w:marRight w:val="0"/>
      <w:marTop w:val="0"/>
      <w:marBottom w:val="0"/>
      <w:divBdr>
        <w:top w:val="none" w:sz="0" w:space="0" w:color="auto"/>
        <w:left w:val="none" w:sz="0" w:space="0" w:color="auto"/>
        <w:bottom w:val="none" w:sz="0" w:space="0" w:color="auto"/>
        <w:right w:val="none" w:sz="0" w:space="0" w:color="auto"/>
      </w:divBdr>
    </w:div>
    <w:div w:id="319240745">
      <w:bodyDiv w:val="1"/>
      <w:marLeft w:val="0"/>
      <w:marRight w:val="0"/>
      <w:marTop w:val="0"/>
      <w:marBottom w:val="0"/>
      <w:divBdr>
        <w:top w:val="none" w:sz="0" w:space="0" w:color="auto"/>
        <w:left w:val="none" w:sz="0" w:space="0" w:color="auto"/>
        <w:bottom w:val="none" w:sz="0" w:space="0" w:color="auto"/>
        <w:right w:val="none" w:sz="0" w:space="0" w:color="auto"/>
      </w:divBdr>
    </w:div>
    <w:div w:id="322855856">
      <w:bodyDiv w:val="1"/>
      <w:marLeft w:val="0"/>
      <w:marRight w:val="0"/>
      <w:marTop w:val="0"/>
      <w:marBottom w:val="0"/>
      <w:divBdr>
        <w:top w:val="none" w:sz="0" w:space="0" w:color="auto"/>
        <w:left w:val="none" w:sz="0" w:space="0" w:color="auto"/>
        <w:bottom w:val="none" w:sz="0" w:space="0" w:color="auto"/>
        <w:right w:val="none" w:sz="0" w:space="0" w:color="auto"/>
      </w:divBdr>
    </w:div>
    <w:div w:id="346449984">
      <w:bodyDiv w:val="1"/>
      <w:marLeft w:val="0"/>
      <w:marRight w:val="0"/>
      <w:marTop w:val="0"/>
      <w:marBottom w:val="0"/>
      <w:divBdr>
        <w:top w:val="none" w:sz="0" w:space="0" w:color="auto"/>
        <w:left w:val="none" w:sz="0" w:space="0" w:color="auto"/>
        <w:bottom w:val="none" w:sz="0" w:space="0" w:color="auto"/>
        <w:right w:val="none" w:sz="0" w:space="0" w:color="auto"/>
      </w:divBdr>
    </w:div>
    <w:div w:id="348407526">
      <w:bodyDiv w:val="1"/>
      <w:marLeft w:val="0"/>
      <w:marRight w:val="0"/>
      <w:marTop w:val="0"/>
      <w:marBottom w:val="0"/>
      <w:divBdr>
        <w:top w:val="none" w:sz="0" w:space="0" w:color="auto"/>
        <w:left w:val="none" w:sz="0" w:space="0" w:color="auto"/>
        <w:bottom w:val="none" w:sz="0" w:space="0" w:color="auto"/>
        <w:right w:val="none" w:sz="0" w:space="0" w:color="auto"/>
      </w:divBdr>
    </w:div>
    <w:div w:id="352345229">
      <w:bodyDiv w:val="1"/>
      <w:marLeft w:val="0"/>
      <w:marRight w:val="0"/>
      <w:marTop w:val="0"/>
      <w:marBottom w:val="0"/>
      <w:divBdr>
        <w:top w:val="none" w:sz="0" w:space="0" w:color="auto"/>
        <w:left w:val="none" w:sz="0" w:space="0" w:color="auto"/>
        <w:bottom w:val="none" w:sz="0" w:space="0" w:color="auto"/>
        <w:right w:val="none" w:sz="0" w:space="0" w:color="auto"/>
      </w:divBdr>
    </w:div>
    <w:div w:id="354042945">
      <w:bodyDiv w:val="1"/>
      <w:marLeft w:val="0"/>
      <w:marRight w:val="0"/>
      <w:marTop w:val="0"/>
      <w:marBottom w:val="0"/>
      <w:divBdr>
        <w:top w:val="none" w:sz="0" w:space="0" w:color="auto"/>
        <w:left w:val="none" w:sz="0" w:space="0" w:color="auto"/>
        <w:bottom w:val="none" w:sz="0" w:space="0" w:color="auto"/>
        <w:right w:val="none" w:sz="0" w:space="0" w:color="auto"/>
      </w:divBdr>
    </w:div>
    <w:div w:id="357924753">
      <w:bodyDiv w:val="1"/>
      <w:marLeft w:val="0"/>
      <w:marRight w:val="0"/>
      <w:marTop w:val="0"/>
      <w:marBottom w:val="0"/>
      <w:divBdr>
        <w:top w:val="none" w:sz="0" w:space="0" w:color="auto"/>
        <w:left w:val="none" w:sz="0" w:space="0" w:color="auto"/>
        <w:bottom w:val="none" w:sz="0" w:space="0" w:color="auto"/>
        <w:right w:val="none" w:sz="0" w:space="0" w:color="auto"/>
      </w:divBdr>
    </w:div>
    <w:div w:id="372538936">
      <w:bodyDiv w:val="1"/>
      <w:marLeft w:val="0"/>
      <w:marRight w:val="0"/>
      <w:marTop w:val="0"/>
      <w:marBottom w:val="0"/>
      <w:divBdr>
        <w:top w:val="none" w:sz="0" w:space="0" w:color="auto"/>
        <w:left w:val="none" w:sz="0" w:space="0" w:color="auto"/>
        <w:bottom w:val="none" w:sz="0" w:space="0" w:color="auto"/>
        <w:right w:val="none" w:sz="0" w:space="0" w:color="auto"/>
      </w:divBdr>
    </w:div>
    <w:div w:id="372584685">
      <w:bodyDiv w:val="1"/>
      <w:marLeft w:val="0"/>
      <w:marRight w:val="0"/>
      <w:marTop w:val="0"/>
      <w:marBottom w:val="0"/>
      <w:divBdr>
        <w:top w:val="none" w:sz="0" w:space="0" w:color="auto"/>
        <w:left w:val="none" w:sz="0" w:space="0" w:color="auto"/>
        <w:bottom w:val="none" w:sz="0" w:space="0" w:color="auto"/>
        <w:right w:val="none" w:sz="0" w:space="0" w:color="auto"/>
      </w:divBdr>
    </w:div>
    <w:div w:id="380515919">
      <w:bodyDiv w:val="1"/>
      <w:marLeft w:val="0"/>
      <w:marRight w:val="0"/>
      <w:marTop w:val="0"/>
      <w:marBottom w:val="0"/>
      <w:divBdr>
        <w:top w:val="none" w:sz="0" w:space="0" w:color="auto"/>
        <w:left w:val="none" w:sz="0" w:space="0" w:color="auto"/>
        <w:bottom w:val="none" w:sz="0" w:space="0" w:color="auto"/>
        <w:right w:val="none" w:sz="0" w:space="0" w:color="auto"/>
      </w:divBdr>
    </w:div>
    <w:div w:id="388770568">
      <w:bodyDiv w:val="1"/>
      <w:marLeft w:val="0"/>
      <w:marRight w:val="0"/>
      <w:marTop w:val="0"/>
      <w:marBottom w:val="0"/>
      <w:divBdr>
        <w:top w:val="none" w:sz="0" w:space="0" w:color="auto"/>
        <w:left w:val="none" w:sz="0" w:space="0" w:color="auto"/>
        <w:bottom w:val="none" w:sz="0" w:space="0" w:color="auto"/>
        <w:right w:val="none" w:sz="0" w:space="0" w:color="auto"/>
      </w:divBdr>
    </w:div>
    <w:div w:id="394554175">
      <w:bodyDiv w:val="1"/>
      <w:marLeft w:val="0"/>
      <w:marRight w:val="0"/>
      <w:marTop w:val="0"/>
      <w:marBottom w:val="0"/>
      <w:divBdr>
        <w:top w:val="none" w:sz="0" w:space="0" w:color="auto"/>
        <w:left w:val="none" w:sz="0" w:space="0" w:color="auto"/>
        <w:bottom w:val="none" w:sz="0" w:space="0" w:color="auto"/>
        <w:right w:val="none" w:sz="0" w:space="0" w:color="auto"/>
      </w:divBdr>
    </w:div>
    <w:div w:id="398404158">
      <w:bodyDiv w:val="1"/>
      <w:marLeft w:val="0"/>
      <w:marRight w:val="0"/>
      <w:marTop w:val="0"/>
      <w:marBottom w:val="0"/>
      <w:divBdr>
        <w:top w:val="none" w:sz="0" w:space="0" w:color="auto"/>
        <w:left w:val="none" w:sz="0" w:space="0" w:color="auto"/>
        <w:bottom w:val="none" w:sz="0" w:space="0" w:color="auto"/>
        <w:right w:val="none" w:sz="0" w:space="0" w:color="auto"/>
      </w:divBdr>
    </w:div>
    <w:div w:id="399913643">
      <w:bodyDiv w:val="1"/>
      <w:marLeft w:val="0"/>
      <w:marRight w:val="0"/>
      <w:marTop w:val="0"/>
      <w:marBottom w:val="0"/>
      <w:divBdr>
        <w:top w:val="none" w:sz="0" w:space="0" w:color="auto"/>
        <w:left w:val="none" w:sz="0" w:space="0" w:color="auto"/>
        <w:bottom w:val="none" w:sz="0" w:space="0" w:color="auto"/>
        <w:right w:val="none" w:sz="0" w:space="0" w:color="auto"/>
      </w:divBdr>
    </w:div>
    <w:div w:id="402529793">
      <w:bodyDiv w:val="1"/>
      <w:marLeft w:val="0"/>
      <w:marRight w:val="0"/>
      <w:marTop w:val="0"/>
      <w:marBottom w:val="0"/>
      <w:divBdr>
        <w:top w:val="none" w:sz="0" w:space="0" w:color="auto"/>
        <w:left w:val="none" w:sz="0" w:space="0" w:color="auto"/>
        <w:bottom w:val="none" w:sz="0" w:space="0" w:color="auto"/>
        <w:right w:val="none" w:sz="0" w:space="0" w:color="auto"/>
      </w:divBdr>
    </w:div>
    <w:div w:id="402991037">
      <w:bodyDiv w:val="1"/>
      <w:marLeft w:val="0"/>
      <w:marRight w:val="0"/>
      <w:marTop w:val="0"/>
      <w:marBottom w:val="0"/>
      <w:divBdr>
        <w:top w:val="none" w:sz="0" w:space="0" w:color="auto"/>
        <w:left w:val="none" w:sz="0" w:space="0" w:color="auto"/>
        <w:bottom w:val="none" w:sz="0" w:space="0" w:color="auto"/>
        <w:right w:val="none" w:sz="0" w:space="0" w:color="auto"/>
      </w:divBdr>
      <w:divsChild>
        <w:div w:id="1193611699">
          <w:marLeft w:val="0"/>
          <w:marRight w:val="0"/>
          <w:marTop w:val="0"/>
          <w:marBottom w:val="0"/>
          <w:divBdr>
            <w:top w:val="none" w:sz="0" w:space="0" w:color="auto"/>
            <w:left w:val="none" w:sz="0" w:space="0" w:color="auto"/>
            <w:bottom w:val="none" w:sz="0" w:space="0" w:color="auto"/>
            <w:right w:val="none" w:sz="0" w:space="0" w:color="auto"/>
          </w:divBdr>
          <w:divsChild>
            <w:div w:id="1903442156">
              <w:marLeft w:val="0"/>
              <w:marRight w:val="0"/>
              <w:marTop w:val="0"/>
              <w:marBottom w:val="0"/>
              <w:divBdr>
                <w:top w:val="none" w:sz="0" w:space="0" w:color="auto"/>
                <w:left w:val="none" w:sz="0" w:space="0" w:color="auto"/>
                <w:bottom w:val="none" w:sz="0" w:space="0" w:color="auto"/>
                <w:right w:val="none" w:sz="0" w:space="0" w:color="auto"/>
              </w:divBdr>
              <w:divsChild>
                <w:div w:id="368722938">
                  <w:marLeft w:val="0"/>
                  <w:marRight w:val="0"/>
                  <w:marTop w:val="0"/>
                  <w:marBottom w:val="0"/>
                  <w:divBdr>
                    <w:top w:val="none" w:sz="0" w:space="0" w:color="auto"/>
                    <w:left w:val="none" w:sz="0" w:space="0" w:color="auto"/>
                    <w:bottom w:val="none" w:sz="0" w:space="0" w:color="auto"/>
                    <w:right w:val="none" w:sz="0" w:space="0" w:color="auto"/>
                  </w:divBdr>
                  <w:divsChild>
                    <w:div w:id="10706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79494">
      <w:bodyDiv w:val="1"/>
      <w:marLeft w:val="0"/>
      <w:marRight w:val="0"/>
      <w:marTop w:val="0"/>
      <w:marBottom w:val="0"/>
      <w:divBdr>
        <w:top w:val="none" w:sz="0" w:space="0" w:color="auto"/>
        <w:left w:val="none" w:sz="0" w:space="0" w:color="auto"/>
        <w:bottom w:val="none" w:sz="0" w:space="0" w:color="auto"/>
        <w:right w:val="none" w:sz="0" w:space="0" w:color="auto"/>
      </w:divBdr>
    </w:div>
    <w:div w:id="406271662">
      <w:bodyDiv w:val="1"/>
      <w:marLeft w:val="0"/>
      <w:marRight w:val="0"/>
      <w:marTop w:val="0"/>
      <w:marBottom w:val="0"/>
      <w:divBdr>
        <w:top w:val="none" w:sz="0" w:space="0" w:color="auto"/>
        <w:left w:val="none" w:sz="0" w:space="0" w:color="auto"/>
        <w:bottom w:val="none" w:sz="0" w:space="0" w:color="auto"/>
        <w:right w:val="none" w:sz="0" w:space="0" w:color="auto"/>
      </w:divBdr>
    </w:div>
    <w:div w:id="417486542">
      <w:bodyDiv w:val="1"/>
      <w:marLeft w:val="0"/>
      <w:marRight w:val="0"/>
      <w:marTop w:val="0"/>
      <w:marBottom w:val="0"/>
      <w:divBdr>
        <w:top w:val="none" w:sz="0" w:space="0" w:color="auto"/>
        <w:left w:val="none" w:sz="0" w:space="0" w:color="auto"/>
        <w:bottom w:val="none" w:sz="0" w:space="0" w:color="auto"/>
        <w:right w:val="none" w:sz="0" w:space="0" w:color="auto"/>
      </w:divBdr>
    </w:div>
    <w:div w:id="421149651">
      <w:bodyDiv w:val="1"/>
      <w:marLeft w:val="0"/>
      <w:marRight w:val="0"/>
      <w:marTop w:val="0"/>
      <w:marBottom w:val="0"/>
      <w:divBdr>
        <w:top w:val="none" w:sz="0" w:space="0" w:color="auto"/>
        <w:left w:val="none" w:sz="0" w:space="0" w:color="auto"/>
        <w:bottom w:val="none" w:sz="0" w:space="0" w:color="auto"/>
        <w:right w:val="none" w:sz="0" w:space="0" w:color="auto"/>
      </w:divBdr>
    </w:div>
    <w:div w:id="432288424">
      <w:bodyDiv w:val="1"/>
      <w:marLeft w:val="0"/>
      <w:marRight w:val="0"/>
      <w:marTop w:val="0"/>
      <w:marBottom w:val="0"/>
      <w:divBdr>
        <w:top w:val="none" w:sz="0" w:space="0" w:color="auto"/>
        <w:left w:val="none" w:sz="0" w:space="0" w:color="auto"/>
        <w:bottom w:val="none" w:sz="0" w:space="0" w:color="auto"/>
        <w:right w:val="none" w:sz="0" w:space="0" w:color="auto"/>
      </w:divBdr>
    </w:div>
    <w:div w:id="432867576">
      <w:bodyDiv w:val="1"/>
      <w:marLeft w:val="0"/>
      <w:marRight w:val="0"/>
      <w:marTop w:val="0"/>
      <w:marBottom w:val="0"/>
      <w:divBdr>
        <w:top w:val="none" w:sz="0" w:space="0" w:color="auto"/>
        <w:left w:val="none" w:sz="0" w:space="0" w:color="auto"/>
        <w:bottom w:val="none" w:sz="0" w:space="0" w:color="auto"/>
        <w:right w:val="none" w:sz="0" w:space="0" w:color="auto"/>
      </w:divBdr>
    </w:div>
    <w:div w:id="436289654">
      <w:bodyDiv w:val="1"/>
      <w:marLeft w:val="0"/>
      <w:marRight w:val="0"/>
      <w:marTop w:val="0"/>
      <w:marBottom w:val="0"/>
      <w:divBdr>
        <w:top w:val="none" w:sz="0" w:space="0" w:color="auto"/>
        <w:left w:val="none" w:sz="0" w:space="0" w:color="auto"/>
        <w:bottom w:val="none" w:sz="0" w:space="0" w:color="auto"/>
        <w:right w:val="none" w:sz="0" w:space="0" w:color="auto"/>
      </w:divBdr>
    </w:div>
    <w:div w:id="439647334">
      <w:bodyDiv w:val="1"/>
      <w:marLeft w:val="0"/>
      <w:marRight w:val="0"/>
      <w:marTop w:val="0"/>
      <w:marBottom w:val="0"/>
      <w:divBdr>
        <w:top w:val="none" w:sz="0" w:space="0" w:color="auto"/>
        <w:left w:val="none" w:sz="0" w:space="0" w:color="auto"/>
        <w:bottom w:val="none" w:sz="0" w:space="0" w:color="auto"/>
        <w:right w:val="none" w:sz="0" w:space="0" w:color="auto"/>
      </w:divBdr>
    </w:div>
    <w:div w:id="445462243">
      <w:bodyDiv w:val="1"/>
      <w:marLeft w:val="0"/>
      <w:marRight w:val="0"/>
      <w:marTop w:val="0"/>
      <w:marBottom w:val="0"/>
      <w:divBdr>
        <w:top w:val="none" w:sz="0" w:space="0" w:color="auto"/>
        <w:left w:val="none" w:sz="0" w:space="0" w:color="auto"/>
        <w:bottom w:val="none" w:sz="0" w:space="0" w:color="auto"/>
        <w:right w:val="none" w:sz="0" w:space="0" w:color="auto"/>
      </w:divBdr>
    </w:div>
    <w:div w:id="446126681">
      <w:bodyDiv w:val="1"/>
      <w:marLeft w:val="0"/>
      <w:marRight w:val="0"/>
      <w:marTop w:val="0"/>
      <w:marBottom w:val="0"/>
      <w:divBdr>
        <w:top w:val="none" w:sz="0" w:space="0" w:color="auto"/>
        <w:left w:val="none" w:sz="0" w:space="0" w:color="auto"/>
        <w:bottom w:val="none" w:sz="0" w:space="0" w:color="auto"/>
        <w:right w:val="none" w:sz="0" w:space="0" w:color="auto"/>
      </w:divBdr>
    </w:div>
    <w:div w:id="451367197">
      <w:bodyDiv w:val="1"/>
      <w:marLeft w:val="0"/>
      <w:marRight w:val="0"/>
      <w:marTop w:val="0"/>
      <w:marBottom w:val="0"/>
      <w:divBdr>
        <w:top w:val="none" w:sz="0" w:space="0" w:color="auto"/>
        <w:left w:val="none" w:sz="0" w:space="0" w:color="auto"/>
        <w:bottom w:val="none" w:sz="0" w:space="0" w:color="auto"/>
        <w:right w:val="none" w:sz="0" w:space="0" w:color="auto"/>
      </w:divBdr>
    </w:div>
    <w:div w:id="456487093">
      <w:bodyDiv w:val="1"/>
      <w:marLeft w:val="0"/>
      <w:marRight w:val="0"/>
      <w:marTop w:val="0"/>
      <w:marBottom w:val="0"/>
      <w:divBdr>
        <w:top w:val="none" w:sz="0" w:space="0" w:color="auto"/>
        <w:left w:val="none" w:sz="0" w:space="0" w:color="auto"/>
        <w:bottom w:val="none" w:sz="0" w:space="0" w:color="auto"/>
        <w:right w:val="none" w:sz="0" w:space="0" w:color="auto"/>
      </w:divBdr>
    </w:div>
    <w:div w:id="469909500">
      <w:bodyDiv w:val="1"/>
      <w:marLeft w:val="0"/>
      <w:marRight w:val="0"/>
      <w:marTop w:val="0"/>
      <w:marBottom w:val="0"/>
      <w:divBdr>
        <w:top w:val="none" w:sz="0" w:space="0" w:color="auto"/>
        <w:left w:val="none" w:sz="0" w:space="0" w:color="auto"/>
        <w:bottom w:val="none" w:sz="0" w:space="0" w:color="auto"/>
        <w:right w:val="none" w:sz="0" w:space="0" w:color="auto"/>
      </w:divBdr>
    </w:div>
    <w:div w:id="473110094">
      <w:bodyDiv w:val="1"/>
      <w:marLeft w:val="0"/>
      <w:marRight w:val="0"/>
      <w:marTop w:val="0"/>
      <w:marBottom w:val="0"/>
      <w:divBdr>
        <w:top w:val="none" w:sz="0" w:space="0" w:color="auto"/>
        <w:left w:val="none" w:sz="0" w:space="0" w:color="auto"/>
        <w:bottom w:val="none" w:sz="0" w:space="0" w:color="auto"/>
        <w:right w:val="none" w:sz="0" w:space="0" w:color="auto"/>
      </w:divBdr>
    </w:div>
    <w:div w:id="478503992">
      <w:bodyDiv w:val="1"/>
      <w:marLeft w:val="0"/>
      <w:marRight w:val="0"/>
      <w:marTop w:val="0"/>
      <w:marBottom w:val="0"/>
      <w:divBdr>
        <w:top w:val="none" w:sz="0" w:space="0" w:color="auto"/>
        <w:left w:val="none" w:sz="0" w:space="0" w:color="auto"/>
        <w:bottom w:val="none" w:sz="0" w:space="0" w:color="auto"/>
        <w:right w:val="none" w:sz="0" w:space="0" w:color="auto"/>
      </w:divBdr>
    </w:div>
    <w:div w:id="481629083">
      <w:bodyDiv w:val="1"/>
      <w:marLeft w:val="0"/>
      <w:marRight w:val="0"/>
      <w:marTop w:val="0"/>
      <w:marBottom w:val="0"/>
      <w:divBdr>
        <w:top w:val="none" w:sz="0" w:space="0" w:color="auto"/>
        <w:left w:val="none" w:sz="0" w:space="0" w:color="auto"/>
        <w:bottom w:val="none" w:sz="0" w:space="0" w:color="auto"/>
        <w:right w:val="none" w:sz="0" w:space="0" w:color="auto"/>
      </w:divBdr>
    </w:div>
    <w:div w:id="482550431">
      <w:bodyDiv w:val="1"/>
      <w:marLeft w:val="0"/>
      <w:marRight w:val="0"/>
      <w:marTop w:val="0"/>
      <w:marBottom w:val="0"/>
      <w:divBdr>
        <w:top w:val="none" w:sz="0" w:space="0" w:color="auto"/>
        <w:left w:val="none" w:sz="0" w:space="0" w:color="auto"/>
        <w:bottom w:val="none" w:sz="0" w:space="0" w:color="auto"/>
        <w:right w:val="none" w:sz="0" w:space="0" w:color="auto"/>
      </w:divBdr>
    </w:div>
    <w:div w:id="484855922">
      <w:bodyDiv w:val="1"/>
      <w:marLeft w:val="0"/>
      <w:marRight w:val="0"/>
      <w:marTop w:val="0"/>
      <w:marBottom w:val="0"/>
      <w:divBdr>
        <w:top w:val="none" w:sz="0" w:space="0" w:color="auto"/>
        <w:left w:val="none" w:sz="0" w:space="0" w:color="auto"/>
        <w:bottom w:val="none" w:sz="0" w:space="0" w:color="auto"/>
        <w:right w:val="none" w:sz="0" w:space="0" w:color="auto"/>
      </w:divBdr>
    </w:div>
    <w:div w:id="491800406">
      <w:bodyDiv w:val="1"/>
      <w:marLeft w:val="0"/>
      <w:marRight w:val="0"/>
      <w:marTop w:val="0"/>
      <w:marBottom w:val="0"/>
      <w:divBdr>
        <w:top w:val="none" w:sz="0" w:space="0" w:color="auto"/>
        <w:left w:val="none" w:sz="0" w:space="0" w:color="auto"/>
        <w:bottom w:val="none" w:sz="0" w:space="0" w:color="auto"/>
        <w:right w:val="none" w:sz="0" w:space="0" w:color="auto"/>
      </w:divBdr>
      <w:divsChild>
        <w:div w:id="834998801">
          <w:marLeft w:val="0"/>
          <w:marRight w:val="0"/>
          <w:marTop w:val="0"/>
          <w:marBottom w:val="0"/>
          <w:divBdr>
            <w:top w:val="none" w:sz="0" w:space="0" w:color="auto"/>
            <w:left w:val="none" w:sz="0" w:space="0" w:color="auto"/>
            <w:bottom w:val="none" w:sz="0" w:space="0" w:color="auto"/>
            <w:right w:val="none" w:sz="0" w:space="0" w:color="auto"/>
          </w:divBdr>
          <w:divsChild>
            <w:div w:id="1284267062">
              <w:marLeft w:val="0"/>
              <w:marRight w:val="0"/>
              <w:marTop w:val="0"/>
              <w:marBottom w:val="0"/>
              <w:divBdr>
                <w:top w:val="none" w:sz="0" w:space="0" w:color="auto"/>
                <w:left w:val="none" w:sz="0" w:space="0" w:color="auto"/>
                <w:bottom w:val="none" w:sz="0" w:space="0" w:color="auto"/>
                <w:right w:val="none" w:sz="0" w:space="0" w:color="auto"/>
              </w:divBdr>
              <w:divsChild>
                <w:div w:id="724530917">
                  <w:marLeft w:val="0"/>
                  <w:marRight w:val="0"/>
                  <w:marTop w:val="0"/>
                  <w:marBottom w:val="0"/>
                  <w:divBdr>
                    <w:top w:val="none" w:sz="0" w:space="0" w:color="auto"/>
                    <w:left w:val="none" w:sz="0" w:space="0" w:color="auto"/>
                    <w:bottom w:val="none" w:sz="0" w:space="0" w:color="auto"/>
                    <w:right w:val="none" w:sz="0" w:space="0" w:color="auto"/>
                  </w:divBdr>
                  <w:divsChild>
                    <w:div w:id="96766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70">
      <w:bodyDiv w:val="1"/>
      <w:marLeft w:val="0"/>
      <w:marRight w:val="0"/>
      <w:marTop w:val="0"/>
      <w:marBottom w:val="0"/>
      <w:divBdr>
        <w:top w:val="none" w:sz="0" w:space="0" w:color="auto"/>
        <w:left w:val="none" w:sz="0" w:space="0" w:color="auto"/>
        <w:bottom w:val="none" w:sz="0" w:space="0" w:color="auto"/>
        <w:right w:val="none" w:sz="0" w:space="0" w:color="auto"/>
      </w:divBdr>
    </w:div>
    <w:div w:id="505168926">
      <w:bodyDiv w:val="1"/>
      <w:marLeft w:val="0"/>
      <w:marRight w:val="0"/>
      <w:marTop w:val="0"/>
      <w:marBottom w:val="0"/>
      <w:divBdr>
        <w:top w:val="none" w:sz="0" w:space="0" w:color="auto"/>
        <w:left w:val="none" w:sz="0" w:space="0" w:color="auto"/>
        <w:bottom w:val="none" w:sz="0" w:space="0" w:color="auto"/>
        <w:right w:val="none" w:sz="0" w:space="0" w:color="auto"/>
      </w:divBdr>
    </w:div>
    <w:div w:id="514081024">
      <w:bodyDiv w:val="1"/>
      <w:marLeft w:val="0"/>
      <w:marRight w:val="0"/>
      <w:marTop w:val="0"/>
      <w:marBottom w:val="0"/>
      <w:divBdr>
        <w:top w:val="none" w:sz="0" w:space="0" w:color="auto"/>
        <w:left w:val="none" w:sz="0" w:space="0" w:color="auto"/>
        <w:bottom w:val="none" w:sz="0" w:space="0" w:color="auto"/>
        <w:right w:val="none" w:sz="0" w:space="0" w:color="auto"/>
      </w:divBdr>
    </w:div>
    <w:div w:id="515654472">
      <w:bodyDiv w:val="1"/>
      <w:marLeft w:val="0"/>
      <w:marRight w:val="0"/>
      <w:marTop w:val="0"/>
      <w:marBottom w:val="0"/>
      <w:divBdr>
        <w:top w:val="none" w:sz="0" w:space="0" w:color="auto"/>
        <w:left w:val="none" w:sz="0" w:space="0" w:color="auto"/>
        <w:bottom w:val="none" w:sz="0" w:space="0" w:color="auto"/>
        <w:right w:val="none" w:sz="0" w:space="0" w:color="auto"/>
      </w:divBdr>
    </w:div>
    <w:div w:id="518204045">
      <w:bodyDiv w:val="1"/>
      <w:marLeft w:val="0"/>
      <w:marRight w:val="0"/>
      <w:marTop w:val="0"/>
      <w:marBottom w:val="0"/>
      <w:divBdr>
        <w:top w:val="none" w:sz="0" w:space="0" w:color="auto"/>
        <w:left w:val="none" w:sz="0" w:space="0" w:color="auto"/>
        <w:bottom w:val="none" w:sz="0" w:space="0" w:color="auto"/>
        <w:right w:val="none" w:sz="0" w:space="0" w:color="auto"/>
      </w:divBdr>
    </w:div>
    <w:div w:id="523707939">
      <w:bodyDiv w:val="1"/>
      <w:marLeft w:val="0"/>
      <w:marRight w:val="0"/>
      <w:marTop w:val="0"/>
      <w:marBottom w:val="0"/>
      <w:divBdr>
        <w:top w:val="none" w:sz="0" w:space="0" w:color="auto"/>
        <w:left w:val="none" w:sz="0" w:space="0" w:color="auto"/>
        <w:bottom w:val="none" w:sz="0" w:space="0" w:color="auto"/>
        <w:right w:val="none" w:sz="0" w:space="0" w:color="auto"/>
      </w:divBdr>
    </w:div>
    <w:div w:id="527766638">
      <w:bodyDiv w:val="1"/>
      <w:marLeft w:val="0"/>
      <w:marRight w:val="0"/>
      <w:marTop w:val="0"/>
      <w:marBottom w:val="0"/>
      <w:divBdr>
        <w:top w:val="none" w:sz="0" w:space="0" w:color="auto"/>
        <w:left w:val="none" w:sz="0" w:space="0" w:color="auto"/>
        <w:bottom w:val="none" w:sz="0" w:space="0" w:color="auto"/>
        <w:right w:val="none" w:sz="0" w:space="0" w:color="auto"/>
      </w:divBdr>
    </w:div>
    <w:div w:id="535191511">
      <w:bodyDiv w:val="1"/>
      <w:marLeft w:val="0"/>
      <w:marRight w:val="0"/>
      <w:marTop w:val="0"/>
      <w:marBottom w:val="0"/>
      <w:divBdr>
        <w:top w:val="none" w:sz="0" w:space="0" w:color="auto"/>
        <w:left w:val="none" w:sz="0" w:space="0" w:color="auto"/>
        <w:bottom w:val="none" w:sz="0" w:space="0" w:color="auto"/>
        <w:right w:val="none" w:sz="0" w:space="0" w:color="auto"/>
      </w:divBdr>
    </w:div>
    <w:div w:id="543371918">
      <w:bodyDiv w:val="1"/>
      <w:marLeft w:val="0"/>
      <w:marRight w:val="0"/>
      <w:marTop w:val="0"/>
      <w:marBottom w:val="0"/>
      <w:divBdr>
        <w:top w:val="none" w:sz="0" w:space="0" w:color="auto"/>
        <w:left w:val="none" w:sz="0" w:space="0" w:color="auto"/>
        <w:bottom w:val="none" w:sz="0" w:space="0" w:color="auto"/>
        <w:right w:val="none" w:sz="0" w:space="0" w:color="auto"/>
      </w:divBdr>
      <w:divsChild>
        <w:div w:id="785395499">
          <w:marLeft w:val="0"/>
          <w:marRight w:val="0"/>
          <w:marTop w:val="0"/>
          <w:marBottom w:val="0"/>
          <w:divBdr>
            <w:top w:val="none" w:sz="0" w:space="0" w:color="auto"/>
            <w:left w:val="none" w:sz="0" w:space="0" w:color="auto"/>
            <w:bottom w:val="none" w:sz="0" w:space="0" w:color="auto"/>
            <w:right w:val="none" w:sz="0" w:space="0" w:color="auto"/>
          </w:divBdr>
          <w:divsChild>
            <w:div w:id="502932964">
              <w:marLeft w:val="0"/>
              <w:marRight w:val="0"/>
              <w:marTop w:val="0"/>
              <w:marBottom w:val="0"/>
              <w:divBdr>
                <w:top w:val="none" w:sz="0" w:space="0" w:color="auto"/>
                <w:left w:val="none" w:sz="0" w:space="0" w:color="auto"/>
                <w:bottom w:val="none" w:sz="0" w:space="0" w:color="auto"/>
                <w:right w:val="none" w:sz="0" w:space="0" w:color="auto"/>
              </w:divBdr>
              <w:divsChild>
                <w:div w:id="1906643423">
                  <w:marLeft w:val="0"/>
                  <w:marRight w:val="0"/>
                  <w:marTop w:val="0"/>
                  <w:marBottom w:val="0"/>
                  <w:divBdr>
                    <w:top w:val="none" w:sz="0" w:space="0" w:color="auto"/>
                    <w:left w:val="none" w:sz="0" w:space="0" w:color="auto"/>
                    <w:bottom w:val="none" w:sz="0" w:space="0" w:color="auto"/>
                    <w:right w:val="none" w:sz="0" w:space="0" w:color="auto"/>
                  </w:divBdr>
                  <w:divsChild>
                    <w:div w:id="5424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8271">
      <w:bodyDiv w:val="1"/>
      <w:marLeft w:val="0"/>
      <w:marRight w:val="0"/>
      <w:marTop w:val="0"/>
      <w:marBottom w:val="0"/>
      <w:divBdr>
        <w:top w:val="none" w:sz="0" w:space="0" w:color="auto"/>
        <w:left w:val="none" w:sz="0" w:space="0" w:color="auto"/>
        <w:bottom w:val="none" w:sz="0" w:space="0" w:color="auto"/>
        <w:right w:val="none" w:sz="0" w:space="0" w:color="auto"/>
      </w:divBdr>
    </w:div>
    <w:div w:id="572200099">
      <w:bodyDiv w:val="1"/>
      <w:marLeft w:val="0"/>
      <w:marRight w:val="0"/>
      <w:marTop w:val="0"/>
      <w:marBottom w:val="0"/>
      <w:divBdr>
        <w:top w:val="none" w:sz="0" w:space="0" w:color="auto"/>
        <w:left w:val="none" w:sz="0" w:space="0" w:color="auto"/>
        <w:bottom w:val="none" w:sz="0" w:space="0" w:color="auto"/>
        <w:right w:val="none" w:sz="0" w:space="0" w:color="auto"/>
      </w:divBdr>
    </w:div>
    <w:div w:id="606471333">
      <w:bodyDiv w:val="1"/>
      <w:marLeft w:val="0"/>
      <w:marRight w:val="0"/>
      <w:marTop w:val="0"/>
      <w:marBottom w:val="0"/>
      <w:divBdr>
        <w:top w:val="none" w:sz="0" w:space="0" w:color="auto"/>
        <w:left w:val="none" w:sz="0" w:space="0" w:color="auto"/>
        <w:bottom w:val="none" w:sz="0" w:space="0" w:color="auto"/>
        <w:right w:val="none" w:sz="0" w:space="0" w:color="auto"/>
      </w:divBdr>
    </w:div>
    <w:div w:id="608044543">
      <w:bodyDiv w:val="1"/>
      <w:marLeft w:val="0"/>
      <w:marRight w:val="0"/>
      <w:marTop w:val="0"/>
      <w:marBottom w:val="0"/>
      <w:divBdr>
        <w:top w:val="none" w:sz="0" w:space="0" w:color="auto"/>
        <w:left w:val="none" w:sz="0" w:space="0" w:color="auto"/>
        <w:bottom w:val="none" w:sz="0" w:space="0" w:color="auto"/>
        <w:right w:val="none" w:sz="0" w:space="0" w:color="auto"/>
      </w:divBdr>
    </w:div>
    <w:div w:id="618606654">
      <w:bodyDiv w:val="1"/>
      <w:marLeft w:val="0"/>
      <w:marRight w:val="0"/>
      <w:marTop w:val="0"/>
      <w:marBottom w:val="0"/>
      <w:divBdr>
        <w:top w:val="none" w:sz="0" w:space="0" w:color="auto"/>
        <w:left w:val="none" w:sz="0" w:space="0" w:color="auto"/>
        <w:bottom w:val="none" w:sz="0" w:space="0" w:color="auto"/>
        <w:right w:val="none" w:sz="0" w:space="0" w:color="auto"/>
      </w:divBdr>
    </w:div>
    <w:div w:id="618755799">
      <w:bodyDiv w:val="1"/>
      <w:marLeft w:val="0"/>
      <w:marRight w:val="0"/>
      <w:marTop w:val="0"/>
      <w:marBottom w:val="0"/>
      <w:divBdr>
        <w:top w:val="none" w:sz="0" w:space="0" w:color="auto"/>
        <w:left w:val="none" w:sz="0" w:space="0" w:color="auto"/>
        <w:bottom w:val="none" w:sz="0" w:space="0" w:color="auto"/>
        <w:right w:val="none" w:sz="0" w:space="0" w:color="auto"/>
      </w:divBdr>
    </w:div>
    <w:div w:id="620723816">
      <w:bodyDiv w:val="1"/>
      <w:marLeft w:val="0"/>
      <w:marRight w:val="0"/>
      <w:marTop w:val="0"/>
      <w:marBottom w:val="0"/>
      <w:divBdr>
        <w:top w:val="none" w:sz="0" w:space="0" w:color="auto"/>
        <w:left w:val="none" w:sz="0" w:space="0" w:color="auto"/>
        <w:bottom w:val="none" w:sz="0" w:space="0" w:color="auto"/>
        <w:right w:val="none" w:sz="0" w:space="0" w:color="auto"/>
      </w:divBdr>
    </w:div>
    <w:div w:id="630400968">
      <w:bodyDiv w:val="1"/>
      <w:marLeft w:val="0"/>
      <w:marRight w:val="0"/>
      <w:marTop w:val="0"/>
      <w:marBottom w:val="0"/>
      <w:divBdr>
        <w:top w:val="none" w:sz="0" w:space="0" w:color="auto"/>
        <w:left w:val="none" w:sz="0" w:space="0" w:color="auto"/>
        <w:bottom w:val="none" w:sz="0" w:space="0" w:color="auto"/>
        <w:right w:val="none" w:sz="0" w:space="0" w:color="auto"/>
      </w:divBdr>
    </w:div>
    <w:div w:id="637564252">
      <w:bodyDiv w:val="1"/>
      <w:marLeft w:val="0"/>
      <w:marRight w:val="0"/>
      <w:marTop w:val="0"/>
      <w:marBottom w:val="0"/>
      <w:divBdr>
        <w:top w:val="none" w:sz="0" w:space="0" w:color="auto"/>
        <w:left w:val="none" w:sz="0" w:space="0" w:color="auto"/>
        <w:bottom w:val="none" w:sz="0" w:space="0" w:color="auto"/>
        <w:right w:val="none" w:sz="0" w:space="0" w:color="auto"/>
      </w:divBdr>
    </w:div>
    <w:div w:id="649216763">
      <w:bodyDiv w:val="1"/>
      <w:marLeft w:val="0"/>
      <w:marRight w:val="0"/>
      <w:marTop w:val="0"/>
      <w:marBottom w:val="0"/>
      <w:divBdr>
        <w:top w:val="none" w:sz="0" w:space="0" w:color="auto"/>
        <w:left w:val="none" w:sz="0" w:space="0" w:color="auto"/>
        <w:bottom w:val="none" w:sz="0" w:space="0" w:color="auto"/>
        <w:right w:val="none" w:sz="0" w:space="0" w:color="auto"/>
      </w:divBdr>
    </w:div>
    <w:div w:id="656806369">
      <w:bodyDiv w:val="1"/>
      <w:marLeft w:val="0"/>
      <w:marRight w:val="0"/>
      <w:marTop w:val="0"/>
      <w:marBottom w:val="0"/>
      <w:divBdr>
        <w:top w:val="none" w:sz="0" w:space="0" w:color="auto"/>
        <w:left w:val="none" w:sz="0" w:space="0" w:color="auto"/>
        <w:bottom w:val="none" w:sz="0" w:space="0" w:color="auto"/>
        <w:right w:val="none" w:sz="0" w:space="0" w:color="auto"/>
      </w:divBdr>
    </w:div>
    <w:div w:id="657997314">
      <w:bodyDiv w:val="1"/>
      <w:marLeft w:val="0"/>
      <w:marRight w:val="0"/>
      <w:marTop w:val="0"/>
      <w:marBottom w:val="0"/>
      <w:divBdr>
        <w:top w:val="none" w:sz="0" w:space="0" w:color="auto"/>
        <w:left w:val="none" w:sz="0" w:space="0" w:color="auto"/>
        <w:bottom w:val="none" w:sz="0" w:space="0" w:color="auto"/>
        <w:right w:val="none" w:sz="0" w:space="0" w:color="auto"/>
      </w:divBdr>
    </w:div>
    <w:div w:id="663314073">
      <w:bodyDiv w:val="1"/>
      <w:marLeft w:val="0"/>
      <w:marRight w:val="0"/>
      <w:marTop w:val="0"/>
      <w:marBottom w:val="0"/>
      <w:divBdr>
        <w:top w:val="none" w:sz="0" w:space="0" w:color="auto"/>
        <w:left w:val="none" w:sz="0" w:space="0" w:color="auto"/>
        <w:bottom w:val="none" w:sz="0" w:space="0" w:color="auto"/>
        <w:right w:val="none" w:sz="0" w:space="0" w:color="auto"/>
      </w:divBdr>
    </w:div>
    <w:div w:id="664212286">
      <w:bodyDiv w:val="1"/>
      <w:marLeft w:val="0"/>
      <w:marRight w:val="0"/>
      <w:marTop w:val="0"/>
      <w:marBottom w:val="0"/>
      <w:divBdr>
        <w:top w:val="none" w:sz="0" w:space="0" w:color="auto"/>
        <w:left w:val="none" w:sz="0" w:space="0" w:color="auto"/>
        <w:bottom w:val="none" w:sz="0" w:space="0" w:color="auto"/>
        <w:right w:val="none" w:sz="0" w:space="0" w:color="auto"/>
      </w:divBdr>
    </w:div>
    <w:div w:id="665018528">
      <w:bodyDiv w:val="1"/>
      <w:marLeft w:val="0"/>
      <w:marRight w:val="0"/>
      <w:marTop w:val="0"/>
      <w:marBottom w:val="0"/>
      <w:divBdr>
        <w:top w:val="none" w:sz="0" w:space="0" w:color="auto"/>
        <w:left w:val="none" w:sz="0" w:space="0" w:color="auto"/>
        <w:bottom w:val="none" w:sz="0" w:space="0" w:color="auto"/>
        <w:right w:val="none" w:sz="0" w:space="0" w:color="auto"/>
      </w:divBdr>
    </w:div>
    <w:div w:id="677267133">
      <w:bodyDiv w:val="1"/>
      <w:marLeft w:val="0"/>
      <w:marRight w:val="0"/>
      <w:marTop w:val="0"/>
      <w:marBottom w:val="0"/>
      <w:divBdr>
        <w:top w:val="none" w:sz="0" w:space="0" w:color="auto"/>
        <w:left w:val="none" w:sz="0" w:space="0" w:color="auto"/>
        <w:bottom w:val="none" w:sz="0" w:space="0" w:color="auto"/>
        <w:right w:val="none" w:sz="0" w:space="0" w:color="auto"/>
      </w:divBdr>
    </w:div>
    <w:div w:id="679936209">
      <w:bodyDiv w:val="1"/>
      <w:marLeft w:val="0"/>
      <w:marRight w:val="0"/>
      <w:marTop w:val="0"/>
      <w:marBottom w:val="0"/>
      <w:divBdr>
        <w:top w:val="none" w:sz="0" w:space="0" w:color="auto"/>
        <w:left w:val="none" w:sz="0" w:space="0" w:color="auto"/>
        <w:bottom w:val="none" w:sz="0" w:space="0" w:color="auto"/>
        <w:right w:val="none" w:sz="0" w:space="0" w:color="auto"/>
      </w:divBdr>
    </w:div>
    <w:div w:id="680162731">
      <w:bodyDiv w:val="1"/>
      <w:marLeft w:val="0"/>
      <w:marRight w:val="0"/>
      <w:marTop w:val="0"/>
      <w:marBottom w:val="0"/>
      <w:divBdr>
        <w:top w:val="none" w:sz="0" w:space="0" w:color="auto"/>
        <w:left w:val="none" w:sz="0" w:space="0" w:color="auto"/>
        <w:bottom w:val="none" w:sz="0" w:space="0" w:color="auto"/>
        <w:right w:val="none" w:sz="0" w:space="0" w:color="auto"/>
      </w:divBdr>
    </w:div>
    <w:div w:id="686836802">
      <w:bodyDiv w:val="1"/>
      <w:marLeft w:val="0"/>
      <w:marRight w:val="0"/>
      <w:marTop w:val="0"/>
      <w:marBottom w:val="0"/>
      <w:divBdr>
        <w:top w:val="none" w:sz="0" w:space="0" w:color="auto"/>
        <w:left w:val="none" w:sz="0" w:space="0" w:color="auto"/>
        <w:bottom w:val="none" w:sz="0" w:space="0" w:color="auto"/>
        <w:right w:val="none" w:sz="0" w:space="0" w:color="auto"/>
      </w:divBdr>
    </w:div>
    <w:div w:id="687369596">
      <w:bodyDiv w:val="1"/>
      <w:marLeft w:val="0"/>
      <w:marRight w:val="0"/>
      <w:marTop w:val="0"/>
      <w:marBottom w:val="0"/>
      <w:divBdr>
        <w:top w:val="none" w:sz="0" w:space="0" w:color="auto"/>
        <w:left w:val="none" w:sz="0" w:space="0" w:color="auto"/>
        <w:bottom w:val="none" w:sz="0" w:space="0" w:color="auto"/>
        <w:right w:val="none" w:sz="0" w:space="0" w:color="auto"/>
      </w:divBdr>
    </w:div>
    <w:div w:id="688290971">
      <w:bodyDiv w:val="1"/>
      <w:marLeft w:val="0"/>
      <w:marRight w:val="0"/>
      <w:marTop w:val="0"/>
      <w:marBottom w:val="0"/>
      <w:divBdr>
        <w:top w:val="none" w:sz="0" w:space="0" w:color="auto"/>
        <w:left w:val="none" w:sz="0" w:space="0" w:color="auto"/>
        <w:bottom w:val="none" w:sz="0" w:space="0" w:color="auto"/>
        <w:right w:val="none" w:sz="0" w:space="0" w:color="auto"/>
      </w:divBdr>
    </w:div>
    <w:div w:id="697580672">
      <w:bodyDiv w:val="1"/>
      <w:marLeft w:val="0"/>
      <w:marRight w:val="0"/>
      <w:marTop w:val="0"/>
      <w:marBottom w:val="0"/>
      <w:divBdr>
        <w:top w:val="none" w:sz="0" w:space="0" w:color="auto"/>
        <w:left w:val="none" w:sz="0" w:space="0" w:color="auto"/>
        <w:bottom w:val="none" w:sz="0" w:space="0" w:color="auto"/>
        <w:right w:val="none" w:sz="0" w:space="0" w:color="auto"/>
      </w:divBdr>
    </w:div>
    <w:div w:id="704134409">
      <w:bodyDiv w:val="1"/>
      <w:marLeft w:val="0"/>
      <w:marRight w:val="0"/>
      <w:marTop w:val="0"/>
      <w:marBottom w:val="0"/>
      <w:divBdr>
        <w:top w:val="none" w:sz="0" w:space="0" w:color="auto"/>
        <w:left w:val="none" w:sz="0" w:space="0" w:color="auto"/>
        <w:bottom w:val="none" w:sz="0" w:space="0" w:color="auto"/>
        <w:right w:val="none" w:sz="0" w:space="0" w:color="auto"/>
      </w:divBdr>
    </w:div>
    <w:div w:id="728772329">
      <w:bodyDiv w:val="1"/>
      <w:marLeft w:val="0"/>
      <w:marRight w:val="0"/>
      <w:marTop w:val="0"/>
      <w:marBottom w:val="0"/>
      <w:divBdr>
        <w:top w:val="none" w:sz="0" w:space="0" w:color="auto"/>
        <w:left w:val="none" w:sz="0" w:space="0" w:color="auto"/>
        <w:bottom w:val="none" w:sz="0" w:space="0" w:color="auto"/>
        <w:right w:val="none" w:sz="0" w:space="0" w:color="auto"/>
      </w:divBdr>
    </w:div>
    <w:div w:id="756444600">
      <w:bodyDiv w:val="1"/>
      <w:marLeft w:val="0"/>
      <w:marRight w:val="0"/>
      <w:marTop w:val="0"/>
      <w:marBottom w:val="0"/>
      <w:divBdr>
        <w:top w:val="none" w:sz="0" w:space="0" w:color="auto"/>
        <w:left w:val="none" w:sz="0" w:space="0" w:color="auto"/>
        <w:bottom w:val="none" w:sz="0" w:space="0" w:color="auto"/>
        <w:right w:val="none" w:sz="0" w:space="0" w:color="auto"/>
      </w:divBdr>
    </w:div>
    <w:div w:id="772358527">
      <w:bodyDiv w:val="1"/>
      <w:marLeft w:val="0"/>
      <w:marRight w:val="0"/>
      <w:marTop w:val="0"/>
      <w:marBottom w:val="0"/>
      <w:divBdr>
        <w:top w:val="none" w:sz="0" w:space="0" w:color="auto"/>
        <w:left w:val="none" w:sz="0" w:space="0" w:color="auto"/>
        <w:bottom w:val="none" w:sz="0" w:space="0" w:color="auto"/>
        <w:right w:val="none" w:sz="0" w:space="0" w:color="auto"/>
      </w:divBdr>
    </w:div>
    <w:div w:id="775177054">
      <w:bodyDiv w:val="1"/>
      <w:marLeft w:val="0"/>
      <w:marRight w:val="0"/>
      <w:marTop w:val="0"/>
      <w:marBottom w:val="0"/>
      <w:divBdr>
        <w:top w:val="none" w:sz="0" w:space="0" w:color="auto"/>
        <w:left w:val="none" w:sz="0" w:space="0" w:color="auto"/>
        <w:bottom w:val="none" w:sz="0" w:space="0" w:color="auto"/>
        <w:right w:val="none" w:sz="0" w:space="0" w:color="auto"/>
      </w:divBdr>
    </w:div>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117">
      <w:bodyDiv w:val="1"/>
      <w:marLeft w:val="0"/>
      <w:marRight w:val="0"/>
      <w:marTop w:val="0"/>
      <w:marBottom w:val="0"/>
      <w:divBdr>
        <w:top w:val="none" w:sz="0" w:space="0" w:color="auto"/>
        <w:left w:val="none" w:sz="0" w:space="0" w:color="auto"/>
        <w:bottom w:val="none" w:sz="0" w:space="0" w:color="auto"/>
        <w:right w:val="none" w:sz="0" w:space="0" w:color="auto"/>
      </w:divBdr>
    </w:div>
    <w:div w:id="809136290">
      <w:bodyDiv w:val="1"/>
      <w:marLeft w:val="0"/>
      <w:marRight w:val="0"/>
      <w:marTop w:val="0"/>
      <w:marBottom w:val="0"/>
      <w:divBdr>
        <w:top w:val="none" w:sz="0" w:space="0" w:color="auto"/>
        <w:left w:val="none" w:sz="0" w:space="0" w:color="auto"/>
        <w:bottom w:val="none" w:sz="0" w:space="0" w:color="auto"/>
        <w:right w:val="none" w:sz="0" w:space="0" w:color="auto"/>
      </w:divBdr>
    </w:div>
    <w:div w:id="821503360">
      <w:bodyDiv w:val="1"/>
      <w:marLeft w:val="0"/>
      <w:marRight w:val="0"/>
      <w:marTop w:val="0"/>
      <w:marBottom w:val="0"/>
      <w:divBdr>
        <w:top w:val="none" w:sz="0" w:space="0" w:color="auto"/>
        <w:left w:val="none" w:sz="0" w:space="0" w:color="auto"/>
        <w:bottom w:val="none" w:sz="0" w:space="0" w:color="auto"/>
        <w:right w:val="none" w:sz="0" w:space="0" w:color="auto"/>
      </w:divBdr>
    </w:div>
    <w:div w:id="825514701">
      <w:bodyDiv w:val="1"/>
      <w:marLeft w:val="0"/>
      <w:marRight w:val="0"/>
      <w:marTop w:val="0"/>
      <w:marBottom w:val="0"/>
      <w:divBdr>
        <w:top w:val="none" w:sz="0" w:space="0" w:color="auto"/>
        <w:left w:val="none" w:sz="0" w:space="0" w:color="auto"/>
        <w:bottom w:val="none" w:sz="0" w:space="0" w:color="auto"/>
        <w:right w:val="none" w:sz="0" w:space="0" w:color="auto"/>
      </w:divBdr>
    </w:div>
    <w:div w:id="828524765">
      <w:bodyDiv w:val="1"/>
      <w:marLeft w:val="0"/>
      <w:marRight w:val="0"/>
      <w:marTop w:val="0"/>
      <w:marBottom w:val="0"/>
      <w:divBdr>
        <w:top w:val="none" w:sz="0" w:space="0" w:color="auto"/>
        <w:left w:val="none" w:sz="0" w:space="0" w:color="auto"/>
        <w:bottom w:val="none" w:sz="0" w:space="0" w:color="auto"/>
        <w:right w:val="none" w:sz="0" w:space="0" w:color="auto"/>
      </w:divBdr>
    </w:div>
    <w:div w:id="833302173">
      <w:bodyDiv w:val="1"/>
      <w:marLeft w:val="0"/>
      <w:marRight w:val="0"/>
      <w:marTop w:val="0"/>
      <w:marBottom w:val="0"/>
      <w:divBdr>
        <w:top w:val="none" w:sz="0" w:space="0" w:color="auto"/>
        <w:left w:val="none" w:sz="0" w:space="0" w:color="auto"/>
        <w:bottom w:val="none" w:sz="0" w:space="0" w:color="auto"/>
        <w:right w:val="none" w:sz="0" w:space="0" w:color="auto"/>
      </w:divBdr>
    </w:div>
    <w:div w:id="836262183">
      <w:bodyDiv w:val="1"/>
      <w:marLeft w:val="0"/>
      <w:marRight w:val="0"/>
      <w:marTop w:val="0"/>
      <w:marBottom w:val="0"/>
      <w:divBdr>
        <w:top w:val="none" w:sz="0" w:space="0" w:color="auto"/>
        <w:left w:val="none" w:sz="0" w:space="0" w:color="auto"/>
        <w:bottom w:val="none" w:sz="0" w:space="0" w:color="auto"/>
        <w:right w:val="none" w:sz="0" w:space="0" w:color="auto"/>
      </w:divBdr>
    </w:div>
    <w:div w:id="853879254">
      <w:bodyDiv w:val="1"/>
      <w:marLeft w:val="0"/>
      <w:marRight w:val="0"/>
      <w:marTop w:val="0"/>
      <w:marBottom w:val="0"/>
      <w:divBdr>
        <w:top w:val="none" w:sz="0" w:space="0" w:color="auto"/>
        <w:left w:val="none" w:sz="0" w:space="0" w:color="auto"/>
        <w:bottom w:val="none" w:sz="0" w:space="0" w:color="auto"/>
        <w:right w:val="none" w:sz="0" w:space="0" w:color="auto"/>
      </w:divBdr>
    </w:div>
    <w:div w:id="858007963">
      <w:bodyDiv w:val="1"/>
      <w:marLeft w:val="0"/>
      <w:marRight w:val="0"/>
      <w:marTop w:val="0"/>
      <w:marBottom w:val="0"/>
      <w:divBdr>
        <w:top w:val="none" w:sz="0" w:space="0" w:color="auto"/>
        <w:left w:val="none" w:sz="0" w:space="0" w:color="auto"/>
        <w:bottom w:val="none" w:sz="0" w:space="0" w:color="auto"/>
        <w:right w:val="none" w:sz="0" w:space="0" w:color="auto"/>
      </w:divBdr>
    </w:div>
    <w:div w:id="863598044">
      <w:bodyDiv w:val="1"/>
      <w:marLeft w:val="0"/>
      <w:marRight w:val="0"/>
      <w:marTop w:val="0"/>
      <w:marBottom w:val="0"/>
      <w:divBdr>
        <w:top w:val="none" w:sz="0" w:space="0" w:color="auto"/>
        <w:left w:val="none" w:sz="0" w:space="0" w:color="auto"/>
        <w:bottom w:val="none" w:sz="0" w:space="0" w:color="auto"/>
        <w:right w:val="none" w:sz="0" w:space="0" w:color="auto"/>
      </w:divBdr>
    </w:div>
    <w:div w:id="870146551">
      <w:bodyDiv w:val="1"/>
      <w:marLeft w:val="0"/>
      <w:marRight w:val="0"/>
      <w:marTop w:val="0"/>
      <w:marBottom w:val="0"/>
      <w:divBdr>
        <w:top w:val="none" w:sz="0" w:space="0" w:color="auto"/>
        <w:left w:val="none" w:sz="0" w:space="0" w:color="auto"/>
        <w:bottom w:val="none" w:sz="0" w:space="0" w:color="auto"/>
        <w:right w:val="none" w:sz="0" w:space="0" w:color="auto"/>
      </w:divBdr>
    </w:div>
    <w:div w:id="870462502">
      <w:bodyDiv w:val="1"/>
      <w:marLeft w:val="0"/>
      <w:marRight w:val="0"/>
      <w:marTop w:val="0"/>
      <w:marBottom w:val="0"/>
      <w:divBdr>
        <w:top w:val="none" w:sz="0" w:space="0" w:color="auto"/>
        <w:left w:val="none" w:sz="0" w:space="0" w:color="auto"/>
        <w:bottom w:val="none" w:sz="0" w:space="0" w:color="auto"/>
        <w:right w:val="none" w:sz="0" w:space="0" w:color="auto"/>
      </w:divBdr>
    </w:div>
    <w:div w:id="871264792">
      <w:bodyDiv w:val="1"/>
      <w:marLeft w:val="0"/>
      <w:marRight w:val="0"/>
      <w:marTop w:val="0"/>
      <w:marBottom w:val="0"/>
      <w:divBdr>
        <w:top w:val="none" w:sz="0" w:space="0" w:color="auto"/>
        <w:left w:val="none" w:sz="0" w:space="0" w:color="auto"/>
        <w:bottom w:val="none" w:sz="0" w:space="0" w:color="auto"/>
        <w:right w:val="none" w:sz="0" w:space="0" w:color="auto"/>
      </w:divBdr>
    </w:div>
    <w:div w:id="879127346">
      <w:bodyDiv w:val="1"/>
      <w:marLeft w:val="0"/>
      <w:marRight w:val="0"/>
      <w:marTop w:val="0"/>
      <w:marBottom w:val="0"/>
      <w:divBdr>
        <w:top w:val="none" w:sz="0" w:space="0" w:color="auto"/>
        <w:left w:val="none" w:sz="0" w:space="0" w:color="auto"/>
        <w:bottom w:val="none" w:sz="0" w:space="0" w:color="auto"/>
        <w:right w:val="none" w:sz="0" w:space="0" w:color="auto"/>
      </w:divBdr>
      <w:divsChild>
        <w:div w:id="664088597">
          <w:marLeft w:val="0"/>
          <w:marRight w:val="0"/>
          <w:marTop w:val="0"/>
          <w:marBottom w:val="0"/>
          <w:divBdr>
            <w:top w:val="none" w:sz="0" w:space="0" w:color="auto"/>
            <w:left w:val="none" w:sz="0" w:space="0" w:color="auto"/>
            <w:bottom w:val="none" w:sz="0" w:space="0" w:color="auto"/>
            <w:right w:val="none" w:sz="0" w:space="0" w:color="auto"/>
          </w:divBdr>
          <w:divsChild>
            <w:div w:id="2050759966">
              <w:marLeft w:val="0"/>
              <w:marRight w:val="0"/>
              <w:marTop w:val="0"/>
              <w:marBottom w:val="0"/>
              <w:divBdr>
                <w:top w:val="none" w:sz="0" w:space="0" w:color="auto"/>
                <w:left w:val="none" w:sz="0" w:space="0" w:color="auto"/>
                <w:bottom w:val="none" w:sz="0" w:space="0" w:color="auto"/>
                <w:right w:val="none" w:sz="0" w:space="0" w:color="auto"/>
              </w:divBdr>
              <w:divsChild>
                <w:div w:id="1985770354">
                  <w:marLeft w:val="0"/>
                  <w:marRight w:val="0"/>
                  <w:marTop w:val="0"/>
                  <w:marBottom w:val="0"/>
                  <w:divBdr>
                    <w:top w:val="none" w:sz="0" w:space="0" w:color="auto"/>
                    <w:left w:val="none" w:sz="0" w:space="0" w:color="auto"/>
                    <w:bottom w:val="none" w:sz="0" w:space="0" w:color="auto"/>
                    <w:right w:val="none" w:sz="0" w:space="0" w:color="auto"/>
                  </w:divBdr>
                  <w:divsChild>
                    <w:div w:id="19438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6950">
      <w:bodyDiv w:val="1"/>
      <w:marLeft w:val="0"/>
      <w:marRight w:val="0"/>
      <w:marTop w:val="0"/>
      <w:marBottom w:val="0"/>
      <w:divBdr>
        <w:top w:val="none" w:sz="0" w:space="0" w:color="auto"/>
        <w:left w:val="none" w:sz="0" w:space="0" w:color="auto"/>
        <w:bottom w:val="none" w:sz="0" w:space="0" w:color="auto"/>
        <w:right w:val="none" w:sz="0" w:space="0" w:color="auto"/>
      </w:divBdr>
    </w:div>
    <w:div w:id="882332646">
      <w:bodyDiv w:val="1"/>
      <w:marLeft w:val="0"/>
      <w:marRight w:val="0"/>
      <w:marTop w:val="0"/>
      <w:marBottom w:val="0"/>
      <w:divBdr>
        <w:top w:val="none" w:sz="0" w:space="0" w:color="auto"/>
        <w:left w:val="none" w:sz="0" w:space="0" w:color="auto"/>
        <w:bottom w:val="none" w:sz="0" w:space="0" w:color="auto"/>
        <w:right w:val="none" w:sz="0" w:space="0" w:color="auto"/>
      </w:divBdr>
    </w:div>
    <w:div w:id="884947963">
      <w:bodyDiv w:val="1"/>
      <w:marLeft w:val="0"/>
      <w:marRight w:val="0"/>
      <w:marTop w:val="0"/>
      <w:marBottom w:val="0"/>
      <w:divBdr>
        <w:top w:val="none" w:sz="0" w:space="0" w:color="auto"/>
        <w:left w:val="none" w:sz="0" w:space="0" w:color="auto"/>
        <w:bottom w:val="none" w:sz="0" w:space="0" w:color="auto"/>
        <w:right w:val="none" w:sz="0" w:space="0" w:color="auto"/>
      </w:divBdr>
    </w:div>
    <w:div w:id="887423886">
      <w:bodyDiv w:val="1"/>
      <w:marLeft w:val="0"/>
      <w:marRight w:val="0"/>
      <w:marTop w:val="0"/>
      <w:marBottom w:val="0"/>
      <w:divBdr>
        <w:top w:val="none" w:sz="0" w:space="0" w:color="auto"/>
        <w:left w:val="none" w:sz="0" w:space="0" w:color="auto"/>
        <w:bottom w:val="none" w:sz="0" w:space="0" w:color="auto"/>
        <w:right w:val="none" w:sz="0" w:space="0" w:color="auto"/>
      </w:divBdr>
    </w:div>
    <w:div w:id="913199180">
      <w:bodyDiv w:val="1"/>
      <w:marLeft w:val="0"/>
      <w:marRight w:val="0"/>
      <w:marTop w:val="0"/>
      <w:marBottom w:val="0"/>
      <w:divBdr>
        <w:top w:val="none" w:sz="0" w:space="0" w:color="auto"/>
        <w:left w:val="none" w:sz="0" w:space="0" w:color="auto"/>
        <w:bottom w:val="none" w:sz="0" w:space="0" w:color="auto"/>
        <w:right w:val="none" w:sz="0" w:space="0" w:color="auto"/>
      </w:divBdr>
    </w:div>
    <w:div w:id="919144008">
      <w:bodyDiv w:val="1"/>
      <w:marLeft w:val="0"/>
      <w:marRight w:val="0"/>
      <w:marTop w:val="0"/>
      <w:marBottom w:val="0"/>
      <w:divBdr>
        <w:top w:val="none" w:sz="0" w:space="0" w:color="auto"/>
        <w:left w:val="none" w:sz="0" w:space="0" w:color="auto"/>
        <w:bottom w:val="none" w:sz="0" w:space="0" w:color="auto"/>
        <w:right w:val="none" w:sz="0" w:space="0" w:color="auto"/>
      </w:divBdr>
    </w:div>
    <w:div w:id="926112796">
      <w:bodyDiv w:val="1"/>
      <w:marLeft w:val="0"/>
      <w:marRight w:val="0"/>
      <w:marTop w:val="0"/>
      <w:marBottom w:val="0"/>
      <w:divBdr>
        <w:top w:val="none" w:sz="0" w:space="0" w:color="auto"/>
        <w:left w:val="none" w:sz="0" w:space="0" w:color="auto"/>
        <w:bottom w:val="none" w:sz="0" w:space="0" w:color="auto"/>
        <w:right w:val="none" w:sz="0" w:space="0" w:color="auto"/>
      </w:divBdr>
    </w:div>
    <w:div w:id="929117287">
      <w:bodyDiv w:val="1"/>
      <w:marLeft w:val="0"/>
      <w:marRight w:val="0"/>
      <w:marTop w:val="0"/>
      <w:marBottom w:val="0"/>
      <w:divBdr>
        <w:top w:val="none" w:sz="0" w:space="0" w:color="auto"/>
        <w:left w:val="none" w:sz="0" w:space="0" w:color="auto"/>
        <w:bottom w:val="none" w:sz="0" w:space="0" w:color="auto"/>
        <w:right w:val="none" w:sz="0" w:space="0" w:color="auto"/>
      </w:divBdr>
    </w:div>
    <w:div w:id="930965978">
      <w:bodyDiv w:val="1"/>
      <w:marLeft w:val="0"/>
      <w:marRight w:val="0"/>
      <w:marTop w:val="0"/>
      <w:marBottom w:val="0"/>
      <w:divBdr>
        <w:top w:val="none" w:sz="0" w:space="0" w:color="auto"/>
        <w:left w:val="none" w:sz="0" w:space="0" w:color="auto"/>
        <w:bottom w:val="none" w:sz="0" w:space="0" w:color="auto"/>
        <w:right w:val="none" w:sz="0" w:space="0" w:color="auto"/>
      </w:divBdr>
    </w:div>
    <w:div w:id="938176807">
      <w:bodyDiv w:val="1"/>
      <w:marLeft w:val="0"/>
      <w:marRight w:val="0"/>
      <w:marTop w:val="0"/>
      <w:marBottom w:val="0"/>
      <w:divBdr>
        <w:top w:val="none" w:sz="0" w:space="0" w:color="auto"/>
        <w:left w:val="none" w:sz="0" w:space="0" w:color="auto"/>
        <w:bottom w:val="none" w:sz="0" w:space="0" w:color="auto"/>
        <w:right w:val="none" w:sz="0" w:space="0" w:color="auto"/>
      </w:divBdr>
    </w:div>
    <w:div w:id="943345415">
      <w:bodyDiv w:val="1"/>
      <w:marLeft w:val="0"/>
      <w:marRight w:val="0"/>
      <w:marTop w:val="0"/>
      <w:marBottom w:val="0"/>
      <w:divBdr>
        <w:top w:val="none" w:sz="0" w:space="0" w:color="auto"/>
        <w:left w:val="none" w:sz="0" w:space="0" w:color="auto"/>
        <w:bottom w:val="none" w:sz="0" w:space="0" w:color="auto"/>
        <w:right w:val="none" w:sz="0" w:space="0" w:color="auto"/>
      </w:divBdr>
      <w:divsChild>
        <w:div w:id="642345372">
          <w:marLeft w:val="0"/>
          <w:marRight w:val="0"/>
          <w:marTop w:val="0"/>
          <w:marBottom w:val="0"/>
          <w:divBdr>
            <w:top w:val="none" w:sz="0" w:space="0" w:color="auto"/>
            <w:left w:val="none" w:sz="0" w:space="0" w:color="auto"/>
            <w:bottom w:val="none" w:sz="0" w:space="0" w:color="auto"/>
            <w:right w:val="none" w:sz="0" w:space="0" w:color="auto"/>
          </w:divBdr>
          <w:divsChild>
            <w:div w:id="1739471240">
              <w:marLeft w:val="0"/>
              <w:marRight w:val="0"/>
              <w:marTop w:val="0"/>
              <w:marBottom w:val="0"/>
              <w:divBdr>
                <w:top w:val="none" w:sz="0" w:space="0" w:color="auto"/>
                <w:left w:val="none" w:sz="0" w:space="0" w:color="auto"/>
                <w:bottom w:val="none" w:sz="0" w:space="0" w:color="auto"/>
                <w:right w:val="none" w:sz="0" w:space="0" w:color="auto"/>
              </w:divBdr>
              <w:divsChild>
                <w:div w:id="929704872">
                  <w:marLeft w:val="0"/>
                  <w:marRight w:val="0"/>
                  <w:marTop w:val="0"/>
                  <w:marBottom w:val="0"/>
                  <w:divBdr>
                    <w:top w:val="none" w:sz="0" w:space="0" w:color="auto"/>
                    <w:left w:val="none" w:sz="0" w:space="0" w:color="auto"/>
                    <w:bottom w:val="none" w:sz="0" w:space="0" w:color="auto"/>
                    <w:right w:val="none" w:sz="0" w:space="0" w:color="auto"/>
                  </w:divBdr>
                  <w:divsChild>
                    <w:div w:id="59428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50911">
      <w:bodyDiv w:val="1"/>
      <w:marLeft w:val="0"/>
      <w:marRight w:val="0"/>
      <w:marTop w:val="0"/>
      <w:marBottom w:val="0"/>
      <w:divBdr>
        <w:top w:val="none" w:sz="0" w:space="0" w:color="auto"/>
        <w:left w:val="none" w:sz="0" w:space="0" w:color="auto"/>
        <w:bottom w:val="none" w:sz="0" w:space="0" w:color="auto"/>
        <w:right w:val="none" w:sz="0" w:space="0" w:color="auto"/>
      </w:divBdr>
    </w:div>
    <w:div w:id="970014358">
      <w:bodyDiv w:val="1"/>
      <w:marLeft w:val="0"/>
      <w:marRight w:val="0"/>
      <w:marTop w:val="0"/>
      <w:marBottom w:val="0"/>
      <w:divBdr>
        <w:top w:val="none" w:sz="0" w:space="0" w:color="auto"/>
        <w:left w:val="none" w:sz="0" w:space="0" w:color="auto"/>
        <w:bottom w:val="none" w:sz="0" w:space="0" w:color="auto"/>
        <w:right w:val="none" w:sz="0" w:space="0" w:color="auto"/>
      </w:divBdr>
    </w:div>
    <w:div w:id="994457279">
      <w:bodyDiv w:val="1"/>
      <w:marLeft w:val="0"/>
      <w:marRight w:val="0"/>
      <w:marTop w:val="0"/>
      <w:marBottom w:val="0"/>
      <w:divBdr>
        <w:top w:val="none" w:sz="0" w:space="0" w:color="auto"/>
        <w:left w:val="none" w:sz="0" w:space="0" w:color="auto"/>
        <w:bottom w:val="none" w:sz="0" w:space="0" w:color="auto"/>
        <w:right w:val="none" w:sz="0" w:space="0" w:color="auto"/>
      </w:divBdr>
    </w:div>
    <w:div w:id="1002200440">
      <w:bodyDiv w:val="1"/>
      <w:marLeft w:val="0"/>
      <w:marRight w:val="0"/>
      <w:marTop w:val="0"/>
      <w:marBottom w:val="0"/>
      <w:divBdr>
        <w:top w:val="none" w:sz="0" w:space="0" w:color="auto"/>
        <w:left w:val="none" w:sz="0" w:space="0" w:color="auto"/>
        <w:bottom w:val="none" w:sz="0" w:space="0" w:color="auto"/>
        <w:right w:val="none" w:sz="0" w:space="0" w:color="auto"/>
      </w:divBdr>
    </w:div>
    <w:div w:id="1007173051">
      <w:bodyDiv w:val="1"/>
      <w:marLeft w:val="0"/>
      <w:marRight w:val="0"/>
      <w:marTop w:val="0"/>
      <w:marBottom w:val="0"/>
      <w:divBdr>
        <w:top w:val="none" w:sz="0" w:space="0" w:color="auto"/>
        <w:left w:val="none" w:sz="0" w:space="0" w:color="auto"/>
        <w:bottom w:val="none" w:sz="0" w:space="0" w:color="auto"/>
        <w:right w:val="none" w:sz="0" w:space="0" w:color="auto"/>
      </w:divBdr>
    </w:div>
    <w:div w:id="1026441143">
      <w:bodyDiv w:val="1"/>
      <w:marLeft w:val="0"/>
      <w:marRight w:val="0"/>
      <w:marTop w:val="0"/>
      <w:marBottom w:val="0"/>
      <w:divBdr>
        <w:top w:val="none" w:sz="0" w:space="0" w:color="auto"/>
        <w:left w:val="none" w:sz="0" w:space="0" w:color="auto"/>
        <w:bottom w:val="none" w:sz="0" w:space="0" w:color="auto"/>
        <w:right w:val="none" w:sz="0" w:space="0" w:color="auto"/>
      </w:divBdr>
    </w:div>
    <w:div w:id="1035885189">
      <w:bodyDiv w:val="1"/>
      <w:marLeft w:val="0"/>
      <w:marRight w:val="0"/>
      <w:marTop w:val="0"/>
      <w:marBottom w:val="0"/>
      <w:divBdr>
        <w:top w:val="none" w:sz="0" w:space="0" w:color="auto"/>
        <w:left w:val="none" w:sz="0" w:space="0" w:color="auto"/>
        <w:bottom w:val="none" w:sz="0" w:space="0" w:color="auto"/>
        <w:right w:val="none" w:sz="0" w:space="0" w:color="auto"/>
      </w:divBdr>
    </w:div>
    <w:div w:id="1036588142">
      <w:bodyDiv w:val="1"/>
      <w:marLeft w:val="0"/>
      <w:marRight w:val="0"/>
      <w:marTop w:val="0"/>
      <w:marBottom w:val="0"/>
      <w:divBdr>
        <w:top w:val="none" w:sz="0" w:space="0" w:color="auto"/>
        <w:left w:val="none" w:sz="0" w:space="0" w:color="auto"/>
        <w:bottom w:val="none" w:sz="0" w:space="0" w:color="auto"/>
        <w:right w:val="none" w:sz="0" w:space="0" w:color="auto"/>
      </w:divBdr>
    </w:div>
    <w:div w:id="1039861769">
      <w:bodyDiv w:val="1"/>
      <w:marLeft w:val="0"/>
      <w:marRight w:val="0"/>
      <w:marTop w:val="0"/>
      <w:marBottom w:val="0"/>
      <w:divBdr>
        <w:top w:val="none" w:sz="0" w:space="0" w:color="auto"/>
        <w:left w:val="none" w:sz="0" w:space="0" w:color="auto"/>
        <w:bottom w:val="none" w:sz="0" w:space="0" w:color="auto"/>
        <w:right w:val="none" w:sz="0" w:space="0" w:color="auto"/>
      </w:divBdr>
    </w:div>
    <w:div w:id="1046178930">
      <w:bodyDiv w:val="1"/>
      <w:marLeft w:val="0"/>
      <w:marRight w:val="0"/>
      <w:marTop w:val="0"/>
      <w:marBottom w:val="0"/>
      <w:divBdr>
        <w:top w:val="none" w:sz="0" w:space="0" w:color="auto"/>
        <w:left w:val="none" w:sz="0" w:space="0" w:color="auto"/>
        <w:bottom w:val="none" w:sz="0" w:space="0" w:color="auto"/>
        <w:right w:val="none" w:sz="0" w:space="0" w:color="auto"/>
      </w:divBdr>
    </w:div>
    <w:div w:id="1054233110">
      <w:bodyDiv w:val="1"/>
      <w:marLeft w:val="0"/>
      <w:marRight w:val="0"/>
      <w:marTop w:val="0"/>
      <w:marBottom w:val="0"/>
      <w:divBdr>
        <w:top w:val="none" w:sz="0" w:space="0" w:color="auto"/>
        <w:left w:val="none" w:sz="0" w:space="0" w:color="auto"/>
        <w:bottom w:val="none" w:sz="0" w:space="0" w:color="auto"/>
        <w:right w:val="none" w:sz="0" w:space="0" w:color="auto"/>
      </w:divBdr>
    </w:div>
    <w:div w:id="1055618988">
      <w:bodyDiv w:val="1"/>
      <w:marLeft w:val="0"/>
      <w:marRight w:val="0"/>
      <w:marTop w:val="0"/>
      <w:marBottom w:val="0"/>
      <w:divBdr>
        <w:top w:val="none" w:sz="0" w:space="0" w:color="auto"/>
        <w:left w:val="none" w:sz="0" w:space="0" w:color="auto"/>
        <w:bottom w:val="none" w:sz="0" w:space="0" w:color="auto"/>
        <w:right w:val="none" w:sz="0" w:space="0" w:color="auto"/>
      </w:divBdr>
    </w:div>
    <w:div w:id="1058750833">
      <w:bodyDiv w:val="1"/>
      <w:marLeft w:val="0"/>
      <w:marRight w:val="0"/>
      <w:marTop w:val="0"/>
      <w:marBottom w:val="0"/>
      <w:divBdr>
        <w:top w:val="none" w:sz="0" w:space="0" w:color="auto"/>
        <w:left w:val="none" w:sz="0" w:space="0" w:color="auto"/>
        <w:bottom w:val="none" w:sz="0" w:space="0" w:color="auto"/>
        <w:right w:val="none" w:sz="0" w:space="0" w:color="auto"/>
      </w:divBdr>
    </w:div>
    <w:div w:id="1065567681">
      <w:bodyDiv w:val="1"/>
      <w:marLeft w:val="0"/>
      <w:marRight w:val="0"/>
      <w:marTop w:val="0"/>
      <w:marBottom w:val="0"/>
      <w:divBdr>
        <w:top w:val="none" w:sz="0" w:space="0" w:color="auto"/>
        <w:left w:val="none" w:sz="0" w:space="0" w:color="auto"/>
        <w:bottom w:val="none" w:sz="0" w:space="0" w:color="auto"/>
        <w:right w:val="none" w:sz="0" w:space="0" w:color="auto"/>
      </w:divBdr>
    </w:div>
    <w:div w:id="1069353061">
      <w:bodyDiv w:val="1"/>
      <w:marLeft w:val="0"/>
      <w:marRight w:val="0"/>
      <w:marTop w:val="0"/>
      <w:marBottom w:val="0"/>
      <w:divBdr>
        <w:top w:val="none" w:sz="0" w:space="0" w:color="auto"/>
        <w:left w:val="none" w:sz="0" w:space="0" w:color="auto"/>
        <w:bottom w:val="none" w:sz="0" w:space="0" w:color="auto"/>
        <w:right w:val="none" w:sz="0" w:space="0" w:color="auto"/>
      </w:divBdr>
    </w:div>
    <w:div w:id="1076823701">
      <w:bodyDiv w:val="1"/>
      <w:marLeft w:val="0"/>
      <w:marRight w:val="0"/>
      <w:marTop w:val="0"/>
      <w:marBottom w:val="0"/>
      <w:divBdr>
        <w:top w:val="none" w:sz="0" w:space="0" w:color="auto"/>
        <w:left w:val="none" w:sz="0" w:space="0" w:color="auto"/>
        <w:bottom w:val="none" w:sz="0" w:space="0" w:color="auto"/>
        <w:right w:val="none" w:sz="0" w:space="0" w:color="auto"/>
      </w:divBdr>
    </w:div>
    <w:div w:id="1077246502">
      <w:bodyDiv w:val="1"/>
      <w:marLeft w:val="0"/>
      <w:marRight w:val="0"/>
      <w:marTop w:val="0"/>
      <w:marBottom w:val="0"/>
      <w:divBdr>
        <w:top w:val="none" w:sz="0" w:space="0" w:color="auto"/>
        <w:left w:val="none" w:sz="0" w:space="0" w:color="auto"/>
        <w:bottom w:val="none" w:sz="0" w:space="0" w:color="auto"/>
        <w:right w:val="none" w:sz="0" w:space="0" w:color="auto"/>
      </w:divBdr>
    </w:div>
    <w:div w:id="1077937806">
      <w:bodyDiv w:val="1"/>
      <w:marLeft w:val="0"/>
      <w:marRight w:val="0"/>
      <w:marTop w:val="0"/>
      <w:marBottom w:val="0"/>
      <w:divBdr>
        <w:top w:val="none" w:sz="0" w:space="0" w:color="auto"/>
        <w:left w:val="none" w:sz="0" w:space="0" w:color="auto"/>
        <w:bottom w:val="none" w:sz="0" w:space="0" w:color="auto"/>
        <w:right w:val="none" w:sz="0" w:space="0" w:color="auto"/>
      </w:divBdr>
    </w:div>
    <w:div w:id="1089352561">
      <w:bodyDiv w:val="1"/>
      <w:marLeft w:val="0"/>
      <w:marRight w:val="0"/>
      <w:marTop w:val="0"/>
      <w:marBottom w:val="0"/>
      <w:divBdr>
        <w:top w:val="none" w:sz="0" w:space="0" w:color="auto"/>
        <w:left w:val="none" w:sz="0" w:space="0" w:color="auto"/>
        <w:bottom w:val="none" w:sz="0" w:space="0" w:color="auto"/>
        <w:right w:val="none" w:sz="0" w:space="0" w:color="auto"/>
      </w:divBdr>
    </w:div>
    <w:div w:id="1099058703">
      <w:bodyDiv w:val="1"/>
      <w:marLeft w:val="0"/>
      <w:marRight w:val="0"/>
      <w:marTop w:val="0"/>
      <w:marBottom w:val="0"/>
      <w:divBdr>
        <w:top w:val="none" w:sz="0" w:space="0" w:color="auto"/>
        <w:left w:val="none" w:sz="0" w:space="0" w:color="auto"/>
        <w:bottom w:val="none" w:sz="0" w:space="0" w:color="auto"/>
        <w:right w:val="none" w:sz="0" w:space="0" w:color="auto"/>
      </w:divBdr>
    </w:div>
    <w:div w:id="1101871909">
      <w:bodyDiv w:val="1"/>
      <w:marLeft w:val="0"/>
      <w:marRight w:val="0"/>
      <w:marTop w:val="0"/>
      <w:marBottom w:val="0"/>
      <w:divBdr>
        <w:top w:val="none" w:sz="0" w:space="0" w:color="auto"/>
        <w:left w:val="none" w:sz="0" w:space="0" w:color="auto"/>
        <w:bottom w:val="none" w:sz="0" w:space="0" w:color="auto"/>
        <w:right w:val="none" w:sz="0" w:space="0" w:color="auto"/>
      </w:divBdr>
    </w:div>
    <w:div w:id="1103573638">
      <w:bodyDiv w:val="1"/>
      <w:marLeft w:val="0"/>
      <w:marRight w:val="0"/>
      <w:marTop w:val="0"/>
      <w:marBottom w:val="0"/>
      <w:divBdr>
        <w:top w:val="none" w:sz="0" w:space="0" w:color="auto"/>
        <w:left w:val="none" w:sz="0" w:space="0" w:color="auto"/>
        <w:bottom w:val="none" w:sz="0" w:space="0" w:color="auto"/>
        <w:right w:val="none" w:sz="0" w:space="0" w:color="auto"/>
      </w:divBdr>
    </w:div>
    <w:div w:id="1114711119">
      <w:bodyDiv w:val="1"/>
      <w:marLeft w:val="0"/>
      <w:marRight w:val="0"/>
      <w:marTop w:val="0"/>
      <w:marBottom w:val="0"/>
      <w:divBdr>
        <w:top w:val="none" w:sz="0" w:space="0" w:color="auto"/>
        <w:left w:val="none" w:sz="0" w:space="0" w:color="auto"/>
        <w:bottom w:val="none" w:sz="0" w:space="0" w:color="auto"/>
        <w:right w:val="none" w:sz="0" w:space="0" w:color="auto"/>
      </w:divBdr>
    </w:div>
    <w:div w:id="1121415981">
      <w:bodyDiv w:val="1"/>
      <w:marLeft w:val="0"/>
      <w:marRight w:val="0"/>
      <w:marTop w:val="0"/>
      <w:marBottom w:val="0"/>
      <w:divBdr>
        <w:top w:val="none" w:sz="0" w:space="0" w:color="auto"/>
        <w:left w:val="none" w:sz="0" w:space="0" w:color="auto"/>
        <w:bottom w:val="none" w:sz="0" w:space="0" w:color="auto"/>
        <w:right w:val="none" w:sz="0" w:space="0" w:color="auto"/>
      </w:divBdr>
    </w:div>
    <w:div w:id="1121806894">
      <w:bodyDiv w:val="1"/>
      <w:marLeft w:val="0"/>
      <w:marRight w:val="0"/>
      <w:marTop w:val="0"/>
      <w:marBottom w:val="0"/>
      <w:divBdr>
        <w:top w:val="none" w:sz="0" w:space="0" w:color="auto"/>
        <w:left w:val="none" w:sz="0" w:space="0" w:color="auto"/>
        <w:bottom w:val="none" w:sz="0" w:space="0" w:color="auto"/>
        <w:right w:val="none" w:sz="0" w:space="0" w:color="auto"/>
      </w:divBdr>
    </w:div>
    <w:div w:id="1126773612">
      <w:bodyDiv w:val="1"/>
      <w:marLeft w:val="0"/>
      <w:marRight w:val="0"/>
      <w:marTop w:val="0"/>
      <w:marBottom w:val="0"/>
      <w:divBdr>
        <w:top w:val="none" w:sz="0" w:space="0" w:color="auto"/>
        <w:left w:val="none" w:sz="0" w:space="0" w:color="auto"/>
        <w:bottom w:val="none" w:sz="0" w:space="0" w:color="auto"/>
        <w:right w:val="none" w:sz="0" w:space="0" w:color="auto"/>
      </w:divBdr>
    </w:div>
    <w:div w:id="1130126172">
      <w:bodyDiv w:val="1"/>
      <w:marLeft w:val="0"/>
      <w:marRight w:val="0"/>
      <w:marTop w:val="0"/>
      <w:marBottom w:val="0"/>
      <w:divBdr>
        <w:top w:val="none" w:sz="0" w:space="0" w:color="auto"/>
        <w:left w:val="none" w:sz="0" w:space="0" w:color="auto"/>
        <w:bottom w:val="none" w:sz="0" w:space="0" w:color="auto"/>
        <w:right w:val="none" w:sz="0" w:space="0" w:color="auto"/>
      </w:divBdr>
    </w:div>
    <w:div w:id="1132289593">
      <w:bodyDiv w:val="1"/>
      <w:marLeft w:val="0"/>
      <w:marRight w:val="0"/>
      <w:marTop w:val="0"/>
      <w:marBottom w:val="0"/>
      <w:divBdr>
        <w:top w:val="none" w:sz="0" w:space="0" w:color="auto"/>
        <w:left w:val="none" w:sz="0" w:space="0" w:color="auto"/>
        <w:bottom w:val="none" w:sz="0" w:space="0" w:color="auto"/>
        <w:right w:val="none" w:sz="0" w:space="0" w:color="auto"/>
      </w:divBdr>
    </w:div>
    <w:div w:id="1137917246">
      <w:bodyDiv w:val="1"/>
      <w:marLeft w:val="0"/>
      <w:marRight w:val="0"/>
      <w:marTop w:val="0"/>
      <w:marBottom w:val="0"/>
      <w:divBdr>
        <w:top w:val="none" w:sz="0" w:space="0" w:color="auto"/>
        <w:left w:val="none" w:sz="0" w:space="0" w:color="auto"/>
        <w:bottom w:val="none" w:sz="0" w:space="0" w:color="auto"/>
        <w:right w:val="none" w:sz="0" w:space="0" w:color="auto"/>
      </w:divBdr>
    </w:div>
    <w:div w:id="1147822395">
      <w:bodyDiv w:val="1"/>
      <w:marLeft w:val="0"/>
      <w:marRight w:val="0"/>
      <w:marTop w:val="0"/>
      <w:marBottom w:val="0"/>
      <w:divBdr>
        <w:top w:val="none" w:sz="0" w:space="0" w:color="auto"/>
        <w:left w:val="none" w:sz="0" w:space="0" w:color="auto"/>
        <w:bottom w:val="none" w:sz="0" w:space="0" w:color="auto"/>
        <w:right w:val="none" w:sz="0" w:space="0" w:color="auto"/>
      </w:divBdr>
    </w:div>
    <w:div w:id="1155030934">
      <w:bodyDiv w:val="1"/>
      <w:marLeft w:val="0"/>
      <w:marRight w:val="0"/>
      <w:marTop w:val="0"/>
      <w:marBottom w:val="0"/>
      <w:divBdr>
        <w:top w:val="none" w:sz="0" w:space="0" w:color="auto"/>
        <w:left w:val="none" w:sz="0" w:space="0" w:color="auto"/>
        <w:bottom w:val="none" w:sz="0" w:space="0" w:color="auto"/>
        <w:right w:val="none" w:sz="0" w:space="0" w:color="auto"/>
      </w:divBdr>
    </w:div>
    <w:div w:id="1157380783">
      <w:bodyDiv w:val="1"/>
      <w:marLeft w:val="0"/>
      <w:marRight w:val="0"/>
      <w:marTop w:val="0"/>
      <w:marBottom w:val="0"/>
      <w:divBdr>
        <w:top w:val="none" w:sz="0" w:space="0" w:color="auto"/>
        <w:left w:val="none" w:sz="0" w:space="0" w:color="auto"/>
        <w:bottom w:val="none" w:sz="0" w:space="0" w:color="auto"/>
        <w:right w:val="none" w:sz="0" w:space="0" w:color="auto"/>
      </w:divBdr>
    </w:div>
    <w:div w:id="1164319993">
      <w:bodyDiv w:val="1"/>
      <w:marLeft w:val="0"/>
      <w:marRight w:val="0"/>
      <w:marTop w:val="0"/>
      <w:marBottom w:val="0"/>
      <w:divBdr>
        <w:top w:val="none" w:sz="0" w:space="0" w:color="auto"/>
        <w:left w:val="none" w:sz="0" w:space="0" w:color="auto"/>
        <w:bottom w:val="none" w:sz="0" w:space="0" w:color="auto"/>
        <w:right w:val="none" w:sz="0" w:space="0" w:color="auto"/>
      </w:divBdr>
    </w:div>
    <w:div w:id="1164780808">
      <w:bodyDiv w:val="1"/>
      <w:marLeft w:val="0"/>
      <w:marRight w:val="0"/>
      <w:marTop w:val="0"/>
      <w:marBottom w:val="0"/>
      <w:divBdr>
        <w:top w:val="none" w:sz="0" w:space="0" w:color="auto"/>
        <w:left w:val="none" w:sz="0" w:space="0" w:color="auto"/>
        <w:bottom w:val="none" w:sz="0" w:space="0" w:color="auto"/>
        <w:right w:val="none" w:sz="0" w:space="0" w:color="auto"/>
      </w:divBdr>
    </w:div>
    <w:div w:id="1174764169">
      <w:bodyDiv w:val="1"/>
      <w:marLeft w:val="0"/>
      <w:marRight w:val="0"/>
      <w:marTop w:val="0"/>
      <w:marBottom w:val="0"/>
      <w:divBdr>
        <w:top w:val="none" w:sz="0" w:space="0" w:color="auto"/>
        <w:left w:val="none" w:sz="0" w:space="0" w:color="auto"/>
        <w:bottom w:val="none" w:sz="0" w:space="0" w:color="auto"/>
        <w:right w:val="none" w:sz="0" w:space="0" w:color="auto"/>
      </w:divBdr>
    </w:div>
    <w:div w:id="1191921318">
      <w:bodyDiv w:val="1"/>
      <w:marLeft w:val="0"/>
      <w:marRight w:val="0"/>
      <w:marTop w:val="0"/>
      <w:marBottom w:val="0"/>
      <w:divBdr>
        <w:top w:val="none" w:sz="0" w:space="0" w:color="auto"/>
        <w:left w:val="none" w:sz="0" w:space="0" w:color="auto"/>
        <w:bottom w:val="none" w:sz="0" w:space="0" w:color="auto"/>
        <w:right w:val="none" w:sz="0" w:space="0" w:color="auto"/>
      </w:divBdr>
    </w:div>
    <w:div w:id="1194342004">
      <w:bodyDiv w:val="1"/>
      <w:marLeft w:val="0"/>
      <w:marRight w:val="0"/>
      <w:marTop w:val="0"/>
      <w:marBottom w:val="0"/>
      <w:divBdr>
        <w:top w:val="none" w:sz="0" w:space="0" w:color="auto"/>
        <w:left w:val="none" w:sz="0" w:space="0" w:color="auto"/>
        <w:bottom w:val="none" w:sz="0" w:space="0" w:color="auto"/>
        <w:right w:val="none" w:sz="0" w:space="0" w:color="auto"/>
      </w:divBdr>
    </w:div>
    <w:div w:id="1196239057">
      <w:bodyDiv w:val="1"/>
      <w:marLeft w:val="0"/>
      <w:marRight w:val="0"/>
      <w:marTop w:val="0"/>
      <w:marBottom w:val="0"/>
      <w:divBdr>
        <w:top w:val="none" w:sz="0" w:space="0" w:color="auto"/>
        <w:left w:val="none" w:sz="0" w:space="0" w:color="auto"/>
        <w:bottom w:val="none" w:sz="0" w:space="0" w:color="auto"/>
        <w:right w:val="none" w:sz="0" w:space="0" w:color="auto"/>
      </w:divBdr>
    </w:div>
    <w:div w:id="1210339499">
      <w:bodyDiv w:val="1"/>
      <w:marLeft w:val="0"/>
      <w:marRight w:val="0"/>
      <w:marTop w:val="0"/>
      <w:marBottom w:val="0"/>
      <w:divBdr>
        <w:top w:val="none" w:sz="0" w:space="0" w:color="auto"/>
        <w:left w:val="none" w:sz="0" w:space="0" w:color="auto"/>
        <w:bottom w:val="none" w:sz="0" w:space="0" w:color="auto"/>
        <w:right w:val="none" w:sz="0" w:space="0" w:color="auto"/>
      </w:divBdr>
    </w:div>
    <w:div w:id="1215963709">
      <w:bodyDiv w:val="1"/>
      <w:marLeft w:val="0"/>
      <w:marRight w:val="0"/>
      <w:marTop w:val="0"/>
      <w:marBottom w:val="0"/>
      <w:divBdr>
        <w:top w:val="none" w:sz="0" w:space="0" w:color="auto"/>
        <w:left w:val="none" w:sz="0" w:space="0" w:color="auto"/>
        <w:bottom w:val="none" w:sz="0" w:space="0" w:color="auto"/>
        <w:right w:val="none" w:sz="0" w:space="0" w:color="auto"/>
      </w:divBdr>
    </w:div>
    <w:div w:id="1217089543">
      <w:bodyDiv w:val="1"/>
      <w:marLeft w:val="0"/>
      <w:marRight w:val="0"/>
      <w:marTop w:val="0"/>
      <w:marBottom w:val="0"/>
      <w:divBdr>
        <w:top w:val="none" w:sz="0" w:space="0" w:color="auto"/>
        <w:left w:val="none" w:sz="0" w:space="0" w:color="auto"/>
        <w:bottom w:val="none" w:sz="0" w:space="0" w:color="auto"/>
        <w:right w:val="none" w:sz="0" w:space="0" w:color="auto"/>
      </w:divBdr>
    </w:div>
    <w:div w:id="1221985055">
      <w:bodyDiv w:val="1"/>
      <w:marLeft w:val="0"/>
      <w:marRight w:val="0"/>
      <w:marTop w:val="0"/>
      <w:marBottom w:val="0"/>
      <w:divBdr>
        <w:top w:val="none" w:sz="0" w:space="0" w:color="auto"/>
        <w:left w:val="none" w:sz="0" w:space="0" w:color="auto"/>
        <w:bottom w:val="none" w:sz="0" w:space="0" w:color="auto"/>
        <w:right w:val="none" w:sz="0" w:space="0" w:color="auto"/>
      </w:divBdr>
    </w:div>
    <w:div w:id="1229730221">
      <w:bodyDiv w:val="1"/>
      <w:marLeft w:val="0"/>
      <w:marRight w:val="0"/>
      <w:marTop w:val="0"/>
      <w:marBottom w:val="0"/>
      <w:divBdr>
        <w:top w:val="none" w:sz="0" w:space="0" w:color="auto"/>
        <w:left w:val="none" w:sz="0" w:space="0" w:color="auto"/>
        <w:bottom w:val="none" w:sz="0" w:space="0" w:color="auto"/>
        <w:right w:val="none" w:sz="0" w:space="0" w:color="auto"/>
      </w:divBdr>
    </w:div>
    <w:div w:id="1230921079">
      <w:bodyDiv w:val="1"/>
      <w:marLeft w:val="0"/>
      <w:marRight w:val="0"/>
      <w:marTop w:val="0"/>
      <w:marBottom w:val="0"/>
      <w:divBdr>
        <w:top w:val="none" w:sz="0" w:space="0" w:color="auto"/>
        <w:left w:val="none" w:sz="0" w:space="0" w:color="auto"/>
        <w:bottom w:val="none" w:sz="0" w:space="0" w:color="auto"/>
        <w:right w:val="none" w:sz="0" w:space="0" w:color="auto"/>
      </w:divBdr>
    </w:div>
    <w:div w:id="1240403395">
      <w:bodyDiv w:val="1"/>
      <w:marLeft w:val="0"/>
      <w:marRight w:val="0"/>
      <w:marTop w:val="0"/>
      <w:marBottom w:val="0"/>
      <w:divBdr>
        <w:top w:val="none" w:sz="0" w:space="0" w:color="auto"/>
        <w:left w:val="none" w:sz="0" w:space="0" w:color="auto"/>
        <w:bottom w:val="none" w:sz="0" w:space="0" w:color="auto"/>
        <w:right w:val="none" w:sz="0" w:space="0" w:color="auto"/>
      </w:divBdr>
    </w:div>
    <w:div w:id="1240678616">
      <w:bodyDiv w:val="1"/>
      <w:marLeft w:val="0"/>
      <w:marRight w:val="0"/>
      <w:marTop w:val="0"/>
      <w:marBottom w:val="0"/>
      <w:divBdr>
        <w:top w:val="none" w:sz="0" w:space="0" w:color="auto"/>
        <w:left w:val="none" w:sz="0" w:space="0" w:color="auto"/>
        <w:bottom w:val="none" w:sz="0" w:space="0" w:color="auto"/>
        <w:right w:val="none" w:sz="0" w:space="0" w:color="auto"/>
      </w:divBdr>
    </w:div>
    <w:div w:id="1243831594">
      <w:bodyDiv w:val="1"/>
      <w:marLeft w:val="0"/>
      <w:marRight w:val="0"/>
      <w:marTop w:val="0"/>
      <w:marBottom w:val="0"/>
      <w:divBdr>
        <w:top w:val="none" w:sz="0" w:space="0" w:color="auto"/>
        <w:left w:val="none" w:sz="0" w:space="0" w:color="auto"/>
        <w:bottom w:val="none" w:sz="0" w:space="0" w:color="auto"/>
        <w:right w:val="none" w:sz="0" w:space="0" w:color="auto"/>
      </w:divBdr>
    </w:div>
    <w:div w:id="1248998766">
      <w:bodyDiv w:val="1"/>
      <w:marLeft w:val="0"/>
      <w:marRight w:val="0"/>
      <w:marTop w:val="0"/>
      <w:marBottom w:val="0"/>
      <w:divBdr>
        <w:top w:val="none" w:sz="0" w:space="0" w:color="auto"/>
        <w:left w:val="none" w:sz="0" w:space="0" w:color="auto"/>
        <w:bottom w:val="none" w:sz="0" w:space="0" w:color="auto"/>
        <w:right w:val="none" w:sz="0" w:space="0" w:color="auto"/>
      </w:divBdr>
    </w:div>
    <w:div w:id="1255436178">
      <w:bodyDiv w:val="1"/>
      <w:marLeft w:val="0"/>
      <w:marRight w:val="0"/>
      <w:marTop w:val="0"/>
      <w:marBottom w:val="0"/>
      <w:divBdr>
        <w:top w:val="none" w:sz="0" w:space="0" w:color="auto"/>
        <w:left w:val="none" w:sz="0" w:space="0" w:color="auto"/>
        <w:bottom w:val="none" w:sz="0" w:space="0" w:color="auto"/>
        <w:right w:val="none" w:sz="0" w:space="0" w:color="auto"/>
      </w:divBdr>
    </w:div>
    <w:div w:id="1274484604">
      <w:bodyDiv w:val="1"/>
      <w:marLeft w:val="0"/>
      <w:marRight w:val="0"/>
      <w:marTop w:val="0"/>
      <w:marBottom w:val="0"/>
      <w:divBdr>
        <w:top w:val="none" w:sz="0" w:space="0" w:color="auto"/>
        <w:left w:val="none" w:sz="0" w:space="0" w:color="auto"/>
        <w:bottom w:val="none" w:sz="0" w:space="0" w:color="auto"/>
        <w:right w:val="none" w:sz="0" w:space="0" w:color="auto"/>
      </w:divBdr>
    </w:div>
    <w:div w:id="1281455188">
      <w:bodyDiv w:val="1"/>
      <w:marLeft w:val="0"/>
      <w:marRight w:val="0"/>
      <w:marTop w:val="0"/>
      <w:marBottom w:val="0"/>
      <w:divBdr>
        <w:top w:val="none" w:sz="0" w:space="0" w:color="auto"/>
        <w:left w:val="none" w:sz="0" w:space="0" w:color="auto"/>
        <w:bottom w:val="none" w:sz="0" w:space="0" w:color="auto"/>
        <w:right w:val="none" w:sz="0" w:space="0" w:color="auto"/>
      </w:divBdr>
    </w:div>
    <w:div w:id="1282762833">
      <w:bodyDiv w:val="1"/>
      <w:marLeft w:val="0"/>
      <w:marRight w:val="0"/>
      <w:marTop w:val="0"/>
      <w:marBottom w:val="0"/>
      <w:divBdr>
        <w:top w:val="none" w:sz="0" w:space="0" w:color="auto"/>
        <w:left w:val="none" w:sz="0" w:space="0" w:color="auto"/>
        <w:bottom w:val="none" w:sz="0" w:space="0" w:color="auto"/>
        <w:right w:val="none" w:sz="0" w:space="0" w:color="auto"/>
      </w:divBdr>
    </w:div>
    <w:div w:id="1293946717">
      <w:bodyDiv w:val="1"/>
      <w:marLeft w:val="0"/>
      <w:marRight w:val="0"/>
      <w:marTop w:val="0"/>
      <w:marBottom w:val="0"/>
      <w:divBdr>
        <w:top w:val="none" w:sz="0" w:space="0" w:color="auto"/>
        <w:left w:val="none" w:sz="0" w:space="0" w:color="auto"/>
        <w:bottom w:val="none" w:sz="0" w:space="0" w:color="auto"/>
        <w:right w:val="none" w:sz="0" w:space="0" w:color="auto"/>
      </w:divBdr>
    </w:div>
    <w:div w:id="1298339661">
      <w:bodyDiv w:val="1"/>
      <w:marLeft w:val="0"/>
      <w:marRight w:val="0"/>
      <w:marTop w:val="0"/>
      <w:marBottom w:val="0"/>
      <w:divBdr>
        <w:top w:val="none" w:sz="0" w:space="0" w:color="auto"/>
        <w:left w:val="none" w:sz="0" w:space="0" w:color="auto"/>
        <w:bottom w:val="none" w:sz="0" w:space="0" w:color="auto"/>
        <w:right w:val="none" w:sz="0" w:space="0" w:color="auto"/>
      </w:divBdr>
    </w:div>
    <w:div w:id="1304236699">
      <w:bodyDiv w:val="1"/>
      <w:marLeft w:val="0"/>
      <w:marRight w:val="0"/>
      <w:marTop w:val="0"/>
      <w:marBottom w:val="0"/>
      <w:divBdr>
        <w:top w:val="none" w:sz="0" w:space="0" w:color="auto"/>
        <w:left w:val="none" w:sz="0" w:space="0" w:color="auto"/>
        <w:bottom w:val="none" w:sz="0" w:space="0" w:color="auto"/>
        <w:right w:val="none" w:sz="0" w:space="0" w:color="auto"/>
      </w:divBdr>
      <w:divsChild>
        <w:div w:id="1695183091">
          <w:marLeft w:val="0"/>
          <w:marRight w:val="0"/>
          <w:marTop w:val="0"/>
          <w:marBottom w:val="0"/>
          <w:divBdr>
            <w:top w:val="none" w:sz="0" w:space="0" w:color="auto"/>
            <w:left w:val="none" w:sz="0" w:space="0" w:color="auto"/>
            <w:bottom w:val="none" w:sz="0" w:space="0" w:color="auto"/>
            <w:right w:val="none" w:sz="0" w:space="0" w:color="auto"/>
          </w:divBdr>
          <w:divsChild>
            <w:div w:id="1890149335">
              <w:marLeft w:val="0"/>
              <w:marRight w:val="0"/>
              <w:marTop w:val="0"/>
              <w:marBottom w:val="0"/>
              <w:divBdr>
                <w:top w:val="none" w:sz="0" w:space="0" w:color="auto"/>
                <w:left w:val="none" w:sz="0" w:space="0" w:color="auto"/>
                <w:bottom w:val="none" w:sz="0" w:space="0" w:color="auto"/>
                <w:right w:val="none" w:sz="0" w:space="0" w:color="auto"/>
              </w:divBdr>
              <w:divsChild>
                <w:div w:id="1513639984">
                  <w:marLeft w:val="0"/>
                  <w:marRight w:val="0"/>
                  <w:marTop w:val="0"/>
                  <w:marBottom w:val="0"/>
                  <w:divBdr>
                    <w:top w:val="none" w:sz="0" w:space="0" w:color="auto"/>
                    <w:left w:val="none" w:sz="0" w:space="0" w:color="auto"/>
                    <w:bottom w:val="none" w:sz="0" w:space="0" w:color="auto"/>
                    <w:right w:val="none" w:sz="0" w:space="0" w:color="auto"/>
                  </w:divBdr>
                  <w:divsChild>
                    <w:div w:id="19980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89907">
      <w:bodyDiv w:val="1"/>
      <w:marLeft w:val="0"/>
      <w:marRight w:val="0"/>
      <w:marTop w:val="0"/>
      <w:marBottom w:val="0"/>
      <w:divBdr>
        <w:top w:val="none" w:sz="0" w:space="0" w:color="auto"/>
        <w:left w:val="none" w:sz="0" w:space="0" w:color="auto"/>
        <w:bottom w:val="none" w:sz="0" w:space="0" w:color="auto"/>
        <w:right w:val="none" w:sz="0" w:space="0" w:color="auto"/>
      </w:divBdr>
    </w:div>
    <w:div w:id="1327397998">
      <w:bodyDiv w:val="1"/>
      <w:marLeft w:val="0"/>
      <w:marRight w:val="0"/>
      <w:marTop w:val="0"/>
      <w:marBottom w:val="0"/>
      <w:divBdr>
        <w:top w:val="none" w:sz="0" w:space="0" w:color="auto"/>
        <w:left w:val="none" w:sz="0" w:space="0" w:color="auto"/>
        <w:bottom w:val="none" w:sz="0" w:space="0" w:color="auto"/>
        <w:right w:val="none" w:sz="0" w:space="0" w:color="auto"/>
      </w:divBdr>
    </w:div>
    <w:div w:id="1329139382">
      <w:bodyDiv w:val="1"/>
      <w:marLeft w:val="0"/>
      <w:marRight w:val="0"/>
      <w:marTop w:val="0"/>
      <w:marBottom w:val="0"/>
      <w:divBdr>
        <w:top w:val="none" w:sz="0" w:space="0" w:color="auto"/>
        <w:left w:val="none" w:sz="0" w:space="0" w:color="auto"/>
        <w:bottom w:val="none" w:sz="0" w:space="0" w:color="auto"/>
        <w:right w:val="none" w:sz="0" w:space="0" w:color="auto"/>
      </w:divBdr>
    </w:div>
    <w:div w:id="1332218707">
      <w:bodyDiv w:val="1"/>
      <w:marLeft w:val="0"/>
      <w:marRight w:val="0"/>
      <w:marTop w:val="0"/>
      <w:marBottom w:val="0"/>
      <w:divBdr>
        <w:top w:val="none" w:sz="0" w:space="0" w:color="auto"/>
        <w:left w:val="none" w:sz="0" w:space="0" w:color="auto"/>
        <w:bottom w:val="none" w:sz="0" w:space="0" w:color="auto"/>
        <w:right w:val="none" w:sz="0" w:space="0" w:color="auto"/>
      </w:divBdr>
    </w:div>
    <w:div w:id="1341666338">
      <w:bodyDiv w:val="1"/>
      <w:marLeft w:val="0"/>
      <w:marRight w:val="0"/>
      <w:marTop w:val="0"/>
      <w:marBottom w:val="0"/>
      <w:divBdr>
        <w:top w:val="none" w:sz="0" w:space="0" w:color="auto"/>
        <w:left w:val="none" w:sz="0" w:space="0" w:color="auto"/>
        <w:bottom w:val="none" w:sz="0" w:space="0" w:color="auto"/>
        <w:right w:val="none" w:sz="0" w:space="0" w:color="auto"/>
      </w:divBdr>
    </w:div>
    <w:div w:id="1352296047">
      <w:bodyDiv w:val="1"/>
      <w:marLeft w:val="0"/>
      <w:marRight w:val="0"/>
      <w:marTop w:val="0"/>
      <w:marBottom w:val="0"/>
      <w:divBdr>
        <w:top w:val="none" w:sz="0" w:space="0" w:color="auto"/>
        <w:left w:val="none" w:sz="0" w:space="0" w:color="auto"/>
        <w:bottom w:val="none" w:sz="0" w:space="0" w:color="auto"/>
        <w:right w:val="none" w:sz="0" w:space="0" w:color="auto"/>
      </w:divBdr>
    </w:div>
    <w:div w:id="1356731070">
      <w:bodyDiv w:val="1"/>
      <w:marLeft w:val="0"/>
      <w:marRight w:val="0"/>
      <w:marTop w:val="0"/>
      <w:marBottom w:val="0"/>
      <w:divBdr>
        <w:top w:val="none" w:sz="0" w:space="0" w:color="auto"/>
        <w:left w:val="none" w:sz="0" w:space="0" w:color="auto"/>
        <w:bottom w:val="none" w:sz="0" w:space="0" w:color="auto"/>
        <w:right w:val="none" w:sz="0" w:space="0" w:color="auto"/>
      </w:divBdr>
    </w:div>
    <w:div w:id="1373310999">
      <w:bodyDiv w:val="1"/>
      <w:marLeft w:val="0"/>
      <w:marRight w:val="0"/>
      <w:marTop w:val="0"/>
      <w:marBottom w:val="0"/>
      <w:divBdr>
        <w:top w:val="none" w:sz="0" w:space="0" w:color="auto"/>
        <w:left w:val="none" w:sz="0" w:space="0" w:color="auto"/>
        <w:bottom w:val="none" w:sz="0" w:space="0" w:color="auto"/>
        <w:right w:val="none" w:sz="0" w:space="0" w:color="auto"/>
      </w:divBdr>
    </w:div>
    <w:div w:id="1381830611">
      <w:bodyDiv w:val="1"/>
      <w:marLeft w:val="0"/>
      <w:marRight w:val="0"/>
      <w:marTop w:val="0"/>
      <w:marBottom w:val="0"/>
      <w:divBdr>
        <w:top w:val="none" w:sz="0" w:space="0" w:color="auto"/>
        <w:left w:val="none" w:sz="0" w:space="0" w:color="auto"/>
        <w:bottom w:val="none" w:sz="0" w:space="0" w:color="auto"/>
        <w:right w:val="none" w:sz="0" w:space="0" w:color="auto"/>
      </w:divBdr>
    </w:div>
    <w:div w:id="1410809887">
      <w:bodyDiv w:val="1"/>
      <w:marLeft w:val="0"/>
      <w:marRight w:val="0"/>
      <w:marTop w:val="0"/>
      <w:marBottom w:val="0"/>
      <w:divBdr>
        <w:top w:val="none" w:sz="0" w:space="0" w:color="auto"/>
        <w:left w:val="none" w:sz="0" w:space="0" w:color="auto"/>
        <w:bottom w:val="none" w:sz="0" w:space="0" w:color="auto"/>
        <w:right w:val="none" w:sz="0" w:space="0" w:color="auto"/>
      </w:divBdr>
    </w:div>
    <w:div w:id="1412891154">
      <w:bodyDiv w:val="1"/>
      <w:marLeft w:val="0"/>
      <w:marRight w:val="0"/>
      <w:marTop w:val="0"/>
      <w:marBottom w:val="0"/>
      <w:divBdr>
        <w:top w:val="none" w:sz="0" w:space="0" w:color="auto"/>
        <w:left w:val="none" w:sz="0" w:space="0" w:color="auto"/>
        <w:bottom w:val="none" w:sz="0" w:space="0" w:color="auto"/>
        <w:right w:val="none" w:sz="0" w:space="0" w:color="auto"/>
      </w:divBdr>
    </w:div>
    <w:div w:id="1419911301">
      <w:bodyDiv w:val="1"/>
      <w:marLeft w:val="0"/>
      <w:marRight w:val="0"/>
      <w:marTop w:val="0"/>
      <w:marBottom w:val="0"/>
      <w:divBdr>
        <w:top w:val="none" w:sz="0" w:space="0" w:color="auto"/>
        <w:left w:val="none" w:sz="0" w:space="0" w:color="auto"/>
        <w:bottom w:val="none" w:sz="0" w:space="0" w:color="auto"/>
        <w:right w:val="none" w:sz="0" w:space="0" w:color="auto"/>
      </w:divBdr>
    </w:div>
    <w:div w:id="1427994734">
      <w:bodyDiv w:val="1"/>
      <w:marLeft w:val="0"/>
      <w:marRight w:val="0"/>
      <w:marTop w:val="0"/>
      <w:marBottom w:val="0"/>
      <w:divBdr>
        <w:top w:val="none" w:sz="0" w:space="0" w:color="auto"/>
        <w:left w:val="none" w:sz="0" w:space="0" w:color="auto"/>
        <w:bottom w:val="none" w:sz="0" w:space="0" w:color="auto"/>
        <w:right w:val="none" w:sz="0" w:space="0" w:color="auto"/>
      </w:divBdr>
    </w:div>
    <w:div w:id="1428228242">
      <w:bodyDiv w:val="1"/>
      <w:marLeft w:val="0"/>
      <w:marRight w:val="0"/>
      <w:marTop w:val="0"/>
      <w:marBottom w:val="0"/>
      <w:divBdr>
        <w:top w:val="none" w:sz="0" w:space="0" w:color="auto"/>
        <w:left w:val="none" w:sz="0" w:space="0" w:color="auto"/>
        <w:bottom w:val="none" w:sz="0" w:space="0" w:color="auto"/>
        <w:right w:val="none" w:sz="0" w:space="0" w:color="auto"/>
      </w:divBdr>
    </w:div>
    <w:div w:id="1436369384">
      <w:bodyDiv w:val="1"/>
      <w:marLeft w:val="0"/>
      <w:marRight w:val="0"/>
      <w:marTop w:val="0"/>
      <w:marBottom w:val="0"/>
      <w:divBdr>
        <w:top w:val="none" w:sz="0" w:space="0" w:color="auto"/>
        <w:left w:val="none" w:sz="0" w:space="0" w:color="auto"/>
        <w:bottom w:val="none" w:sz="0" w:space="0" w:color="auto"/>
        <w:right w:val="none" w:sz="0" w:space="0" w:color="auto"/>
      </w:divBdr>
    </w:div>
    <w:div w:id="1443761550">
      <w:bodyDiv w:val="1"/>
      <w:marLeft w:val="0"/>
      <w:marRight w:val="0"/>
      <w:marTop w:val="0"/>
      <w:marBottom w:val="0"/>
      <w:divBdr>
        <w:top w:val="none" w:sz="0" w:space="0" w:color="auto"/>
        <w:left w:val="none" w:sz="0" w:space="0" w:color="auto"/>
        <w:bottom w:val="none" w:sz="0" w:space="0" w:color="auto"/>
        <w:right w:val="none" w:sz="0" w:space="0" w:color="auto"/>
      </w:divBdr>
    </w:div>
    <w:div w:id="1453864773">
      <w:bodyDiv w:val="1"/>
      <w:marLeft w:val="0"/>
      <w:marRight w:val="0"/>
      <w:marTop w:val="0"/>
      <w:marBottom w:val="0"/>
      <w:divBdr>
        <w:top w:val="none" w:sz="0" w:space="0" w:color="auto"/>
        <w:left w:val="none" w:sz="0" w:space="0" w:color="auto"/>
        <w:bottom w:val="none" w:sz="0" w:space="0" w:color="auto"/>
        <w:right w:val="none" w:sz="0" w:space="0" w:color="auto"/>
      </w:divBdr>
    </w:div>
    <w:div w:id="1469590252">
      <w:bodyDiv w:val="1"/>
      <w:marLeft w:val="0"/>
      <w:marRight w:val="0"/>
      <w:marTop w:val="0"/>
      <w:marBottom w:val="0"/>
      <w:divBdr>
        <w:top w:val="none" w:sz="0" w:space="0" w:color="auto"/>
        <w:left w:val="none" w:sz="0" w:space="0" w:color="auto"/>
        <w:bottom w:val="none" w:sz="0" w:space="0" w:color="auto"/>
        <w:right w:val="none" w:sz="0" w:space="0" w:color="auto"/>
      </w:divBdr>
    </w:div>
    <w:div w:id="1473644321">
      <w:bodyDiv w:val="1"/>
      <w:marLeft w:val="0"/>
      <w:marRight w:val="0"/>
      <w:marTop w:val="0"/>
      <w:marBottom w:val="0"/>
      <w:divBdr>
        <w:top w:val="none" w:sz="0" w:space="0" w:color="auto"/>
        <w:left w:val="none" w:sz="0" w:space="0" w:color="auto"/>
        <w:bottom w:val="none" w:sz="0" w:space="0" w:color="auto"/>
        <w:right w:val="none" w:sz="0" w:space="0" w:color="auto"/>
      </w:divBdr>
    </w:div>
    <w:div w:id="1500543136">
      <w:bodyDiv w:val="1"/>
      <w:marLeft w:val="0"/>
      <w:marRight w:val="0"/>
      <w:marTop w:val="0"/>
      <w:marBottom w:val="0"/>
      <w:divBdr>
        <w:top w:val="none" w:sz="0" w:space="0" w:color="auto"/>
        <w:left w:val="none" w:sz="0" w:space="0" w:color="auto"/>
        <w:bottom w:val="none" w:sz="0" w:space="0" w:color="auto"/>
        <w:right w:val="none" w:sz="0" w:space="0" w:color="auto"/>
      </w:divBdr>
    </w:div>
    <w:div w:id="1503280325">
      <w:bodyDiv w:val="1"/>
      <w:marLeft w:val="0"/>
      <w:marRight w:val="0"/>
      <w:marTop w:val="0"/>
      <w:marBottom w:val="0"/>
      <w:divBdr>
        <w:top w:val="none" w:sz="0" w:space="0" w:color="auto"/>
        <w:left w:val="none" w:sz="0" w:space="0" w:color="auto"/>
        <w:bottom w:val="none" w:sz="0" w:space="0" w:color="auto"/>
        <w:right w:val="none" w:sz="0" w:space="0" w:color="auto"/>
      </w:divBdr>
    </w:div>
    <w:div w:id="1508522281">
      <w:bodyDiv w:val="1"/>
      <w:marLeft w:val="0"/>
      <w:marRight w:val="0"/>
      <w:marTop w:val="0"/>
      <w:marBottom w:val="0"/>
      <w:divBdr>
        <w:top w:val="none" w:sz="0" w:space="0" w:color="auto"/>
        <w:left w:val="none" w:sz="0" w:space="0" w:color="auto"/>
        <w:bottom w:val="none" w:sz="0" w:space="0" w:color="auto"/>
        <w:right w:val="none" w:sz="0" w:space="0" w:color="auto"/>
      </w:divBdr>
      <w:divsChild>
        <w:div w:id="377121036">
          <w:marLeft w:val="0"/>
          <w:marRight w:val="0"/>
          <w:marTop w:val="0"/>
          <w:marBottom w:val="0"/>
          <w:divBdr>
            <w:top w:val="none" w:sz="0" w:space="0" w:color="auto"/>
            <w:left w:val="none" w:sz="0" w:space="0" w:color="auto"/>
            <w:bottom w:val="none" w:sz="0" w:space="0" w:color="auto"/>
            <w:right w:val="none" w:sz="0" w:space="0" w:color="auto"/>
          </w:divBdr>
          <w:divsChild>
            <w:div w:id="1824737032">
              <w:marLeft w:val="0"/>
              <w:marRight w:val="75"/>
              <w:marTop w:val="75"/>
              <w:marBottom w:val="75"/>
              <w:divBdr>
                <w:top w:val="none" w:sz="0" w:space="0" w:color="auto"/>
                <w:left w:val="none" w:sz="0" w:space="0" w:color="auto"/>
                <w:bottom w:val="none" w:sz="0" w:space="0" w:color="auto"/>
                <w:right w:val="none" w:sz="0" w:space="0" w:color="auto"/>
              </w:divBdr>
            </w:div>
          </w:divsChild>
        </w:div>
        <w:div w:id="822896863">
          <w:marLeft w:val="0"/>
          <w:marRight w:val="0"/>
          <w:marTop w:val="0"/>
          <w:marBottom w:val="0"/>
          <w:divBdr>
            <w:top w:val="none" w:sz="0" w:space="0" w:color="auto"/>
            <w:left w:val="none" w:sz="0" w:space="0" w:color="auto"/>
            <w:bottom w:val="none" w:sz="0" w:space="0" w:color="auto"/>
            <w:right w:val="none" w:sz="0" w:space="0" w:color="auto"/>
          </w:divBdr>
          <w:divsChild>
            <w:div w:id="764882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1872877">
      <w:bodyDiv w:val="1"/>
      <w:marLeft w:val="0"/>
      <w:marRight w:val="0"/>
      <w:marTop w:val="0"/>
      <w:marBottom w:val="0"/>
      <w:divBdr>
        <w:top w:val="none" w:sz="0" w:space="0" w:color="auto"/>
        <w:left w:val="none" w:sz="0" w:space="0" w:color="auto"/>
        <w:bottom w:val="none" w:sz="0" w:space="0" w:color="auto"/>
        <w:right w:val="none" w:sz="0" w:space="0" w:color="auto"/>
      </w:divBdr>
    </w:div>
    <w:div w:id="1513642219">
      <w:bodyDiv w:val="1"/>
      <w:marLeft w:val="0"/>
      <w:marRight w:val="0"/>
      <w:marTop w:val="0"/>
      <w:marBottom w:val="0"/>
      <w:divBdr>
        <w:top w:val="none" w:sz="0" w:space="0" w:color="auto"/>
        <w:left w:val="none" w:sz="0" w:space="0" w:color="auto"/>
        <w:bottom w:val="none" w:sz="0" w:space="0" w:color="auto"/>
        <w:right w:val="none" w:sz="0" w:space="0" w:color="auto"/>
      </w:divBdr>
    </w:div>
    <w:div w:id="1514565948">
      <w:bodyDiv w:val="1"/>
      <w:marLeft w:val="0"/>
      <w:marRight w:val="0"/>
      <w:marTop w:val="0"/>
      <w:marBottom w:val="0"/>
      <w:divBdr>
        <w:top w:val="none" w:sz="0" w:space="0" w:color="auto"/>
        <w:left w:val="none" w:sz="0" w:space="0" w:color="auto"/>
        <w:bottom w:val="none" w:sz="0" w:space="0" w:color="auto"/>
        <w:right w:val="none" w:sz="0" w:space="0" w:color="auto"/>
      </w:divBdr>
    </w:div>
    <w:div w:id="1517452987">
      <w:bodyDiv w:val="1"/>
      <w:marLeft w:val="0"/>
      <w:marRight w:val="0"/>
      <w:marTop w:val="0"/>
      <w:marBottom w:val="0"/>
      <w:divBdr>
        <w:top w:val="none" w:sz="0" w:space="0" w:color="auto"/>
        <w:left w:val="none" w:sz="0" w:space="0" w:color="auto"/>
        <w:bottom w:val="none" w:sz="0" w:space="0" w:color="auto"/>
        <w:right w:val="none" w:sz="0" w:space="0" w:color="auto"/>
      </w:divBdr>
    </w:div>
    <w:div w:id="1519388663">
      <w:bodyDiv w:val="1"/>
      <w:marLeft w:val="0"/>
      <w:marRight w:val="0"/>
      <w:marTop w:val="0"/>
      <w:marBottom w:val="0"/>
      <w:divBdr>
        <w:top w:val="none" w:sz="0" w:space="0" w:color="auto"/>
        <w:left w:val="none" w:sz="0" w:space="0" w:color="auto"/>
        <w:bottom w:val="none" w:sz="0" w:space="0" w:color="auto"/>
        <w:right w:val="none" w:sz="0" w:space="0" w:color="auto"/>
      </w:divBdr>
    </w:div>
    <w:div w:id="1534687807">
      <w:bodyDiv w:val="1"/>
      <w:marLeft w:val="0"/>
      <w:marRight w:val="0"/>
      <w:marTop w:val="0"/>
      <w:marBottom w:val="0"/>
      <w:divBdr>
        <w:top w:val="none" w:sz="0" w:space="0" w:color="auto"/>
        <w:left w:val="none" w:sz="0" w:space="0" w:color="auto"/>
        <w:bottom w:val="none" w:sz="0" w:space="0" w:color="auto"/>
        <w:right w:val="none" w:sz="0" w:space="0" w:color="auto"/>
      </w:divBdr>
    </w:div>
    <w:div w:id="1538276455">
      <w:bodyDiv w:val="1"/>
      <w:marLeft w:val="0"/>
      <w:marRight w:val="0"/>
      <w:marTop w:val="0"/>
      <w:marBottom w:val="0"/>
      <w:divBdr>
        <w:top w:val="none" w:sz="0" w:space="0" w:color="auto"/>
        <w:left w:val="none" w:sz="0" w:space="0" w:color="auto"/>
        <w:bottom w:val="none" w:sz="0" w:space="0" w:color="auto"/>
        <w:right w:val="none" w:sz="0" w:space="0" w:color="auto"/>
      </w:divBdr>
    </w:div>
    <w:div w:id="1540631696">
      <w:bodyDiv w:val="1"/>
      <w:marLeft w:val="0"/>
      <w:marRight w:val="0"/>
      <w:marTop w:val="0"/>
      <w:marBottom w:val="0"/>
      <w:divBdr>
        <w:top w:val="none" w:sz="0" w:space="0" w:color="auto"/>
        <w:left w:val="none" w:sz="0" w:space="0" w:color="auto"/>
        <w:bottom w:val="none" w:sz="0" w:space="0" w:color="auto"/>
        <w:right w:val="none" w:sz="0" w:space="0" w:color="auto"/>
      </w:divBdr>
    </w:div>
    <w:div w:id="1541550574">
      <w:bodyDiv w:val="1"/>
      <w:marLeft w:val="0"/>
      <w:marRight w:val="0"/>
      <w:marTop w:val="0"/>
      <w:marBottom w:val="0"/>
      <w:divBdr>
        <w:top w:val="none" w:sz="0" w:space="0" w:color="auto"/>
        <w:left w:val="none" w:sz="0" w:space="0" w:color="auto"/>
        <w:bottom w:val="none" w:sz="0" w:space="0" w:color="auto"/>
        <w:right w:val="none" w:sz="0" w:space="0" w:color="auto"/>
      </w:divBdr>
    </w:div>
    <w:div w:id="1552306876">
      <w:bodyDiv w:val="1"/>
      <w:marLeft w:val="0"/>
      <w:marRight w:val="0"/>
      <w:marTop w:val="0"/>
      <w:marBottom w:val="0"/>
      <w:divBdr>
        <w:top w:val="none" w:sz="0" w:space="0" w:color="auto"/>
        <w:left w:val="none" w:sz="0" w:space="0" w:color="auto"/>
        <w:bottom w:val="none" w:sz="0" w:space="0" w:color="auto"/>
        <w:right w:val="none" w:sz="0" w:space="0" w:color="auto"/>
      </w:divBdr>
    </w:div>
    <w:div w:id="1555235318">
      <w:bodyDiv w:val="1"/>
      <w:marLeft w:val="0"/>
      <w:marRight w:val="0"/>
      <w:marTop w:val="0"/>
      <w:marBottom w:val="0"/>
      <w:divBdr>
        <w:top w:val="none" w:sz="0" w:space="0" w:color="auto"/>
        <w:left w:val="none" w:sz="0" w:space="0" w:color="auto"/>
        <w:bottom w:val="none" w:sz="0" w:space="0" w:color="auto"/>
        <w:right w:val="none" w:sz="0" w:space="0" w:color="auto"/>
      </w:divBdr>
    </w:div>
    <w:div w:id="1556500886">
      <w:bodyDiv w:val="1"/>
      <w:marLeft w:val="0"/>
      <w:marRight w:val="0"/>
      <w:marTop w:val="0"/>
      <w:marBottom w:val="0"/>
      <w:divBdr>
        <w:top w:val="none" w:sz="0" w:space="0" w:color="auto"/>
        <w:left w:val="none" w:sz="0" w:space="0" w:color="auto"/>
        <w:bottom w:val="none" w:sz="0" w:space="0" w:color="auto"/>
        <w:right w:val="none" w:sz="0" w:space="0" w:color="auto"/>
      </w:divBdr>
    </w:div>
    <w:div w:id="1557011119">
      <w:bodyDiv w:val="1"/>
      <w:marLeft w:val="0"/>
      <w:marRight w:val="0"/>
      <w:marTop w:val="0"/>
      <w:marBottom w:val="0"/>
      <w:divBdr>
        <w:top w:val="none" w:sz="0" w:space="0" w:color="auto"/>
        <w:left w:val="none" w:sz="0" w:space="0" w:color="auto"/>
        <w:bottom w:val="none" w:sz="0" w:space="0" w:color="auto"/>
        <w:right w:val="none" w:sz="0" w:space="0" w:color="auto"/>
      </w:divBdr>
    </w:div>
    <w:div w:id="1563324880">
      <w:bodyDiv w:val="1"/>
      <w:marLeft w:val="0"/>
      <w:marRight w:val="0"/>
      <w:marTop w:val="0"/>
      <w:marBottom w:val="0"/>
      <w:divBdr>
        <w:top w:val="none" w:sz="0" w:space="0" w:color="auto"/>
        <w:left w:val="none" w:sz="0" w:space="0" w:color="auto"/>
        <w:bottom w:val="none" w:sz="0" w:space="0" w:color="auto"/>
        <w:right w:val="none" w:sz="0" w:space="0" w:color="auto"/>
      </w:divBdr>
    </w:div>
    <w:div w:id="1565336614">
      <w:bodyDiv w:val="1"/>
      <w:marLeft w:val="0"/>
      <w:marRight w:val="0"/>
      <w:marTop w:val="0"/>
      <w:marBottom w:val="0"/>
      <w:divBdr>
        <w:top w:val="none" w:sz="0" w:space="0" w:color="auto"/>
        <w:left w:val="none" w:sz="0" w:space="0" w:color="auto"/>
        <w:bottom w:val="none" w:sz="0" w:space="0" w:color="auto"/>
        <w:right w:val="none" w:sz="0" w:space="0" w:color="auto"/>
      </w:divBdr>
    </w:div>
    <w:div w:id="1572883911">
      <w:bodyDiv w:val="1"/>
      <w:marLeft w:val="0"/>
      <w:marRight w:val="0"/>
      <w:marTop w:val="0"/>
      <w:marBottom w:val="0"/>
      <w:divBdr>
        <w:top w:val="none" w:sz="0" w:space="0" w:color="auto"/>
        <w:left w:val="none" w:sz="0" w:space="0" w:color="auto"/>
        <w:bottom w:val="none" w:sz="0" w:space="0" w:color="auto"/>
        <w:right w:val="none" w:sz="0" w:space="0" w:color="auto"/>
      </w:divBdr>
    </w:div>
    <w:div w:id="1578203165">
      <w:bodyDiv w:val="1"/>
      <w:marLeft w:val="0"/>
      <w:marRight w:val="0"/>
      <w:marTop w:val="0"/>
      <w:marBottom w:val="0"/>
      <w:divBdr>
        <w:top w:val="none" w:sz="0" w:space="0" w:color="auto"/>
        <w:left w:val="none" w:sz="0" w:space="0" w:color="auto"/>
        <w:bottom w:val="none" w:sz="0" w:space="0" w:color="auto"/>
        <w:right w:val="none" w:sz="0" w:space="0" w:color="auto"/>
      </w:divBdr>
    </w:div>
    <w:div w:id="1599286394">
      <w:bodyDiv w:val="1"/>
      <w:marLeft w:val="0"/>
      <w:marRight w:val="0"/>
      <w:marTop w:val="0"/>
      <w:marBottom w:val="0"/>
      <w:divBdr>
        <w:top w:val="none" w:sz="0" w:space="0" w:color="auto"/>
        <w:left w:val="none" w:sz="0" w:space="0" w:color="auto"/>
        <w:bottom w:val="none" w:sz="0" w:space="0" w:color="auto"/>
        <w:right w:val="none" w:sz="0" w:space="0" w:color="auto"/>
      </w:divBdr>
    </w:div>
    <w:div w:id="1601644927">
      <w:bodyDiv w:val="1"/>
      <w:marLeft w:val="0"/>
      <w:marRight w:val="0"/>
      <w:marTop w:val="0"/>
      <w:marBottom w:val="0"/>
      <w:divBdr>
        <w:top w:val="none" w:sz="0" w:space="0" w:color="auto"/>
        <w:left w:val="none" w:sz="0" w:space="0" w:color="auto"/>
        <w:bottom w:val="none" w:sz="0" w:space="0" w:color="auto"/>
        <w:right w:val="none" w:sz="0" w:space="0" w:color="auto"/>
      </w:divBdr>
      <w:divsChild>
        <w:div w:id="576794299">
          <w:marLeft w:val="0"/>
          <w:marRight w:val="0"/>
          <w:marTop w:val="0"/>
          <w:marBottom w:val="0"/>
          <w:divBdr>
            <w:top w:val="none" w:sz="0" w:space="0" w:color="auto"/>
            <w:left w:val="none" w:sz="0" w:space="0" w:color="auto"/>
            <w:bottom w:val="none" w:sz="0" w:space="0" w:color="auto"/>
            <w:right w:val="none" w:sz="0" w:space="0" w:color="auto"/>
          </w:divBdr>
          <w:divsChild>
            <w:div w:id="1429813750">
              <w:marLeft w:val="0"/>
              <w:marRight w:val="0"/>
              <w:marTop w:val="0"/>
              <w:marBottom w:val="0"/>
              <w:divBdr>
                <w:top w:val="none" w:sz="0" w:space="0" w:color="auto"/>
                <w:left w:val="none" w:sz="0" w:space="0" w:color="auto"/>
                <w:bottom w:val="none" w:sz="0" w:space="0" w:color="auto"/>
                <w:right w:val="none" w:sz="0" w:space="0" w:color="auto"/>
              </w:divBdr>
              <w:divsChild>
                <w:div w:id="1015615358">
                  <w:marLeft w:val="0"/>
                  <w:marRight w:val="0"/>
                  <w:marTop w:val="0"/>
                  <w:marBottom w:val="0"/>
                  <w:divBdr>
                    <w:top w:val="none" w:sz="0" w:space="0" w:color="auto"/>
                    <w:left w:val="none" w:sz="0" w:space="0" w:color="auto"/>
                    <w:bottom w:val="none" w:sz="0" w:space="0" w:color="auto"/>
                    <w:right w:val="none" w:sz="0" w:space="0" w:color="auto"/>
                  </w:divBdr>
                  <w:divsChild>
                    <w:div w:id="15104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11609">
      <w:bodyDiv w:val="1"/>
      <w:marLeft w:val="0"/>
      <w:marRight w:val="0"/>
      <w:marTop w:val="0"/>
      <w:marBottom w:val="0"/>
      <w:divBdr>
        <w:top w:val="none" w:sz="0" w:space="0" w:color="auto"/>
        <w:left w:val="none" w:sz="0" w:space="0" w:color="auto"/>
        <w:bottom w:val="none" w:sz="0" w:space="0" w:color="auto"/>
        <w:right w:val="none" w:sz="0" w:space="0" w:color="auto"/>
      </w:divBdr>
    </w:div>
    <w:div w:id="1625884236">
      <w:bodyDiv w:val="1"/>
      <w:marLeft w:val="0"/>
      <w:marRight w:val="0"/>
      <w:marTop w:val="0"/>
      <w:marBottom w:val="0"/>
      <w:divBdr>
        <w:top w:val="none" w:sz="0" w:space="0" w:color="auto"/>
        <w:left w:val="none" w:sz="0" w:space="0" w:color="auto"/>
        <w:bottom w:val="none" w:sz="0" w:space="0" w:color="auto"/>
        <w:right w:val="none" w:sz="0" w:space="0" w:color="auto"/>
      </w:divBdr>
    </w:div>
    <w:div w:id="1645506784">
      <w:bodyDiv w:val="1"/>
      <w:marLeft w:val="0"/>
      <w:marRight w:val="0"/>
      <w:marTop w:val="0"/>
      <w:marBottom w:val="0"/>
      <w:divBdr>
        <w:top w:val="none" w:sz="0" w:space="0" w:color="auto"/>
        <w:left w:val="none" w:sz="0" w:space="0" w:color="auto"/>
        <w:bottom w:val="none" w:sz="0" w:space="0" w:color="auto"/>
        <w:right w:val="none" w:sz="0" w:space="0" w:color="auto"/>
      </w:divBdr>
    </w:div>
    <w:div w:id="1652324484">
      <w:bodyDiv w:val="1"/>
      <w:marLeft w:val="0"/>
      <w:marRight w:val="0"/>
      <w:marTop w:val="0"/>
      <w:marBottom w:val="0"/>
      <w:divBdr>
        <w:top w:val="none" w:sz="0" w:space="0" w:color="auto"/>
        <w:left w:val="none" w:sz="0" w:space="0" w:color="auto"/>
        <w:bottom w:val="none" w:sz="0" w:space="0" w:color="auto"/>
        <w:right w:val="none" w:sz="0" w:space="0" w:color="auto"/>
      </w:divBdr>
    </w:div>
    <w:div w:id="1690257502">
      <w:bodyDiv w:val="1"/>
      <w:marLeft w:val="0"/>
      <w:marRight w:val="0"/>
      <w:marTop w:val="0"/>
      <w:marBottom w:val="0"/>
      <w:divBdr>
        <w:top w:val="none" w:sz="0" w:space="0" w:color="auto"/>
        <w:left w:val="none" w:sz="0" w:space="0" w:color="auto"/>
        <w:bottom w:val="none" w:sz="0" w:space="0" w:color="auto"/>
        <w:right w:val="none" w:sz="0" w:space="0" w:color="auto"/>
      </w:divBdr>
      <w:divsChild>
        <w:div w:id="6493121">
          <w:marLeft w:val="0"/>
          <w:marRight w:val="0"/>
          <w:marTop w:val="0"/>
          <w:marBottom w:val="0"/>
          <w:divBdr>
            <w:top w:val="none" w:sz="0" w:space="0" w:color="auto"/>
            <w:left w:val="none" w:sz="0" w:space="0" w:color="auto"/>
            <w:bottom w:val="none" w:sz="0" w:space="0" w:color="auto"/>
            <w:right w:val="none" w:sz="0" w:space="0" w:color="auto"/>
          </w:divBdr>
          <w:divsChild>
            <w:div w:id="953905844">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1696689788">
      <w:bodyDiv w:val="1"/>
      <w:marLeft w:val="0"/>
      <w:marRight w:val="0"/>
      <w:marTop w:val="0"/>
      <w:marBottom w:val="0"/>
      <w:divBdr>
        <w:top w:val="none" w:sz="0" w:space="0" w:color="auto"/>
        <w:left w:val="none" w:sz="0" w:space="0" w:color="auto"/>
        <w:bottom w:val="none" w:sz="0" w:space="0" w:color="auto"/>
        <w:right w:val="none" w:sz="0" w:space="0" w:color="auto"/>
      </w:divBdr>
    </w:div>
    <w:div w:id="1698967355">
      <w:bodyDiv w:val="1"/>
      <w:marLeft w:val="0"/>
      <w:marRight w:val="0"/>
      <w:marTop w:val="0"/>
      <w:marBottom w:val="0"/>
      <w:divBdr>
        <w:top w:val="none" w:sz="0" w:space="0" w:color="auto"/>
        <w:left w:val="none" w:sz="0" w:space="0" w:color="auto"/>
        <w:bottom w:val="none" w:sz="0" w:space="0" w:color="auto"/>
        <w:right w:val="none" w:sz="0" w:space="0" w:color="auto"/>
      </w:divBdr>
    </w:div>
    <w:div w:id="1708413477">
      <w:bodyDiv w:val="1"/>
      <w:marLeft w:val="0"/>
      <w:marRight w:val="0"/>
      <w:marTop w:val="0"/>
      <w:marBottom w:val="0"/>
      <w:divBdr>
        <w:top w:val="none" w:sz="0" w:space="0" w:color="auto"/>
        <w:left w:val="none" w:sz="0" w:space="0" w:color="auto"/>
        <w:bottom w:val="none" w:sz="0" w:space="0" w:color="auto"/>
        <w:right w:val="none" w:sz="0" w:space="0" w:color="auto"/>
      </w:divBdr>
    </w:div>
    <w:div w:id="1714497244">
      <w:bodyDiv w:val="1"/>
      <w:marLeft w:val="0"/>
      <w:marRight w:val="0"/>
      <w:marTop w:val="0"/>
      <w:marBottom w:val="0"/>
      <w:divBdr>
        <w:top w:val="none" w:sz="0" w:space="0" w:color="auto"/>
        <w:left w:val="none" w:sz="0" w:space="0" w:color="auto"/>
        <w:bottom w:val="none" w:sz="0" w:space="0" w:color="auto"/>
        <w:right w:val="none" w:sz="0" w:space="0" w:color="auto"/>
      </w:divBdr>
    </w:div>
    <w:div w:id="1728413277">
      <w:bodyDiv w:val="1"/>
      <w:marLeft w:val="0"/>
      <w:marRight w:val="0"/>
      <w:marTop w:val="0"/>
      <w:marBottom w:val="0"/>
      <w:divBdr>
        <w:top w:val="none" w:sz="0" w:space="0" w:color="auto"/>
        <w:left w:val="none" w:sz="0" w:space="0" w:color="auto"/>
        <w:bottom w:val="none" w:sz="0" w:space="0" w:color="auto"/>
        <w:right w:val="none" w:sz="0" w:space="0" w:color="auto"/>
      </w:divBdr>
    </w:div>
    <w:div w:id="1729182073">
      <w:bodyDiv w:val="1"/>
      <w:marLeft w:val="0"/>
      <w:marRight w:val="0"/>
      <w:marTop w:val="0"/>
      <w:marBottom w:val="0"/>
      <w:divBdr>
        <w:top w:val="none" w:sz="0" w:space="0" w:color="auto"/>
        <w:left w:val="none" w:sz="0" w:space="0" w:color="auto"/>
        <w:bottom w:val="none" w:sz="0" w:space="0" w:color="auto"/>
        <w:right w:val="none" w:sz="0" w:space="0" w:color="auto"/>
      </w:divBdr>
    </w:div>
    <w:div w:id="1733965590">
      <w:bodyDiv w:val="1"/>
      <w:marLeft w:val="0"/>
      <w:marRight w:val="0"/>
      <w:marTop w:val="0"/>
      <w:marBottom w:val="0"/>
      <w:divBdr>
        <w:top w:val="none" w:sz="0" w:space="0" w:color="auto"/>
        <w:left w:val="none" w:sz="0" w:space="0" w:color="auto"/>
        <w:bottom w:val="none" w:sz="0" w:space="0" w:color="auto"/>
        <w:right w:val="none" w:sz="0" w:space="0" w:color="auto"/>
      </w:divBdr>
    </w:div>
    <w:div w:id="1735272420">
      <w:bodyDiv w:val="1"/>
      <w:marLeft w:val="0"/>
      <w:marRight w:val="0"/>
      <w:marTop w:val="0"/>
      <w:marBottom w:val="0"/>
      <w:divBdr>
        <w:top w:val="none" w:sz="0" w:space="0" w:color="auto"/>
        <w:left w:val="none" w:sz="0" w:space="0" w:color="auto"/>
        <w:bottom w:val="none" w:sz="0" w:space="0" w:color="auto"/>
        <w:right w:val="none" w:sz="0" w:space="0" w:color="auto"/>
      </w:divBdr>
    </w:div>
    <w:div w:id="1740249037">
      <w:bodyDiv w:val="1"/>
      <w:marLeft w:val="0"/>
      <w:marRight w:val="0"/>
      <w:marTop w:val="0"/>
      <w:marBottom w:val="0"/>
      <w:divBdr>
        <w:top w:val="none" w:sz="0" w:space="0" w:color="auto"/>
        <w:left w:val="none" w:sz="0" w:space="0" w:color="auto"/>
        <w:bottom w:val="none" w:sz="0" w:space="0" w:color="auto"/>
        <w:right w:val="none" w:sz="0" w:space="0" w:color="auto"/>
      </w:divBdr>
    </w:div>
    <w:div w:id="1751809050">
      <w:bodyDiv w:val="1"/>
      <w:marLeft w:val="0"/>
      <w:marRight w:val="0"/>
      <w:marTop w:val="0"/>
      <w:marBottom w:val="0"/>
      <w:divBdr>
        <w:top w:val="none" w:sz="0" w:space="0" w:color="auto"/>
        <w:left w:val="none" w:sz="0" w:space="0" w:color="auto"/>
        <w:bottom w:val="none" w:sz="0" w:space="0" w:color="auto"/>
        <w:right w:val="none" w:sz="0" w:space="0" w:color="auto"/>
      </w:divBdr>
    </w:div>
    <w:div w:id="1766919492">
      <w:bodyDiv w:val="1"/>
      <w:marLeft w:val="0"/>
      <w:marRight w:val="0"/>
      <w:marTop w:val="0"/>
      <w:marBottom w:val="0"/>
      <w:divBdr>
        <w:top w:val="none" w:sz="0" w:space="0" w:color="auto"/>
        <w:left w:val="none" w:sz="0" w:space="0" w:color="auto"/>
        <w:bottom w:val="none" w:sz="0" w:space="0" w:color="auto"/>
        <w:right w:val="none" w:sz="0" w:space="0" w:color="auto"/>
      </w:divBdr>
    </w:div>
    <w:div w:id="1770613759">
      <w:bodyDiv w:val="1"/>
      <w:marLeft w:val="0"/>
      <w:marRight w:val="0"/>
      <w:marTop w:val="0"/>
      <w:marBottom w:val="0"/>
      <w:divBdr>
        <w:top w:val="none" w:sz="0" w:space="0" w:color="auto"/>
        <w:left w:val="none" w:sz="0" w:space="0" w:color="auto"/>
        <w:bottom w:val="none" w:sz="0" w:space="0" w:color="auto"/>
        <w:right w:val="none" w:sz="0" w:space="0" w:color="auto"/>
      </w:divBdr>
    </w:div>
    <w:div w:id="1782646529">
      <w:bodyDiv w:val="1"/>
      <w:marLeft w:val="0"/>
      <w:marRight w:val="0"/>
      <w:marTop w:val="0"/>
      <w:marBottom w:val="0"/>
      <w:divBdr>
        <w:top w:val="none" w:sz="0" w:space="0" w:color="auto"/>
        <w:left w:val="none" w:sz="0" w:space="0" w:color="auto"/>
        <w:bottom w:val="none" w:sz="0" w:space="0" w:color="auto"/>
        <w:right w:val="none" w:sz="0" w:space="0" w:color="auto"/>
      </w:divBdr>
    </w:div>
    <w:div w:id="1784231285">
      <w:bodyDiv w:val="1"/>
      <w:marLeft w:val="0"/>
      <w:marRight w:val="0"/>
      <w:marTop w:val="0"/>
      <w:marBottom w:val="0"/>
      <w:divBdr>
        <w:top w:val="none" w:sz="0" w:space="0" w:color="auto"/>
        <w:left w:val="none" w:sz="0" w:space="0" w:color="auto"/>
        <w:bottom w:val="none" w:sz="0" w:space="0" w:color="auto"/>
        <w:right w:val="none" w:sz="0" w:space="0" w:color="auto"/>
      </w:divBdr>
    </w:div>
    <w:div w:id="1793092757">
      <w:bodyDiv w:val="1"/>
      <w:marLeft w:val="0"/>
      <w:marRight w:val="0"/>
      <w:marTop w:val="0"/>
      <w:marBottom w:val="0"/>
      <w:divBdr>
        <w:top w:val="none" w:sz="0" w:space="0" w:color="auto"/>
        <w:left w:val="none" w:sz="0" w:space="0" w:color="auto"/>
        <w:bottom w:val="none" w:sz="0" w:space="0" w:color="auto"/>
        <w:right w:val="none" w:sz="0" w:space="0" w:color="auto"/>
      </w:divBdr>
    </w:div>
    <w:div w:id="1801456512">
      <w:bodyDiv w:val="1"/>
      <w:marLeft w:val="0"/>
      <w:marRight w:val="0"/>
      <w:marTop w:val="0"/>
      <w:marBottom w:val="0"/>
      <w:divBdr>
        <w:top w:val="none" w:sz="0" w:space="0" w:color="auto"/>
        <w:left w:val="none" w:sz="0" w:space="0" w:color="auto"/>
        <w:bottom w:val="none" w:sz="0" w:space="0" w:color="auto"/>
        <w:right w:val="none" w:sz="0" w:space="0" w:color="auto"/>
      </w:divBdr>
    </w:div>
    <w:div w:id="1803188256">
      <w:bodyDiv w:val="1"/>
      <w:marLeft w:val="0"/>
      <w:marRight w:val="0"/>
      <w:marTop w:val="0"/>
      <w:marBottom w:val="0"/>
      <w:divBdr>
        <w:top w:val="none" w:sz="0" w:space="0" w:color="auto"/>
        <w:left w:val="none" w:sz="0" w:space="0" w:color="auto"/>
        <w:bottom w:val="none" w:sz="0" w:space="0" w:color="auto"/>
        <w:right w:val="none" w:sz="0" w:space="0" w:color="auto"/>
      </w:divBdr>
    </w:div>
    <w:div w:id="1817793970">
      <w:bodyDiv w:val="1"/>
      <w:marLeft w:val="0"/>
      <w:marRight w:val="0"/>
      <w:marTop w:val="0"/>
      <w:marBottom w:val="0"/>
      <w:divBdr>
        <w:top w:val="none" w:sz="0" w:space="0" w:color="auto"/>
        <w:left w:val="none" w:sz="0" w:space="0" w:color="auto"/>
        <w:bottom w:val="none" w:sz="0" w:space="0" w:color="auto"/>
        <w:right w:val="none" w:sz="0" w:space="0" w:color="auto"/>
      </w:divBdr>
    </w:div>
    <w:div w:id="1821072162">
      <w:bodyDiv w:val="1"/>
      <w:marLeft w:val="0"/>
      <w:marRight w:val="0"/>
      <w:marTop w:val="0"/>
      <w:marBottom w:val="0"/>
      <w:divBdr>
        <w:top w:val="none" w:sz="0" w:space="0" w:color="auto"/>
        <w:left w:val="none" w:sz="0" w:space="0" w:color="auto"/>
        <w:bottom w:val="none" w:sz="0" w:space="0" w:color="auto"/>
        <w:right w:val="none" w:sz="0" w:space="0" w:color="auto"/>
      </w:divBdr>
      <w:divsChild>
        <w:div w:id="672026102">
          <w:marLeft w:val="0"/>
          <w:marRight w:val="0"/>
          <w:marTop w:val="0"/>
          <w:marBottom w:val="0"/>
          <w:divBdr>
            <w:top w:val="none" w:sz="0" w:space="0" w:color="auto"/>
            <w:left w:val="none" w:sz="0" w:space="0" w:color="auto"/>
            <w:bottom w:val="none" w:sz="0" w:space="0" w:color="auto"/>
            <w:right w:val="none" w:sz="0" w:space="0" w:color="auto"/>
          </w:divBdr>
          <w:divsChild>
            <w:div w:id="1587961086">
              <w:marLeft w:val="0"/>
              <w:marRight w:val="0"/>
              <w:marTop w:val="0"/>
              <w:marBottom w:val="0"/>
              <w:divBdr>
                <w:top w:val="none" w:sz="0" w:space="0" w:color="auto"/>
                <w:left w:val="none" w:sz="0" w:space="0" w:color="auto"/>
                <w:bottom w:val="none" w:sz="0" w:space="0" w:color="auto"/>
                <w:right w:val="none" w:sz="0" w:space="0" w:color="auto"/>
              </w:divBdr>
              <w:divsChild>
                <w:div w:id="951597910">
                  <w:marLeft w:val="0"/>
                  <w:marRight w:val="0"/>
                  <w:marTop w:val="0"/>
                  <w:marBottom w:val="0"/>
                  <w:divBdr>
                    <w:top w:val="none" w:sz="0" w:space="0" w:color="auto"/>
                    <w:left w:val="none" w:sz="0" w:space="0" w:color="auto"/>
                    <w:bottom w:val="none" w:sz="0" w:space="0" w:color="auto"/>
                    <w:right w:val="none" w:sz="0" w:space="0" w:color="auto"/>
                  </w:divBdr>
                  <w:divsChild>
                    <w:div w:id="21021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05200">
      <w:bodyDiv w:val="1"/>
      <w:marLeft w:val="0"/>
      <w:marRight w:val="0"/>
      <w:marTop w:val="0"/>
      <w:marBottom w:val="0"/>
      <w:divBdr>
        <w:top w:val="none" w:sz="0" w:space="0" w:color="auto"/>
        <w:left w:val="none" w:sz="0" w:space="0" w:color="auto"/>
        <w:bottom w:val="none" w:sz="0" w:space="0" w:color="auto"/>
        <w:right w:val="none" w:sz="0" w:space="0" w:color="auto"/>
      </w:divBdr>
    </w:div>
    <w:div w:id="1844975045">
      <w:bodyDiv w:val="1"/>
      <w:marLeft w:val="0"/>
      <w:marRight w:val="0"/>
      <w:marTop w:val="0"/>
      <w:marBottom w:val="0"/>
      <w:divBdr>
        <w:top w:val="none" w:sz="0" w:space="0" w:color="auto"/>
        <w:left w:val="none" w:sz="0" w:space="0" w:color="auto"/>
        <w:bottom w:val="none" w:sz="0" w:space="0" w:color="auto"/>
        <w:right w:val="none" w:sz="0" w:space="0" w:color="auto"/>
      </w:divBdr>
    </w:div>
    <w:div w:id="1852914014">
      <w:bodyDiv w:val="1"/>
      <w:marLeft w:val="0"/>
      <w:marRight w:val="0"/>
      <w:marTop w:val="0"/>
      <w:marBottom w:val="0"/>
      <w:divBdr>
        <w:top w:val="none" w:sz="0" w:space="0" w:color="auto"/>
        <w:left w:val="none" w:sz="0" w:space="0" w:color="auto"/>
        <w:bottom w:val="none" w:sz="0" w:space="0" w:color="auto"/>
        <w:right w:val="none" w:sz="0" w:space="0" w:color="auto"/>
      </w:divBdr>
    </w:div>
    <w:div w:id="1855997956">
      <w:bodyDiv w:val="1"/>
      <w:marLeft w:val="0"/>
      <w:marRight w:val="0"/>
      <w:marTop w:val="0"/>
      <w:marBottom w:val="0"/>
      <w:divBdr>
        <w:top w:val="none" w:sz="0" w:space="0" w:color="auto"/>
        <w:left w:val="none" w:sz="0" w:space="0" w:color="auto"/>
        <w:bottom w:val="none" w:sz="0" w:space="0" w:color="auto"/>
        <w:right w:val="none" w:sz="0" w:space="0" w:color="auto"/>
      </w:divBdr>
    </w:div>
    <w:div w:id="1859924450">
      <w:bodyDiv w:val="1"/>
      <w:marLeft w:val="0"/>
      <w:marRight w:val="0"/>
      <w:marTop w:val="0"/>
      <w:marBottom w:val="0"/>
      <w:divBdr>
        <w:top w:val="none" w:sz="0" w:space="0" w:color="auto"/>
        <w:left w:val="none" w:sz="0" w:space="0" w:color="auto"/>
        <w:bottom w:val="none" w:sz="0" w:space="0" w:color="auto"/>
        <w:right w:val="none" w:sz="0" w:space="0" w:color="auto"/>
      </w:divBdr>
      <w:divsChild>
        <w:div w:id="1344170014">
          <w:marLeft w:val="0"/>
          <w:marRight w:val="0"/>
          <w:marTop w:val="0"/>
          <w:marBottom w:val="0"/>
          <w:divBdr>
            <w:top w:val="none" w:sz="0" w:space="0" w:color="auto"/>
            <w:left w:val="none" w:sz="0" w:space="0" w:color="auto"/>
            <w:bottom w:val="none" w:sz="0" w:space="0" w:color="auto"/>
            <w:right w:val="none" w:sz="0" w:space="0" w:color="auto"/>
          </w:divBdr>
          <w:divsChild>
            <w:div w:id="735053009">
              <w:marLeft w:val="0"/>
              <w:marRight w:val="0"/>
              <w:marTop w:val="0"/>
              <w:marBottom w:val="0"/>
              <w:divBdr>
                <w:top w:val="none" w:sz="0" w:space="0" w:color="auto"/>
                <w:left w:val="none" w:sz="0" w:space="0" w:color="auto"/>
                <w:bottom w:val="none" w:sz="0" w:space="0" w:color="auto"/>
                <w:right w:val="none" w:sz="0" w:space="0" w:color="auto"/>
              </w:divBdr>
              <w:divsChild>
                <w:div w:id="275601762">
                  <w:marLeft w:val="0"/>
                  <w:marRight w:val="0"/>
                  <w:marTop w:val="0"/>
                  <w:marBottom w:val="0"/>
                  <w:divBdr>
                    <w:top w:val="none" w:sz="0" w:space="0" w:color="auto"/>
                    <w:left w:val="none" w:sz="0" w:space="0" w:color="auto"/>
                    <w:bottom w:val="none" w:sz="0" w:space="0" w:color="auto"/>
                    <w:right w:val="none" w:sz="0" w:space="0" w:color="auto"/>
                  </w:divBdr>
                  <w:divsChild>
                    <w:div w:id="9156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75830">
      <w:bodyDiv w:val="1"/>
      <w:marLeft w:val="0"/>
      <w:marRight w:val="0"/>
      <w:marTop w:val="0"/>
      <w:marBottom w:val="0"/>
      <w:divBdr>
        <w:top w:val="none" w:sz="0" w:space="0" w:color="auto"/>
        <w:left w:val="none" w:sz="0" w:space="0" w:color="auto"/>
        <w:bottom w:val="none" w:sz="0" w:space="0" w:color="auto"/>
        <w:right w:val="none" w:sz="0" w:space="0" w:color="auto"/>
      </w:divBdr>
    </w:div>
    <w:div w:id="1890534737">
      <w:bodyDiv w:val="1"/>
      <w:marLeft w:val="0"/>
      <w:marRight w:val="0"/>
      <w:marTop w:val="0"/>
      <w:marBottom w:val="0"/>
      <w:divBdr>
        <w:top w:val="none" w:sz="0" w:space="0" w:color="auto"/>
        <w:left w:val="none" w:sz="0" w:space="0" w:color="auto"/>
        <w:bottom w:val="none" w:sz="0" w:space="0" w:color="auto"/>
        <w:right w:val="none" w:sz="0" w:space="0" w:color="auto"/>
      </w:divBdr>
    </w:div>
    <w:div w:id="1893074997">
      <w:bodyDiv w:val="1"/>
      <w:marLeft w:val="0"/>
      <w:marRight w:val="0"/>
      <w:marTop w:val="0"/>
      <w:marBottom w:val="0"/>
      <w:divBdr>
        <w:top w:val="none" w:sz="0" w:space="0" w:color="auto"/>
        <w:left w:val="none" w:sz="0" w:space="0" w:color="auto"/>
        <w:bottom w:val="none" w:sz="0" w:space="0" w:color="auto"/>
        <w:right w:val="none" w:sz="0" w:space="0" w:color="auto"/>
      </w:divBdr>
    </w:div>
    <w:div w:id="1897202366">
      <w:bodyDiv w:val="1"/>
      <w:marLeft w:val="0"/>
      <w:marRight w:val="0"/>
      <w:marTop w:val="0"/>
      <w:marBottom w:val="0"/>
      <w:divBdr>
        <w:top w:val="none" w:sz="0" w:space="0" w:color="auto"/>
        <w:left w:val="none" w:sz="0" w:space="0" w:color="auto"/>
        <w:bottom w:val="none" w:sz="0" w:space="0" w:color="auto"/>
        <w:right w:val="none" w:sz="0" w:space="0" w:color="auto"/>
      </w:divBdr>
    </w:div>
    <w:div w:id="1902053173">
      <w:bodyDiv w:val="1"/>
      <w:marLeft w:val="0"/>
      <w:marRight w:val="0"/>
      <w:marTop w:val="0"/>
      <w:marBottom w:val="0"/>
      <w:divBdr>
        <w:top w:val="none" w:sz="0" w:space="0" w:color="auto"/>
        <w:left w:val="none" w:sz="0" w:space="0" w:color="auto"/>
        <w:bottom w:val="none" w:sz="0" w:space="0" w:color="auto"/>
        <w:right w:val="none" w:sz="0" w:space="0" w:color="auto"/>
      </w:divBdr>
    </w:div>
    <w:div w:id="1904828635">
      <w:bodyDiv w:val="1"/>
      <w:marLeft w:val="0"/>
      <w:marRight w:val="0"/>
      <w:marTop w:val="0"/>
      <w:marBottom w:val="0"/>
      <w:divBdr>
        <w:top w:val="none" w:sz="0" w:space="0" w:color="auto"/>
        <w:left w:val="none" w:sz="0" w:space="0" w:color="auto"/>
        <w:bottom w:val="none" w:sz="0" w:space="0" w:color="auto"/>
        <w:right w:val="none" w:sz="0" w:space="0" w:color="auto"/>
      </w:divBdr>
    </w:div>
    <w:div w:id="1917282709">
      <w:bodyDiv w:val="1"/>
      <w:marLeft w:val="0"/>
      <w:marRight w:val="0"/>
      <w:marTop w:val="0"/>
      <w:marBottom w:val="0"/>
      <w:divBdr>
        <w:top w:val="none" w:sz="0" w:space="0" w:color="auto"/>
        <w:left w:val="none" w:sz="0" w:space="0" w:color="auto"/>
        <w:bottom w:val="none" w:sz="0" w:space="0" w:color="auto"/>
        <w:right w:val="none" w:sz="0" w:space="0" w:color="auto"/>
      </w:divBdr>
    </w:div>
    <w:div w:id="1918635642">
      <w:bodyDiv w:val="1"/>
      <w:marLeft w:val="0"/>
      <w:marRight w:val="0"/>
      <w:marTop w:val="0"/>
      <w:marBottom w:val="0"/>
      <w:divBdr>
        <w:top w:val="none" w:sz="0" w:space="0" w:color="auto"/>
        <w:left w:val="none" w:sz="0" w:space="0" w:color="auto"/>
        <w:bottom w:val="none" w:sz="0" w:space="0" w:color="auto"/>
        <w:right w:val="none" w:sz="0" w:space="0" w:color="auto"/>
      </w:divBdr>
    </w:div>
    <w:div w:id="1928995791">
      <w:bodyDiv w:val="1"/>
      <w:marLeft w:val="0"/>
      <w:marRight w:val="0"/>
      <w:marTop w:val="0"/>
      <w:marBottom w:val="0"/>
      <w:divBdr>
        <w:top w:val="none" w:sz="0" w:space="0" w:color="auto"/>
        <w:left w:val="none" w:sz="0" w:space="0" w:color="auto"/>
        <w:bottom w:val="none" w:sz="0" w:space="0" w:color="auto"/>
        <w:right w:val="none" w:sz="0" w:space="0" w:color="auto"/>
      </w:divBdr>
    </w:div>
    <w:div w:id="1935018390">
      <w:bodyDiv w:val="1"/>
      <w:marLeft w:val="0"/>
      <w:marRight w:val="0"/>
      <w:marTop w:val="0"/>
      <w:marBottom w:val="0"/>
      <w:divBdr>
        <w:top w:val="none" w:sz="0" w:space="0" w:color="auto"/>
        <w:left w:val="none" w:sz="0" w:space="0" w:color="auto"/>
        <w:bottom w:val="none" w:sz="0" w:space="0" w:color="auto"/>
        <w:right w:val="none" w:sz="0" w:space="0" w:color="auto"/>
      </w:divBdr>
    </w:div>
    <w:div w:id="1936669630">
      <w:bodyDiv w:val="1"/>
      <w:marLeft w:val="0"/>
      <w:marRight w:val="0"/>
      <w:marTop w:val="0"/>
      <w:marBottom w:val="0"/>
      <w:divBdr>
        <w:top w:val="none" w:sz="0" w:space="0" w:color="auto"/>
        <w:left w:val="none" w:sz="0" w:space="0" w:color="auto"/>
        <w:bottom w:val="none" w:sz="0" w:space="0" w:color="auto"/>
        <w:right w:val="none" w:sz="0" w:space="0" w:color="auto"/>
      </w:divBdr>
    </w:div>
    <w:div w:id="1944533718">
      <w:bodyDiv w:val="1"/>
      <w:marLeft w:val="0"/>
      <w:marRight w:val="0"/>
      <w:marTop w:val="0"/>
      <w:marBottom w:val="0"/>
      <w:divBdr>
        <w:top w:val="none" w:sz="0" w:space="0" w:color="auto"/>
        <w:left w:val="none" w:sz="0" w:space="0" w:color="auto"/>
        <w:bottom w:val="none" w:sz="0" w:space="0" w:color="auto"/>
        <w:right w:val="none" w:sz="0" w:space="0" w:color="auto"/>
      </w:divBdr>
    </w:div>
    <w:div w:id="1951280629">
      <w:bodyDiv w:val="1"/>
      <w:marLeft w:val="0"/>
      <w:marRight w:val="0"/>
      <w:marTop w:val="0"/>
      <w:marBottom w:val="0"/>
      <w:divBdr>
        <w:top w:val="none" w:sz="0" w:space="0" w:color="auto"/>
        <w:left w:val="none" w:sz="0" w:space="0" w:color="auto"/>
        <w:bottom w:val="none" w:sz="0" w:space="0" w:color="auto"/>
        <w:right w:val="none" w:sz="0" w:space="0" w:color="auto"/>
      </w:divBdr>
    </w:div>
    <w:div w:id="1955670612">
      <w:bodyDiv w:val="1"/>
      <w:marLeft w:val="0"/>
      <w:marRight w:val="0"/>
      <w:marTop w:val="0"/>
      <w:marBottom w:val="0"/>
      <w:divBdr>
        <w:top w:val="none" w:sz="0" w:space="0" w:color="auto"/>
        <w:left w:val="none" w:sz="0" w:space="0" w:color="auto"/>
        <w:bottom w:val="none" w:sz="0" w:space="0" w:color="auto"/>
        <w:right w:val="none" w:sz="0" w:space="0" w:color="auto"/>
      </w:divBdr>
    </w:div>
    <w:div w:id="1958414200">
      <w:bodyDiv w:val="1"/>
      <w:marLeft w:val="0"/>
      <w:marRight w:val="0"/>
      <w:marTop w:val="0"/>
      <w:marBottom w:val="0"/>
      <w:divBdr>
        <w:top w:val="none" w:sz="0" w:space="0" w:color="auto"/>
        <w:left w:val="none" w:sz="0" w:space="0" w:color="auto"/>
        <w:bottom w:val="none" w:sz="0" w:space="0" w:color="auto"/>
        <w:right w:val="none" w:sz="0" w:space="0" w:color="auto"/>
      </w:divBdr>
    </w:div>
    <w:div w:id="1990671486">
      <w:bodyDiv w:val="1"/>
      <w:marLeft w:val="0"/>
      <w:marRight w:val="0"/>
      <w:marTop w:val="0"/>
      <w:marBottom w:val="0"/>
      <w:divBdr>
        <w:top w:val="none" w:sz="0" w:space="0" w:color="auto"/>
        <w:left w:val="none" w:sz="0" w:space="0" w:color="auto"/>
        <w:bottom w:val="none" w:sz="0" w:space="0" w:color="auto"/>
        <w:right w:val="none" w:sz="0" w:space="0" w:color="auto"/>
      </w:divBdr>
      <w:divsChild>
        <w:div w:id="2101951498">
          <w:marLeft w:val="0"/>
          <w:marRight w:val="0"/>
          <w:marTop w:val="0"/>
          <w:marBottom w:val="0"/>
          <w:divBdr>
            <w:top w:val="none" w:sz="0" w:space="0" w:color="auto"/>
            <w:left w:val="none" w:sz="0" w:space="0" w:color="auto"/>
            <w:bottom w:val="none" w:sz="0" w:space="0" w:color="auto"/>
            <w:right w:val="none" w:sz="0" w:space="0" w:color="auto"/>
          </w:divBdr>
          <w:divsChild>
            <w:div w:id="303463503">
              <w:marLeft w:val="0"/>
              <w:marRight w:val="0"/>
              <w:marTop w:val="0"/>
              <w:marBottom w:val="0"/>
              <w:divBdr>
                <w:top w:val="none" w:sz="0" w:space="0" w:color="auto"/>
                <w:left w:val="none" w:sz="0" w:space="0" w:color="auto"/>
                <w:bottom w:val="none" w:sz="0" w:space="0" w:color="auto"/>
                <w:right w:val="none" w:sz="0" w:space="0" w:color="auto"/>
              </w:divBdr>
              <w:divsChild>
                <w:div w:id="1557233296">
                  <w:marLeft w:val="0"/>
                  <w:marRight w:val="0"/>
                  <w:marTop w:val="0"/>
                  <w:marBottom w:val="0"/>
                  <w:divBdr>
                    <w:top w:val="none" w:sz="0" w:space="0" w:color="auto"/>
                    <w:left w:val="none" w:sz="0" w:space="0" w:color="auto"/>
                    <w:bottom w:val="none" w:sz="0" w:space="0" w:color="auto"/>
                    <w:right w:val="none" w:sz="0" w:space="0" w:color="auto"/>
                  </w:divBdr>
                  <w:divsChild>
                    <w:div w:id="11291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684708">
      <w:bodyDiv w:val="1"/>
      <w:marLeft w:val="0"/>
      <w:marRight w:val="0"/>
      <w:marTop w:val="0"/>
      <w:marBottom w:val="0"/>
      <w:divBdr>
        <w:top w:val="none" w:sz="0" w:space="0" w:color="auto"/>
        <w:left w:val="none" w:sz="0" w:space="0" w:color="auto"/>
        <w:bottom w:val="none" w:sz="0" w:space="0" w:color="auto"/>
        <w:right w:val="none" w:sz="0" w:space="0" w:color="auto"/>
      </w:divBdr>
    </w:div>
    <w:div w:id="2004431219">
      <w:bodyDiv w:val="1"/>
      <w:marLeft w:val="0"/>
      <w:marRight w:val="0"/>
      <w:marTop w:val="0"/>
      <w:marBottom w:val="0"/>
      <w:divBdr>
        <w:top w:val="none" w:sz="0" w:space="0" w:color="auto"/>
        <w:left w:val="none" w:sz="0" w:space="0" w:color="auto"/>
        <w:bottom w:val="none" w:sz="0" w:space="0" w:color="auto"/>
        <w:right w:val="none" w:sz="0" w:space="0" w:color="auto"/>
      </w:divBdr>
    </w:div>
    <w:div w:id="2004550560">
      <w:bodyDiv w:val="1"/>
      <w:marLeft w:val="0"/>
      <w:marRight w:val="0"/>
      <w:marTop w:val="0"/>
      <w:marBottom w:val="0"/>
      <w:divBdr>
        <w:top w:val="none" w:sz="0" w:space="0" w:color="auto"/>
        <w:left w:val="none" w:sz="0" w:space="0" w:color="auto"/>
        <w:bottom w:val="none" w:sz="0" w:space="0" w:color="auto"/>
        <w:right w:val="none" w:sz="0" w:space="0" w:color="auto"/>
      </w:divBdr>
    </w:div>
    <w:div w:id="2013726735">
      <w:bodyDiv w:val="1"/>
      <w:marLeft w:val="0"/>
      <w:marRight w:val="0"/>
      <w:marTop w:val="0"/>
      <w:marBottom w:val="0"/>
      <w:divBdr>
        <w:top w:val="none" w:sz="0" w:space="0" w:color="auto"/>
        <w:left w:val="none" w:sz="0" w:space="0" w:color="auto"/>
        <w:bottom w:val="none" w:sz="0" w:space="0" w:color="auto"/>
        <w:right w:val="none" w:sz="0" w:space="0" w:color="auto"/>
      </w:divBdr>
    </w:div>
    <w:div w:id="2024626419">
      <w:bodyDiv w:val="1"/>
      <w:marLeft w:val="0"/>
      <w:marRight w:val="0"/>
      <w:marTop w:val="0"/>
      <w:marBottom w:val="0"/>
      <w:divBdr>
        <w:top w:val="none" w:sz="0" w:space="0" w:color="auto"/>
        <w:left w:val="none" w:sz="0" w:space="0" w:color="auto"/>
        <w:bottom w:val="none" w:sz="0" w:space="0" w:color="auto"/>
        <w:right w:val="none" w:sz="0" w:space="0" w:color="auto"/>
      </w:divBdr>
    </w:div>
    <w:div w:id="2026637017">
      <w:bodyDiv w:val="1"/>
      <w:marLeft w:val="0"/>
      <w:marRight w:val="0"/>
      <w:marTop w:val="0"/>
      <w:marBottom w:val="0"/>
      <w:divBdr>
        <w:top w:val="none" w:sz="0" w:space="0" w:color="auto"/>
        <w:left w:val="none" w:sz="0" w:space="0" w:color="auto"/>
        <w:bottom w:val="none" w:sz="0" w:space="0" w:color="auto"/>
        <w:right w:val="none" w:sz="0" w:space="0" w:color="auto"/>
      </w:divBdr>
    </w:div>
    <w:div w:id="2028865552">
      <w:bodyDiv w:val="1"/>
      <w:marLeft w:val="0"/>
      <w:marRight w:val="0"/>
      <w:marTop w:val="0"/>
      <w:marBottom w:val="0"/>
      <w:divBdr>
        <w:top w:val="none" w:sz="0" w:space="0" w:color="auto"/>
        <w:left w:val="none" w:sz="0" w:space="0" w:color="auto"/>
        <w:bottom w:val="none" w:sz="0" w:space="0" w:color="auto"/>
        <w:right w:val="none" w:sz="0" w:space="0" w:color="auto"/>
      </w:divBdr>
    </w:div>
    <w:div w:id="2048289033">
      <w:bodyDiv w:val="1"/>
      <w:marLeft w:val="0"/>
      <w:marRight w:val="0"/>
      <w:marTop w:val="0"/>
      <w:marBottom w:val="0"/>
      <w:divBdr>
        <w:top w:val="none" w:sz="0" w:space="0" w:color="auto"/>
        <w:left w:val="none" w:sz="0" w:space="0" w:color="auto"/>
        <w:bottom w:val="none" w:sz="0" w:space="0" w:color="auto"/>
        <w:right w:val="none" w:sz="0" w:space="0" w:color="auto"/>
      </w:divBdr>
    </w:div>
    <w:div w:id="2048597538">
      <w:bodyDiv w:val="1"/>
      <w:marLeft w:val="0"/>
      <w:marRight w:val="0"/>
      <w:marTop w:val="0"/>
      <w:marBottom w:val="0"/>
      <w:divBdr>
        <w:top w:val="none" w:sz="0" w:space="0" w:color="auto"/>
        <w:left w:val="none" w:sz="0" w:space="0" w:color="auto"/>
        <w:bottom w:val="none" w:sz="0" w:space="0" w:color="auto"/>
        <w:right w:val="none" w:sz="0" w:space="0" w:color="auto"/>
      </w:divBdr>
    </w:div>
    <w:div w:id="2066752424">
      <w:bodyDiv w:val="1"/>
      <w:marLeft w:val="0"/>
      <w:marRight w:val="0"/>
      <w:marTop w:val="0"/>
      <w:marBottom w:val="0"/>
      <w:divBdr>
        <w:top w:val="none" w:sz="0" w:space="0" w:color="auto"/>
        <w:left w:val="none" w:sz="0" w:space="0" w:color="auto"/>
        <w:bottom w:val="none" w:sz="0" w:space="0" w:color="auto"/>
        <w:right w:val="none" w:sz="0" w:space="0" w:color="auto"/>
      </w:divBdr>
    </w:div>
    <w:div w:id="2082438882">
      <w:bodyDiv w:val="1"/>
      <w:marLeft w:val="0"/>
      <w:marRight w:val="0"/>
      <w:marTop w:val="0"/>
      <w:marBottom w:val="0"/>
      <w:divBdr>
        <w:top w:val="none" w:sz="0" w:space="0" w:color="auto"/>
        <w:left w:val="none" w:sz="0" w:space="0" w:color="auto"/>
        <w:bottom w:val="none" w:sz="0" w:space="0" w:color="auto"/>
        <w:right w:val="none" w:sz="0" w:space="0" w:color="auto"/>
      </w:divBdr>
    </w:div>
    <w:div w:id="2083789670">
      <w:bodyDiv w:val="1"/>
      <w:marLeft w:val="0"/>
      <w:marRight w:val="0"/>
      <w:marTop w:val="0"/>
      <w:marBottom w:val="0"/>
      <w:divBdr>
        <w:top w:val="none" w:sz="0" w:space="0" w:color="auto"/>
        <w:left w:val="none" w:sz="0" w:space="0" w:color="auto"/>
        <w:bottom w:val="none" w:sz="0" w:space="0" w:color="auto"/>
        <w:right w:val="none" w:sz="0" w:space="0" w:color="auto"/>
      </w:divBdr>
    </w:div>
    <w:div w:id="2099447633">
      <w:bodyDiv w:val="1"/>
      <w:marLeft w:val="0"/>
      <w:marRight w:val="0"/>
      <w:marTop w:val="0"/>
      <w:marBottom w:val="0"/>
      <w:divBdr>
        <w:top w:val="none" w:sz="0" w:space="0" w:color="auto"/>
        <w:left w:val="none" w:sz="0" w:space="0" w:color="auto"/>
        <w:bottom w:val="none" w:sz="0" w:space="0" w:color="auto"/>
        <w:right w:val="none" w:sz="0" w:space="0" w:color="auto"/>
      </w:divBdr>
    </w:div>
    <w:div w:id="2101363302">
      <w:bodyDiv w:val="1"/>
      <w:marLeft w:val="0"/>
      <w:marRight w:val="0"/>
      <w:marTop w:val="0"/>
      <w:marBottom w:val="0"/>
      <w:divBdr>
        <w:top w:val="none" w:sz="0" w:space="0" w:color="auto"/>
        <w:left w:val="none" w:sz="0" w:space="0" w:color="auto"/>
        <w:bottom w:val="none" w:sz="0" w:space="0" w:color="auto"/>
        <w:right w:val="none" w:sz="0" w:space="0" w:color="auto"/>
      </w:divBdr>
    </w:div>
    <w:div w:id="2103986044">
      <w:bodyDiv w:val="1"/>
      <w:marLeft w:val="0"/>
      <w:marRight w:val="0"/>
      <w:marTop w:val="0"/>
      <w:marBottom w:val="0"/>
      <w:divBdr>
        <w:top w:val="none" w:sz="0" w:space="0" w:color="auto"/>
        <w:left w:val="none" w:sz="0" w:space="0" w:color="auto"/>
        <w:bottom w:val="none" w:sz="0" w:space="0" w:color="auto"/>
        <w:right w:val="none" w:sz="0" w:space="0" w:color="auto"/>
      </w:divBdr>
    </w:div>
    <w:div w:id="2104186167">
      <w:bodyDiv w:val="1"/>
      <w:marLeft w:val="0"/>
      <w:marRight w:val="0"/>
      <w:marTop w:val="0"/>
      <w:marBottom w:val="0"/>
      <w:divBdr>
        <w:top w:val="none" w:sz="0" w:space="0" w:color="auto"/>
        <w:left w:val="none" w:sz="0" w:space="0" w:color="auto"/>
        <w:bottom w:val="none" w:sz="0" w:space="0" w:color="auto"/>
        <w:right w:val="none" w:sz="0" w:space="0" w:color="auto"/>
      </w:divBdr>
    </w:div>
    <w:div w:id="2117947512">
      <w:bodyDiv w:val="1"/>
      <w:marLeft w:val="0"/>
      <w:marRight w:val="0"/>
      <w:marTop w:val="0"/>
      <w:marBottom w:val="0"/>
      <w:divBdr>
        <w:top w:val="none" w:sz="0" w:space="0" w:color="auto"/>
        <w:left w:val="none" w:sz="0" w:space="0" w:color="auto"/>
        <w:bottom w:val="none" w:sz="0" w:space="0" w:color="auto"/>
        <w:right w:val="none" w:sz="0" w:space="0" w:color="auto"/>
      </w:divBdr>
    </w:div>
    <w:div w:id="2141722903">
      <w:bodyDiv w:val="1"/>
      <w:marLeft w:val="0"/>
      <w:marRight w:val="0"/>
      <w:marTop w:val="0"/>
      <w:marBottom w:val="0"/>
      <w:divBdr>
        <w:top w:val="none" w:sz="0" w:space="0" w:color="auto"/>
        <w:left w:val="none" w:sz="0" w:space="0" w:color="auto"/>
        <w:bottom w:val="none" w:sz="0" w:space="0" w:color="auto"/>
        <w:right w:val="none" w:sz="0" w:space="0" w:color="auto"/>
      </w:divBdr>
    </w:div>
    <w:div w:id="2144274737">
      <w:bodyDiv w:val="1"/>
      <w:marLeft w:val="0"/>
      <w:marRight w:val="0"/>
      <w:marTop w:val="0"/>
      <w:marBottom w:val="0"/>
      <w:divBdr>
        <w:top w:val="none" w:sz="0" w:space="0" w:color="auto"/>
        <w:left w:val="none" w:sz="0" w:space="0" w:color="auto"/>
        <w:bottom w:val="none" w:sz="0" w:space="0" w:color="auto"/>
        <w:right w:val="none" w:sz="0" w:space="0" w:color="auto"/>
      </w:divBdr>
    </w:div>
    <w:div w:id="214581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derjudicial.es/search/AN/openDocument/ca9e4469b2d4fa3aa0a8778d75e36f0d/20240201" TargetMode="External"/><Relationship Id="rId21" Type="http://schemas.openxmlformats.org/officeDocument/2006/relationships/hyperlink" Target="https://www.poderjudicial.es/search/AN/openDocument/596464ad7064bb1fa0a8778d75e36f0d/20240215" TargetMode="External"/><Relationship Id="rId42" Type="http://schemas.openxmlformats.org/officeDocument/2006/relationships/hyperlink" Target="https://www.poderjudicial.es/search/AN/openDocument/6272259f5229eddba0a8778d75e36f0d/20240215" TargetMode="External"/><Relationship Id="rId47" Type="http://schemas.openxmlformats.org/officeDocument/2006/relationships/hyperlink" Target="https://www.poderjudicial.es/search/AN/openDocument/a95fd0e5718d1fb2a0a8778d75e36f0d/20240322" TargetMode="External"/><Relationship Id="rId63" Type="http://schemas.openxmlformats.org/officeDocument/2006/relationships/hyperlink" Target="https://www.poderjudicial.es/search/AN/openDocument/d343dd7ecea5de72a0a8778d75e36f0d/20240216" TargetMode="External"/><Relationship Id="rId68" Type="http://schemas.openxmlformats.org/officeDocument/2006/relationships/hyperlink" Target="https://www.poderjudicial.es/search/AN/openDocument/721f26e4968bb487a0a8778d75e36f0d/20240314" TargetMode="External"/><Relationship Id="rId2" Type="http://schemas.openxmlformats.org/officeDocument/2006/relationships/numbering" Target="numbering.xml"/><Relationship Id="rId16" Type="http://schemas.openxmlformats.org/officeDocument/2006/relationships/hyperlink" Target="https://curia.europa.eu/juris/document/document.jsf?text=%2522consumidor%2522&amp;docid=284142&amp;pageIndex=0&amp;doclang=es&amp;mode=req&amp;dir=&amp;occ=first&amp;part=1&amp;cid=584" TargetMode="External"/><Relationship Id="rId29" Type="http://schemas.openxmlformats.org/officeDocument/2006/relationships/hyperlink" Target="https://www.poderjudicial.es/search/AN/openDocument/3ee9a9881d966dbea0a8778d75e36f0d/20240222" TargetMode="External"/><Relationship Id="rId11" Type="http://schemas.openxmlformats.org/officeDocument/2006/relationships/hyperlink" Target="https://curia.europa.eu/juris/document/document.jsf?text=%2522consumidor%2522&amp;docid=282063&amp;pageIndex=0&amp;doclang=es&amp;mode=req&amp;dir=&amp;occ=first&amp;part=1&amp;cid=584" TargetMode="External"/><Relationship Id="rId24" Type="http://schemas.openxmlformats.org/officeDocument/2006/relationships/hyperlink" Target="https://www.poderjudicial.es/search/AN/openDocument/d8acdd842f4f4feca0a8778d75e36f0d/20240201" TargetMode="External"/><Relationship Id="rId32" Type="http://schemas.openxmlformats.org/officeDocument/2006/relationships/hyperlink" Target="https://www.poderjudicial.es/search/AN/openDocument/d5023d8b1040c2baa0a8778d75e36f0d/20240307" TargetMode="External"/><Relationship Id="rId37" Type="http://schemas.openxmlformats.org/officeDocument/2006/relationships/hyperlink" Target="https://www.poderjudicial.es/search/AN/openDocument/8f5bb8985910a8daa0a8778d75e36f0d/20240201" TargetMode="External"/><Relationship Id="rId40" Type="http://schemas.openxmlformats.org/officeDocument/2006/relationships/hyperlink" Target="https://www.poderjudicial.es/search/AN/openDocument/e133110c935ff72ba0a8778d75e36f0d/20240209" TargetMode="External"/><Relationship Id="rId45" Type="http://schemas.openxmlformats.org/officeDocument/2006/relationships/hyperlink" Target="https://www.poderjudicial.es/search/AN/openDocument/c9cf78790a694147a0a8778d75e36f0d/20240307" TargetMode="External"/><Relationship Id="rId53" Type="http://schemas.openxmlformats.org/officeDocument/2006/relationships/hyperlink" Target="https://www.poderjudicial.es/search/AN/openDocument/2637cbc6bdab69c0a0a8778d75e36f0d/20240215" TargetMode="External"/><Relationship Id="rId58" Type="http://schemas.openxmlformats.org/officeDocument/2006/relationships/hyperlink" Target="https://www.poderjudicial.es/search/AN/openDocument/047b3b66604e63c3a0a8778d75e36f0d/20240215" TargetMode="External"/><Relationship Id="rId66" Type="http://schemas.openxmlformats.org/officeDocument/2006/relationships/hyperlink" Target="https://www.poderjudicial.es/search/AN/openDocument/1db9db3d9daa914da0a8778d75e36f0d/20240229"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poderjudicial.es/search/AN/openDocument/675279d1e8a9f661a0a8778d75e36f0d/20240229" TargetMode="External"/><Relationship Id="rId19" Type="http://schemas.openxmlformats.org/officeDocument/2006/relationships/hyperlink" Target="https://hj.tribunalconstitucional.es/es/Resolucion/Show/30121" TargetMode="External"/><Relationship Id="rId14" Type="http://schemas.openxmlformats.org/officeDocument/2006/relationships/hyperlink" Target="https://curia.europa.eu/juris/document/document.jsf?text=%2522consumidor%2522&amp;docid=283830&amp;pageIndex=0&amp;doclang=es&amp;mode=req&amp;dir=&amp;occ=first&amp;part=1&amp;cid=584" TargetMode="External"/><Relationship Id="rId22" Type="http://schemas.openxmlformats.org/officeDocument/2006/relationships/hyperlink" Target="https://www.poderjudicial.es/search/AN/openDocument/5ae077c4e27309baa0a8778d75e36f0d/20240314" TargetMode="External"/><Relationship Id="rId27" Type="http://schemas.openxmlformats.org/officeDocument/2006/relationships/hyperlink" Target="https://www.poderjudicial.es/search/AN/openDocument/ce0045662e94122ba0a8778d75e36f0d/20240215" TargetMode="External"/><Relationship Id="rId30" Type="http://schemas.openxmlformats.org/officeDocument/2006/relationships/hyperlink" Target="https://www.poderjudicial.es/search/AN/openDocument/c49c10161804c317a0a8778d75e36f0d/20240229" TargetMode="External"/><Relationship Id="rId35" Type="http://schemas.openxmlformats.org/officeDocument/2006/relationships/hyperlink" Target="https://www.poderjudicial.es/search/AN/openDocument/1b7d9e68839fcdb3a0a8778d75e36f0d/20240327" TargetMode="External"/><Relationship Id="rId43" Type="http://schemas.openxmlformats.org/officeDocument/2006/relationships/hyperlink" Target="https://www.poderjudicial.es/search/AN/openDocument/1bcd00cd6c6cf9d7a0a8778d75e36f0d/20240222" TargetMode="External"/><Relationship Id="rId48" Type="http://schemas.openxmlformats.org/officeDocument/2006/relationships/hyperlink" Target="https://www.poderjudicial.es/search/AN/openDocument/3c8b2857f6f4c28ea0a8778d75e36f0d/20240327" TargetMode="External"/><Relationship Id="rId56" Type="http://schemas.openxmlformats.org/officeDocument/2006/relationships/hyperlink" Target="https://www.poderjudicial.es/search/AN/openDocument/9345db62548ab934a0a8778d75e36f0d/20240314" TargetMode="External"/><Relationship Id="rId64" Type="http://schemas.openxmlformats.org/officeDocument/2006/relationships/hyperlink" Target="https://www.poderjudicial.es/search/AN/openDocument/997d8c8d35209a76a0a8778d75e36f0d/20240229" TargetMode="External"/><Relationship Id="rId69" Type="http://schemas.openxmlformats.org/officeDocument/2006/relationships/hyperlink" Target="https://www.poderjudicial.es/search/AN/openDocument/33466f5393cfe32ba0a8778d75e36f0d/20240322" TargetMode="External"/><Relationship Id="rId8" Type="http://schemas.openxmlformats.org/officeDocument/2006/relationships/image" Target="media/image1.png"/><Relationship Id="rId51" Type="http://schemas.openxmlformats.org/officeDocument/2006/relationships/hyperlink" Target="https://www.poderjudicial.es/search/AN/openDocument/a3468ab06f3b4771a0a8778d75e36f0d/20240208" TargetMode="External"/><Relationship Id="rId72" Type="http://schemas.openxmlformats.org/officeDocument/2006/relationships/hyperlink" Target="https://www.poderjudicial.es/search/AN/openDocument/121b95bf834cbf83a0a8778d75e36f0d/20240403" TargetMode="External"/><Relationship Id="rId3" Type="http://schemas.openxmlformats.org/officeDocument/2006/relationships/styles" Target="styles.xml"/><Relationship Id="rId12" Type="http://schemas.openxmlformats.org/officeDocument/2006/relationships/hyperlink" Target="https://curia.europa.eu/juris/document/document.jsf?text=%2522consumidor%2522&amp;docid=283292&amp;pageIndex=0&amp;doclang=es&amp;mode=req&amp;dir=&amp;occ=first&amp;part=1&amp;cid=584" TargetMode="External"/><Relationship Id="rId17" Type="http://schemas.openxmlformats.org/officeDocument/2006/relationships/hyperlink" Target="https://hj.tribunalconstitucional.es/es/Resolucion/Show/30099" TargetMode="External"/><Relationship Id="rId25" Type="http://schemas.openxmlformats.org/officeDocument/2006/relationships/hyperlink" Target="https://www.poderjudicial.es/search/AN/openDocument/e35096bb2f420fb4a0a8778d75e36f0d/20240201" TargetMode="External"/><Relationship Id="rId33" Type="http://schemas.openxmlformats.org/officeDocument/2006/relationships/hyperlink" Target="https://www.poderjudicial.es/search/AN/openDocument/53410292be827907a0a8778d75e36f0d/20240314" TargetMode="External"/><Relationship Id="rId38" Type="http://schemas.openxmlformats.org/officeDocument/2006/relationships/hyperlink" Target="https://www.poderjudicial.es/search/AN/openDocument/294b1a1878252cbca0a8778d75e36f0d/20240209" TargetMode="External"/><Relationship Id="rId46" Type="http://schemas.openxmlformats.org/officeDocument/2006/relationships/hyperlink" Target="https://www.poderjudicial.es/search/AN/openDocument/49977f2ca3ec94dca0a8778d75e36f0d/20240314" TargetMode="External"/><Relationship Id="rId59" Type="http://schemas.openxmlformats.org/officeDocument/2006/relationships/hyperlink" Target="https://www.poderjudicial.es/search/AN/openDocument/9274bac0d9f9d0c0a0a8778d75e36f0d/20240223" TargetMode="External"/><Relationship Id="rId67" Type="http://schemas.openxmlformats.org/officeDocument/2006/relationships/hyperlink" Target="https://www.poderjudicial.es/search/AN/openDocument/f352b69ec0882ed8a0a8778d75e36f0d/20240312" TargetMode="External"/><Relationship Id="rId20" Type="http://schemas.openxmlformats.org/officeDocument/2006/relationships/hyperlink" Target="https://www.poderjudicial.es/search/AN/openDocument/8104784a126a3a45a0a8778d75e36f0d/20240201" TargetMode="External"/><Relationship Id="rId41" Type="http://schemas.openxmlformats.org/officeDocument/2006/relationships/hyperlink" Target="https://www.poderjudicial.es/search/AN/openDocument/55c4a840ea1c8c4fa0a8778d75e36f0d/20240215" TargetMode="External"/><Relationship Id="rId54" Type="http://schemas.openxmlformats.org/officeDocument/2006/relationships/hyperlink" Target="https://www.poderjudicial.es/search/AN/openDocument/8246339ef6eeded1a0a8778d75e36f0d/20240307" TargetMode="External"/><Relationship Id="rId62" Type="http://schemas.openxmlformats.org/officeDocument/2006/relationships/hyperlink" Target="https://www.poderjudicial.es/search/AN/openDocument/43e49a75f104d6c4a0a8778d75e36f0d/20240215" TargetMode="External"/><Relationship Id="rId70" Type="http://schemas.openxmlformats.org/officeDocument/2006/relationships/hyperlink" Target="https://www.poderjudicial.es/search/AN/openDocument/42013f1759697280a0a8778d75e36f0d/20240402"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ia.europa.eu/juris/document/document.jsf?text=%2522consumidor%2522&amp;docid=284088&amp;pageIndex=0&amp;doclang=es&amp;mode=req&amp;dir=&amp;occ=first&amp;part=1&amp;cid=584" TargetMode="External"/><Relationship Id="rId23" Type="http://schemas.openxmlformats.org/officeDocument/2006/relationships/hyperlink" Target="https://www.poderjudicial.es/search/AN/openDocument/4db7ff067404e5baa0a8778d75e36f0d/20240314" TargetMode="External"/><Relationship Id="rId28" Type="http://schemas.openxmlformats.org/officeDocument/2006/relationships/hyperlink" Target="https://www.poderjudicial.es/search/AN/openDocument/6313722b10b54ca6a0a8778d75e36f0d/20240216" TargetMode="External"/><Relationship Id="rId36" Type="http://schemas.openxmlformats.org/officeDocument/2006/relationships/hyperlink" Target="https://www.poderjudicial.es/search/AN/openDocument/b815f7c07f0ae78fa0a8778d75e36f0d/20240126" TargetMode="External"/><Relationship Id="rId49" Type="http://schemas.openxmlformats.org/officeDocument/2006/relationships/hyperlink" Target="https://www.poderjudicial.es/search/AN/openDocument/2c6c88a4ed3dcf52a0a8778d75e36f0d/20240201" TargetMode="External"/><Relationship Id="rId57" Type="http://schemas.openxmlformats.org/officeDocument/2006/relationships/hyperlink" Target="https://www.poderjudicial.es/search/AN/openDocument/1089c9c754cd5519a0a8778d75e36f0d/20240124" TargetMode="External"/><Relationship Id="rId10" Type="http://schemas.openxmlformats.org/officeDocument/2006/relationships/hyperlink" Target="https://curia.europa.eu/juris/document/document.jsf?text=%2522consumidor%2522&amp;docid=281795&amp;pageIndex=0&amp;doclang=ES&amp;mode=req&amp;dir=&amp;occ=first&amp;part=1&amp;cid=584" TargetMode="External"/><Relationship Id="rId31" Type="http://schemas.openxmlformats.org/officeDocument/2006/relationships/hyperlink" Target="https://www.poderjudicial.es/search/AN/openDocument/1970c4653a309ca2a0a8778d75e36f0d/20240222" TargetMode="External"/><Relationship Id="rId44" Type="http://schemas.openxmlformats.org/officeDocument/2006/relationships/hyperlink" Target="https://www.poderjudicial.es/search/AN/openDocument/0da27b6e67a6d481a0a8778d75e36f0d/20240307" TargetMode="External"/><Relationship Id="rId52" Type="http://schemas.openxmlformats.org/officeDocument/2006/relationships/hyperlink" Target="https://www.poderjudicial.es/search/AN/openDocument/44a582f5fe169e81a0a8778d75e36f0d/20240208" TargetMode="External"/><Relationship Id="rId60" Type="http://schemas.openxmlformats.org/officeDocument/2006/relationships/hyperlink" Target="https://www.poderjudicial.es/search/AN/openDocument/96623d0627ea72e1a0a8778d75e36f0d/20240229" TargetMode="External"/><Relationship Id="rId65" Type="http://schemas.openxmlformats.org/officeDocument/2006/relationships/hyperlink" Target="https://www.poderjudicial.es/search/AN/openDocument/65263013b0e75fd8a0a8778d75e36f0d/20240306" TargetMode="External"/><Relationship Id="rId73" Type="http://schemas.openxmlformats.org/officeDocument/2006/relationships/hyperlink" Target="https://www.poderjudicial.es/search/AN/openDocument/14fb3f51ee90b545a0a8778d75e36f0d/20240215" TargetMode="External"/><Relationship Id="rId4" Type="http://schemas.openxmlformats.org/officeDocument/2006/relationships/settings" Target="settings.xml"/><Relationship Id="rId9" Type="http://schemas.openxmlformats.org/officeDocument/2006/relationships/hyperlink" Target="https://curia.europa.eu/juris/document/document.jsf?text=%2522consumidor%2522&amp;docid=281154&amp;pageIndex=0&amp;doclang=es&amp;mode=req&amp;dir=&amp;occ=first&amp;part=1&amp;cid=584" TargetMode="External"/><Relationship Id="rId13" Type="http://schemas.openxmlformats.org/officeDocument/2006/relationships/hyperlink" Target="https://curia.europa.eu/juris/document/document.jsf?text=%2522consumidor%2522&amp;docid=283291&amp;pageIndex=0&amp;doclang=es&amp;mode=req&amp;dir=&amp;occ=first&amp;part=1&amp;cid=584" TargetMode="External"/><Relationship Id="rId18" Type="http://schemas.openxmlformats.org/officeDocument/2006/relationships/hyperlink" Target="https://hj.tribunalconstitucional.es/docs/BOE/BOE-A-2024-6669.pdf" TargetMode="External"/><Relationship Id="rId39" Type="http://schemas.openxmlformats.org/officeDocument/2006/relationships/hyperlink" Target="https://www.poderjudicial.es/search/AN/openDocument/d35bc976226b39b2a0a8778d75e36f0d/20240209" TargetMode="External"/><Relationship Id="rId34" Type="http://schemas.openxmlformats.org/officeDocument/2006/relationships/hyperlink" Target="https://www.poderjudicial.es/search/indexAN.jsp" TargetMode="External"/><Relationship Id="rId50" Type="http://schemas.openxmlformats.org/officeDocument/2006/relationships/hyperlink" Target="https://www.poderjudicial.es/search/AN/openDocument/589dffe893bc7a4ca0a8778d75e36f0d/20240201" TargetMode="External"/><Relationship Id="rId55" Type="http://schemas.openxmlformats.org/officeDocument/2006/relationships/hyperlink" Target="https://www.poderjudicial.es/search/AN/openDocument/f6cc86f4553ecf77a0a8778d75e36f0d/20240327"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poderjudicial.es/search/AN/openDocument/76672c4177f43000a0a8778d75e36f0d/2024030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2B697-58E4-7442-BD9E-AA75D07C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9</Pages>
  <Words>4343</Words>
  <Characters>23887</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Lucía Moreno García</cp:lastModifiedBy>
  <cp:revision>70</cp:revision>
  <cp:lastPrinted>2021-04-08T11:14:00Z</cp:lastPrinted>
  <dcterms:created xsi:type="dcterms:W3CDTF">2024-04-19T11:15:00Z</dcterms:created>
  <dcterms:modified xsi:type="dcterms:W3CDTF">2024-04-22T16:39:00Z</dcterms:modified>
</cp:coreProperties>
</file>