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73168C72" w:rsidR="00827C04" w:rsidRDefault="001563A1">
                            <w:pPr>
                              <w:rPr>
                                <w:rFonts w:ascii="Segoe UI" w:hAnsi="Segoe UI" w:cs="Segoe UI"/>
                                <w:b/>
                                <w:color w:val="FFFFFF" w:themeColor="background1"/>
                                <w:sz w:val="36"/>
                                <w:szCs w:val="36"/>
                              </w:rPr>
                            </w:pPr>
                            <w:r>
                              <w:rPr>
                                <w:rFonts w:ascii="Segoe UI" w:hAnsi="Segoe UI" w:cs="Segoe UI"/>
                                <w:b/>
                                <w:color w:val="FFFFFF" w:themeColor="background1"/>
                                <w:sz w:val="36"/>
                                <w:szCs w:val="36"/>
                              </w:rPr>
                              <w:t>Abril</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Junio</w:t>
                            </w:r>
                            <w:r w:rsidR="0068726D">
                              <w:rPr>
                                <w:rFonts w:ascii="Segoe UI" w:hAnsi="Segoe UI" w:cs="Segoe UI"/>
                                <w:b/>
                                <w:color w:val="FFFFFF" w:themeColor="background1"/>
                                <w:sz w:val="36"/>
                                <w:szCs w:val="36"/>
                              </w:rPr>
                              <w:t xml:space="preserve"> 2024</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" filled="f" stroked="f" strokeweight=".5pt">
                <v:textbox>
                  <w:txbxContent>
                    <w:p w14:paraId="4D436CF4" w14:textId="73168C72" w:rsidR="00827C04" w:rsidRDefault="001563A1">
                      <w:pPr>
                        <w:rPr>
                          <w:rFonts w:ascii="Segoe UI" w:hAnsi="Segoe UI" w:cs="Segoe UI"/>
                          <w:b/>
                          <w:color w:val="FFFFFF" w:themeColor="background1"/>
                          <w:sz w:val="36"/>
                          <w:szCs w:val="36"/>
                        </w:rPr>
                      </w:pPr>
                      <w:r>
                        <w:rPr>
                          <w:rFonts w:ascii="Segoe UI" w:hAnsi="Segoe UI" w:cs="Segoe UI"/>
                          <w:b/>
                          <w:color w:val="FFFFFF" w:themeColor="background1"/>
                          <w:sz w:val="36"/>
                          <w:szCs w:val="36"/>
                        </w:rPr>
                        <w:t>Abril</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Junio</w:t>
                      </w:r>
                      <w:r w:rsidR="0068726D">
                        <w:rPr>
                          <w:rFonts w:ascii="Segoe UI" w:hAnsi="Segoe UI" w:cs="Segoe UI"/>
                          <w:b/>
                          <w:color w:val="FFFFFF" w:themeColor="background1"/>
                          <w:sz w:val="36"/>
                          <w:szCs w:val="36"/>
                        </w:rPr>
                        <w:t xml:space="preserve"> 2024</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043286BA">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04E014E6" w:rsidR="00827C04" w:rsidRDefault="001563A1" w:rsidP="00567AAA">
                            <w:pPr>
                              <w:jc w:val="center"/>
                            </w:pPr>
                            <w:r>
                              <w:rPr>
                                <w:rFonts w:cstheme="minorHAnsi"/>
                                <w:b/>
                                <w:color w:val="FFFFFF" w:themeColor="background1"/>
                                <w:sz w:val="20"/>
                                <w:szCs w:val="20"/>
                              </w:rPr>
                              <w:t>Abril-Junio</w:t>
                            </w:r>
                            <w:r w:rsidR="0068726D">
                              <w:rPr>
                                <w:rFonts w:cstheme="minorHAnsi"/>
                                <w:b/>
                                <w:color w:val="FFFFFF" w:themeColor="background1"/>
                                <w:sz w:val="20"/>
                                <w:szCs w:val="20"/>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495B1"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04E014E6" w:rsidR="00827C04" w:rsidRDefault="001563A1" w:rsidP="00567AAA">
                      <w:pPr>
                        <w:jc w:val="center"/>
                      </w:pPr>
                      <w:r>
                        <w:rPr>
                          <w:rFonts w:cstheme="minorHAnsi"/>
                          <w:b/>
                          <w:color w:val="FFFFFF" w:themeColor="background1"/>
                          <w:sz w:val="20"/>
                          <w:szCs w:val="20"/>
                        </w:rPr>
                        <w:t>Abril-Junio</w:t>
                      </w:r>
                      <w:r w:rsidR="0068726D">
                        <w:rPr>
                          <w:rFonts w:cstheme="minorHAnsi"/>
                          <w:b/>
                          <w:color w:val="FFFFFF" w:themeColor="background1"/>
                          <w:sz w:val="20"/>
                          <w:szCs w:val="20"/>
                        </w:rPr>
                        <w:t xml:space="preserve"> 2024</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1AFD"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1A8FE9A3" w14:textId="77777777" w:rsidR="0068726D" w:rsidRPr="001563A1" w:rsidRDefault="0068726D" w:rsidP="001563A1">
      <w:pPr>
        <w:spacing w:after="0" w:line="240" w:lineRule="auto"/>
        <w:jc w:val="both"/>
        <w:rPr>
          <w:sz w:val="20"/>
          <w:szCs w:val="20"/>
        </w:rPr>
      </w:pPr>
    </w:p>
    <w:p w14:paraId="6BEF904C"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Alarcón Dávalos; Moreno Madina. “A vueltas con la prescripción en las reclamaciones por gastos hipotecarios”: </w:t>
      </w:r>
      <w:r w:rsidRPr="001563A1">
        <w:rPr>
          <w:i/>
          <w:sz w:val="20"/>
          <w:szCs w:val="20"/>
        </w:rPr>
        <w:t>Diario La Ley</w:t>
      </w:r>
      <w:r w:rsidRPr="001563A1">
        <w:rPr>
          <w:sz w:val="20"/>
          <w:szCs w:val="20"/>
        </w:rPr>
        <w:t>, ISSN 1989-6913, Nº 10485, 2024.</w:t>
      </w:r>
    </w:p>
    <w:p w14:paraId="54827A46" w14:textId="77777777" w:rsidR="001563A1" w:rsidRPr="001563A1" w:rsidRDefault="001563A1" w:rsidP="001563A1">
      <w:pPr>
        <w:pStyle w:val="Prrafodelista"/>
        <w:ind w:left="360"/>
        <w:jc w:val="both"/>
        <w:rPr>
          <w:sz w:val="20"/>
          <w:szCs w:val="20"/>
        </w:rPr>
      </w:pPr>
    </w:p>
    <w:p w14:paraId="607FA114"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Álvaro Perea González (coord.). “Diálogos para el futuro judicial LXXX. El Proyecto de Ley de acciones colectivas para la protección de consumidores y usuarios”: </w:t>
      </w:r>
      <w:r w:rsidRPr="001563A1">
        <w:rPr>
          <w:i/>
          <w:sz w:val="20"/>
          <w:szCs w:val="20"/>
        </w:rPr>
        <w:t>Diario La Ley</w:t>
      </w:r>
      <w:r w:rsidRPr="001563A1">
        <w:rPr>
          <w:sz w:val="20"/>
          <w:szCs w:val="20"/>
        </w:rPr>
        <w:t>, Nº 10504, 2024.</w:t>
      </w:r>
    </w:p>
    <w:p w14:paraId="2C99C571" w14:textId="77777777" w:rsidR="001563A1" w:rsidRPr="001563A1" w:rsidRDefault="001563A1" w:rsidP="001563A1">
      <w:pPr>
        <w:pStyle w:val="Prrafodelista"/>
        <w:ind w:left="360"/>
        <w:jc w:val="both"/>
        <w:rPr>
          <w:sz w:val="20"/>
          <w:szCs w:val="20"/>
        </w:rPr>
      </w:pPr>
    </w:p>
    <w:p w14:paraId="1B5364A5"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Amor Bayona. “Estudio jurisprudencial sobre la valoración del interés usurario en las tarjetas revolving”: </w:t>
      </w:r>
      <w:r w:rsidRPr="001563A1">
        <w:rPr>
          <w:i/>
          <w:sz w:val="20"/>
          <w:szCs w:val="20"/>
        </w:rPr>
        <w:t>Actualidad civil</w:t>
      </w:r>
      <w:r w:rsidRPr="001563A1">
        <w:rPr>
          <w:sz w:val="20"/>
          <w:szCs w:val="20"/>
        </w:rPr>
        <w:t xml:space="preserve">, Nº 3, 2023. </w:t>
      </w:r>
    </w:p>
    <w:p w14:paraId="22385D1D" w14:textId="77777777" w:rsidR="001563A1" w:rsidRPr="001563A1" w:rsidRDefault="001563A1" w:rsidP="001563A1">
      <w:pPr>
        <w:pStyle w:val="Prrafodelista"/>
        <w:ind w:left="360"/>
        <w:jc w:val="both"/>
        <w:rPr>
          <w:sz w:val="20"/>
          <w:szCs w:val="20"/>
        </w:rPr>
      </w:pPr>
    </w:p>
    <w:p w14:paraId="6948C264"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Beatriz Belando Garín (dir.). </w:t>
      </w:r>
      <w:r w:rsidRPr="001563A1">
        <w:rPr>
          <w:i/>
          <w:sz w:val="20"/>
          <w:szCs w:val="20"/>
        </w:rPr>
        <w:t>El derecho de los usuarios de servicios financieros. Digitalización y sistemas alternativos de resolución de conflictos</w:t>
      </w:r>
      <w:r w:rsidRPr="001563A1">
        <w:rPr>
          <w:sz w:val="20"/>
          <w:szCs w:val="20"/>
        </w:rPr>
        <w:t xml:space="preserve">, Tirant lo Blanch, 2024. </w:t>
      </w:r>
    </w:p>
    <w:p w14:paraId="6758EBF0" w14:textId="77777777" w:rsidR="001563A1" w:rsidRPr="001563A1" w:rsidRDefault="001563A1" w:rsidP="001563A1">
      <w:pPr>
        <w:pStyle w:val="Prrafodelista"/>
        <w:ind w:left="360"/>
        <w:jc w:val="both"/>
        <w:rPr>
          <w:sz w:val="20"/>
          <w:szCs w:val="20"/>
        </w:rPr>
      </w:pPr>
    </w:p>
    <w:p w14:paraId="275655DD" w14:textId="5C3E95C5" w:rsidR="001563A1" w:rsidRDefault="001563A1" w:rsidP="001563A1">
      <w:pPr>
        <w:pStyle w:val="Prrafodelista"/>
        <w:numPr>
          <w:ilvl w:val="0"/>
          <w:numId w:val="15"/>
        </w:numPr>
        <w:ind w:left="360"/>
        <w:jc w:val="both"/>
        <w:rPr>
          <w:sz w:val="20"/>
          <w:szCs w:val="20"/>
        </w:rPr>
      </w:pPr>
      <w:r w:rsidRPr="001563A1">
        <w:rPr>
          <w:sz w:val="20"/>
          <w:szCs w:val="20"/>
        </w:rPr>
        <w:t xml:space="preserve">Campanero Medina. “Efectos que el control de abusividad de las cláusulas de los préstamos hipotecarios puede tener sobre la ejecución finalizada con transmisión de la propiedad de la finca a un tercero”: </w:t>
      </w:r>
      <w:r w:rsidRPr="001563A1">
        <w:rPr>
          <w:i/>
          <w:sz w:val="20"/>
          <w:szCs w:val="20"/>
        </w:rPr>
        <w:t>Diario La Ley</w:t>
      </w:r>
      <w:r w:rsidRPr="001563A1">
        <w:rPr>
          <w:sz w:val="20"/>
          <w:szCs w:val="20"/>
        </w:rPr>
        <w:t>, Nº 10523, 2024</w:t>
      </w:r>
      <w:r>
        <w:rPr>
          <w:sz w:val="20"/>
          <w:szCs w:val="20"/>
        </w:rPr>
        <w:t>.</w:t>
      </w:r>
    </w:p>
    <w:p w14:paraId="59603E30" w14:textId="77777777" w:rsidR="001563A1" w:rsidRPr="001563A1" w:rsidRDefault="001563A1" w:rsidP="001563A1">
      <w:pPr>
        <w:pStyle w:val="Prrafodelista"/>
        <w:ind w:left="360"/>
        <w:jc w:val="both"/>
        <w:rPr>
          <w:sz w:val="20"/>
          <w:szCs w:val="20"/>
        </w:rPr>
      </w:pPr>
    </w:p>
    <w:p w14:paraId="68049AB4"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Carbajo Cascón. “La distribución de seguros en plataformas digitales”: </w:t>
      </w:r>
      <w:r w:rsidRPr="001563A1">
        <w:rPr>
          <w:i/>
          <w:sz w:val="20"/>
          <w:szCs w:val="20"/>
        </w:rPr>
        <w:t>Revista española de seguros: Publicación doctrinal de Derecho y Economía de los Seguros privados</w:t>
      </w:r>
      <w:r w:rsidRPr="001563A1">
        <w:rPr>
          <w:sz w:val="20"/>
          <w:szCs w:val="20"/>
        </w:rPr>
        <w:t>, Nº. 197-198, 2024 (Ejemplar dedicado a: VI Congreso nacional de SEAIDA. El cliente en el mercado de seguros), págs. 125-150.</w:t>
      </w:r>
    </w:p>
    <w:p w14:paraId="3628C977" w14:textId="13AFDA10" w:rsidR="001563A1" w:rsidRPr="001563A1" w:rsidRDefault="001563A1" w:rsidP="001563A1">
      <w:pPr>
        <w:pStyle w:val="Prrafodelista"/>
        <w:ind w:left="360"/>
        <w:jc w:val="both"/>
        <w:rPr>
          <w:sz w:val="20"/>
          <w:szCs w:val="20"/>
        </w:rPr>
      </w:pPr>
      <w:r w:rsidRPr="001563A1">
        <w:rPr>
          <w:sz w:val="20"/>
          <w:szCs w:val="20"/>
        </w:rPr>
        <w:t xml:space="preserve"> </w:t>
      </w:r>
    </w:p>
    <w:p w14:paraId="55C5AD53"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Carrasco Perera. “Revisión crítica de la prohibición de asistencia financiera para la adquisición de acciones propias: comentario a STS 582/2023 de 20 de abril”: </w:t>
      </w:r>
      <w:r w:rsidRPr="001563A1">
        <w:rPr>
          <w:i/>
          <w:sz w:val="20"/>
          <w:szCs w:val="20"/>
        </w:rPr>
        <w:t>Cuadernos Civitas de jurisprudencia civil</w:t>
      </w:r>
      <w:r w:rsidRPr="001563A1">
        <w:rPr>
          <w:sz w:val="20"/>
          <w:szCs w:val="20"/>
        </w:rPr>
        <w:t>, Nº 124, 2024, págs. 147-164.</w:t>
      </w:r>
    </w:p>
    <w:p w14:paraId="5C4D5627" w14:textId="77777777" w:rsidR="001563A1" w:rsidRPr="001563A1" w:rsidRDefault="001563A1" w:rsidP="001563A1">
      <w:pPr>
        <w:pStyle w:val="Prrafodelista"/>
        <w:ind w:left="360"/>
        <w:jc w:val="both"/>
        <w:rPr>
          <w:sz w:val="20"/>
          <w:szCs w:val="20"/>
        </w:rPr>
      </w:pPr>
    </w:p>
    <w:p w14:paraId="1B9733DA" w14:textId="6AB8F172" w:rsidR="001563A1" w:rsidRDefault="001563A1" w:rsidP="001563A1">
      <w:pPr>
        <w:pStyle w:val="Prrafodelista"/>
        <w:numPr>
          <w:ilvl w:val="0"/>
          <w:numId w:val="15"/>
        </w:numPr>
        <w:ind w:left="360"/>
        <w:jc w:val="both"/>
        <w:rPr>
          <w:sz w:val="20"/>
          <w:szCs w:val="20"/>
        </w:rPr>
      </w:pPr>
      <w:r w:rsidRPr="001563A1">
        <w:rPr>
          <w:sz w:val="20"/>
          <w:szCs w:val="20"/>
        </w:rPr>
        <w:t xml:space="preserve">Cortez López. “La obligación de reparar en la propuesta de Directiva UE 2023/0083”: </w:t>
      </w:r>
      <w:r w:rsidRPr="001563A1">
        <w:rPr>
          <w:i/>
          <w:sz w:val="20"/>
          <w:szCs w:val="20"/>
        </w:rPr>
        <w:t>Actualidad civil</w:t>
      </w:r>
      <w:r w:rsidRPr="001563A1">
        <w:rPr>
          <w:sz w:val="20"/>
          <w:szCs w:val="20"/>
        </w:rPr>
        <w:t>, Nº 3, 2024</w:t>
      </w:r>
      <w:r>
        <w:rPr>
          <w:sz w:val="20"/>
          <w:szCs w:val="20"/>
        </w:rPr>
        <w:t>.</w:t>
      </w:r>
    </w:p>
    <w:p w14:paraId="7332461E" w14:textId="77777777" w:rsidR="001563A1" w:rsidRPr="001563A1" w:rsidRDefault="001563A1" w:rsidP="001563A1">
      <w:pPr>
        <w:pStyle w:val="Prrafodelista"/>
        <w:ind w:left="360"/>
        <w:jc w:val="both"/>
        <w:rPr>
          <w:sz w:val="20"/>
          <w:szCs w:val="20"/>
        </w:rPr>
      </w:pPr>
    </w:p>
    <w:p w14:paraId="12ACFEDA"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Cruz Rivero. “Resolución y vencimiento anticipado en el contrato de préstamo bancario”: </w:t>
      </w:r>
      <w:r w:rsidRPr="001563A1">
        <w:rPr>
          <w:i/>
          <w:sz w:val="20"/>
          <w:szCs w:val="20"/>
        </w:rPr>
        <w:t>Revista de derecho bancario y bursátil</w:t>
      </w:r>
      <w:r w:rsidRPr="001563A1">
        <w:rPr>
          <w:sz w:val="20"/>
          <w:szCs w:val="20"/>
        </w:rPr>
        <w:t>, Año nº 42, Nº 171, 2023, págs. 233-270.</w:t>
      </w:r>
    </w:p>
    <w:p w14:paraId="541388B1" w14:textId="77777777" w:rsidR="001563A1" w:rsidRPr="001563A1" w:rsidRDefault="001563A1" w:rsidP="001563A1">
      <w:pPr>
        <w:pStyle w:val="Prrafodelista"/>
        <w:ind w:left="360"/>
        <w:jc w:val="both"/>
        <w:rPr>
          <w:sz w:val="20"/>
          <w:szCs w:val="20"/>
        </w:rPr>
      </w:pPr>
    </w:p>
    <w:p w14:paraId="11B99DB5"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Cuadrado Soler. “La subrogación de hipoteca con novación de la cláusula suelo”: </w:t>
      </w:r>
      <w:r w:rsidRPr="001563A1">
        <w:rPr>
          <w:i/>
          <w:sz w:val="20"/>
          <w:szCs w:val="20"/>
        </w:rPr>
        <w:t>Actualidad civil</w:t>
      </w:r>
      <w:r w:rsidRPr="001563A1">
        <w:rPr>
          <w:sz w:val="20"/>
          <w:szCs w:val="20"/>
        </w:rPr>
        <w:t>, Nº 1, 2023.</w:t>
      </w:r>
    </w:p>
    <w:p w14:paraId="0C6FC5D2" w14:textId="77777777" w:rsidR="001563A1" w:rsidRPr="001563A1" w:rsidRDefault="001563A1" w:rsidP="001563A1">
      <w:pPr>
        <w:pStyle w:val="Prrafodelista"/>
        <w:ind w:left="360"/>
        <w:jc w:val="both"/>
        <w:rPr>
          <w:sz w:val="20"/>
          <w:szCs w:val="20"/>
        </w:rPr>
      </w:pPr>
    </w:p>
    <w:p w14:paraId="18E3D830"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Cuena Casas. “Sanciones al préstamo irresponsable. El Tribunal de Justicia de la UE se pronuncia”: </w:t>
      </w:r>
      <w:r w:rsidRPr="001563A1">
        <w:rPr>
          <w:i/>
          <w:sz w:val="20"/>
          <w:szCs w:val="20"/>
        </w:rPr>
        <w:t>El notario del siglo XXI: revista del Colegio Notarial de Madrid</w:t>
      </w:r>
      <w:r w:rsidRPr="001563A1">
        <w:rPr>
          <w:sz w:val="20"/>
          <w:szCs w:val="20"/>
        </w:rPr>
        <w:t>, Nº. 114, 2024, págs. 36-43.</w:t>
      </w:r>
    </w:p>
    <w:p w14:paraId="3704C2C3" w14:textId="77777777" w:rsidR="001563A1" w:rsidRPr="001563A1" w:rsidRDefault="001563A1" w:rsidP="001563A1">
      <w:pPr>
        <w:pStyle w:val="Prrafodelista"/>
        <w:ind w:left="360"/>
        <w:jc w:val="both"/>
        <w:rPr>
          <w:sz w:val="20"/>
          <w:szCs w:val="20"/>
        </w:rPr>
      </w:pPr>
    </w:p>
    <w:p w14:paraId="4CB07287"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Dávalos Alarcón. “La repercusión de las sentencias del Tribunal de Justicia de la Unión Europea de 25 de enero y 25 de abril de 2024 sobre el plazo de prescripción para reclamar los gastos hipotecarios”: </w:t>
      </w:r>
      <w:r w:rsidRPr="001563A1">
        <w:rPr>
          <w:i/>
          <w:sz w:val="20"/>
          <w:szCs w:val="20"/>
        </w:rPr>
        <w:t>Revista Jurídica sobre Consumidores y Usuarios</w:t>
      </w:r>
      <w:r w:rsidRPr="001563A1">
        <w:rPr>
          <w:sz w:val="20"/>
          <w:szCs w:val="20"/>
        </w:rPr>
        <w:t>, Nº 15. La restitución de los gastos de constitución de hipoteca, Mayo 2024.</w:t>
      </w:r>
    </w:p>
    <w:p w14:paraId="77E95C16" w14:textId="28268E05" w:rsidR="001563A1" w:rsidRPr="001563A1" w:rsidRDefault="001563A1" w:rsidP="001563A1">
      <w:pPr>
        <w:pStyle w:val="Prrafodelista"/>
        <w:ind w:left="360"/>
        <w:jc w:val="both"/>
        <w:rPr>
          <w:sz w:val="20"/>
          <w:szCs w:val="20"/>
        </w:rPr>
      </w:pPr>
      <w:r w:rsidRPr="001563A1">
        <w:rPr>
          <w:sz w:val="20"/>
          <w:szCs w:val="20"/>
        </w:rPr>
        <w:t xml:space="preserve"> </w:t>
      </w:r>
    </w:p>
    <w:p w14:paraId="4E7EB01A" w14:textId="77777777" w:rsidR="001563A1" w:rsidRDefault="001563A1" w:rsidP="001563A1">
      <w:pPr>
        <w:pStyle w:val="Prrafodelista"/>
        <w:numPr>
          <w:ilvl w:val="0"/>
          <w:numId w:val="15"/>
        </w:numPr>
        <w:ind w:left="360"/>
        <w:jc w:val="both"/>
        <w:rPr>
          <w:sz w:val="20"/>
          <w:szCs w:val="20"/>
        </w:rPr>
      </w:pPr>
      <w:r w:rsidRPr="001563A1">
        <w:rPr>
          <w:sz w:val="20"/>
          <w:szCs w:val="20"/>
        </w:rPr>
        <w:lastRenderedPageBreak/>
        <w:t xml:space="preserve">Diéguez Oliva. “«Los negocios jurídicos conexos en el Derecho de consumo de la Unión Europea: ¿simul stabunt, simul cadent”: </w:t>
      </w:r>
      <w:r w:rsidRPr="001563A1">
        <w:rPr>
          <w:i/>
          <w:sz w:val="20"/>
          <w:szCs w:val="20"/>
        </w:rPr>
        <w:t>La Ley Unión Europea</w:t>
      </w:r>
      <w:r w:rsidRPr="001563A1">
        <w:rPr>
          <w:sz w:val="20"/>
          <w:szCs w:val="20"/>
        </w:rPr>
        <w:t>, Nº 123, 2024 (Ejemplar dedicado a: Explotación vitícola y la protección de las indicaciones de calidad vitivinícola).</w:t>
      </w:r>
    </w:p>
    <w:p w14:paraId="6A231BA6" w14:textId="77777777" w:rsidR="001563A1" w:rsidRPr="001563A1" w:rsidRDefault="001563A1" w:rsidP="001563A1">
      <w:pPr>
        <w:pStyle w:val="Prrafodelista"/>
        <w:ind w:left="360"/>
        <w:jc w:val="both"/>
        <w:rPr>
          <w:sz w:val="20"/>
          <w:szCs w:val="20"/>
        </w:rPr>
      </w:pPr>
    </w:p>
    <w:p w14:paraId="6D36B5E0"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Domínguez García; Caballero Trenado. “Publicidad y juegos de azar. Apuntes sobre la decisión histórica que entroniza la libertad empresarial: Sentencia del Tribunal Supremo 527/2024, de 2 de abril”: </w:t>
      </w:r>
      <w:r w:rsidRPr="001563A1">
        <w:rPr>
          <w:i/>
          <w:sz w:val="20"/>
          <w:szCs w:val="20"/>
        </w:rPr>
        <w:t>Diario La Ley</w:t>
      </w:r>
      <w:r w:rsidRPr="001563A1">
        <w:rPr>
          <w:sz w:val="20"/>
          <w:szCs w:val="20"/>
        </w:rPr>
        <w:t xml:space="preserve">, Nº 10510, 2024. </w:t>
      </w:r>
    </w:p>
    <w:p w14:paraId="5FE8943B" w14:textId="77777777" w:rsidR="001563A1" w:rsidRPr="001563A1" w:rsidRDefault="001563A1" w:rsidP="001563A1">
      <w:pPr>
        <w:pStyle w:val="Prrafodelista"/>
        <w:ind w:left="360"/>
        <w:jc w:val="both"/>
        <w:rPr>
          <w:sz w:val="20"/>
          <w:szCs w:val="20"/>
        </w:rPr>
      </w:pPr>
    </w:p>
    <w:p w14:paraId="66EC49CF"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Espinet Asensio. “Compraventa de inmuebles con cemento aluminoso en los elementos estructurales: acciones y remedios”: </w:t>
      </w:r>
      <w:r w:rsidRPr="001563A1">
        <w:rPr>
          <w:i/>
          <w:sz w:val="20"/>
          <w:szCs w:val="20"/>
        </w:rPr>
        <w:t>Actualidad civil</w:t>
      </w:r>
      <w:r w:rsidRPr="001563A1">
        <w:rPr>
          <w:sz w:val="20"/>
          <w:szCs w:val="20"/>
        </w:rPr>
        <w:t xml:space="preserve">, Nº 1, 2023. </w:t>
      </w:r>
    </w:p>
    <w:p w14:paraId="788B8EF8" w14:textId="77777777" w:rsidR="001563A1" w:rsidRPr="001563A1" w:rsidRDefault="001563A1" w:rsidP="001563A1">
      <w:pPr>
        <w:pStyle w:val="Prrafodelista"/>
        <w:ind w:left="360"/>
        <w:jc w:val="both"/>
        <w:rPr>
          <w:sz w:val="20"/>
          <w:szCs w:val="20"/>
        </w:rPr>
      </w:pPr>
    </w:p>
    <w:p w14:paraId="11D878B9"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Esquivias Jaramillo. “Protección de datos personales por un posible comportamiento negligente de una notaria: Comentario a la STS de 27 de noviembre de 2023”: </w:t>
      </w:r>
      <w:r w:rsidRPr="001563A1">
        <w:rPr>
          <w:i/>
          <w:sz w:val="20"/>
          <w:szCs w:val="20"/>
        </w:rPr>
        <w:t>CEFLegal: Revista práctica de derecho. Comentarios y casos prácticos</w:t>
      </w:r>
      <w:r w:rsidRPr="001563A1">
        <w:rPr>
          <w:sz w:val="20"/>
          <w:szCs w:val="20"/>
        </w:rPr>
        <w:t>, Nº. 279, 2024, págs. 109-116.</w:t>
      </w:r>
    </w:p>
    <w:p w14:paraId="1CF8C3BF" w14:textId="77777777" w:rsidR="001563A1" w:rsidRPr="001563A1" w:rsidRDefault="001563A1" w:rsidP="001563A1">
      <w:pPr>
        <w:pStyle w:val="Prrafodelista"/>
        <w:ind w:left="360"/>
        <w:jc w:val="both"/>
        <w:rPr>
          <w:sz w:val="20"/>
          <w:szCs w:val="20"/>
        </w:rPr>
      </w:pPr>
    </w:p>
    <w:p w14:paraId="389C019D"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Estebanez Izquierdo. “Apuntes civiles sobre la obligación de las entidades financieras conservar y entregar al cliente la documentación contractual, los extractos de pago y cuadros de amortización”: </w:t>
      </w:r>
      <w:r w:rsidRPr="001563A1">
        <w:rPr>
          <w:i/>
          <w:sz w:val="20"/>
          <w:szCs w:val="20"/>
        </w:rPr>
        <w:t>Revista de Derecho vLex</w:t>
      </w:r>
      <w:r w:rsidRPr="001563A1">
        <w:rPr>
          <w:sz w:val="20"/>
          <w:szCs w:val="20"/>
        </w:rPr>
        <w:t xml:space="preserve">, Nº 240, Mayo 2024. </w:t>
      </w:r>
    </w:p>
    <w:p w14:paraId="0E7A2F69" w14:textId="77777777" w:rsidR="001563A1" w:rsidRPr="001563A1" w:rsidRDefault="001563A1" w:rsidP="001563A1">
      <w:pPr>
        <w:pStyle w:val="Prrafodelista"/>
        <w:ind w:left="360"/>
        <w:jc w:val="both"/>
        <w:rPr>
          <w:sz w:val="20"/>
          <w:szCs w:val="20"/>
        </w:rPr>
      </w:pPr>
    </w:p>
    <w:p w14:paraId="53F6A48C"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Fernández Bravo; Cabrera. “El derecho a compensación y la necesidad de acudir a la facturación en caso de gran retraso”: </w:t>
      </w:r>
      <w:r w:rsidRPr="001563A1">
        <w:rPr>
          <w:i/>
          <w:sz w:val="20"/>
          <w:szCs w:val="20"/>
        </w:rPr>
        <w:t>Actualidad jurídica Aranzadi</w:t>
      </w:r>
      <w:r w:rsidRPr="001563A1">
        <w:rPr>
          <w:sz w:val="20"/>
          <w:szCs w:val="20"/>
        </w:rPr>
        <w:t>, Nº 1004, 2024.</w:t>
      </w:r>
    </w:p>
    <w:p w14:paraId="00798B64" w14:textId="77777777" w:rsidR="001563A1" w:rsidRPr="001563A1" w:rsidRDefault="001563A1" w:rsidP="001563A1">
      <w:pPr>
        <w:pStyle w:val="Prrafodelista"/>
        <w:ind w:left="360"/>
        <w:jc w:val="both"/>
        <w:rPr>
          <w:sz w:val="20"/>
          <w:szCs w:val="20"/>
        </w:rPr>
      </w:pPr>
    </w:p>
    <w:p w14:paraId="381377C3"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Fernández Seijo. “El Corredor de Kessel y la prescripción de las acciones restitutorias ejercitadas por los consumidores”: </w:t>
      </w:r>
      <w:r w:rsidRPr="001563A1">
        <w:rPr>
          <w:i/>
          <w:sz w:val="20"/>
          <w:szCs w:val="20"/>
        </w:rPr>
        <w:t>Revista Jurídica sobre Consumidores y Usuarios</w:t>
      </w:r>
      <w:r w:rsidRPr="001563A1">
        <w:rPr>
          <w:sz w:val="20"/>
          <w:szCs w:val="20"/>
        </w:rPr>
        <w:t xml:space="preserve">, Nº 15. La restitución de los gastos de constitución de hipoteca, Mayo 2024. </w:t>
      </w:r>
    </w:p>
    <w:p w14:paraId="51E5304D" w14:textId="77777777" w:rsidR="001563A1" w:rsidRPr="001563A1" w:rsidRDefault="001563A1" w:rsidP="001563A1">
      <w:pPr>
        <w:pStyle w:val="Prrafodelista"/>
        <w:ind w:left="360"/>
        <w:jc w:val="both"/>
        <w:rPr>
          <w:sz w:val="20"/>
          <w:szCs w:val="20"/>
        </w:rPr>
      </w:pPr>
    </w:p>
    <w:p w14:paraId="5DE632B4"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Fernández-Cotta Andrade. “Del desahucio mediante arbitraje: debate doctrinal tras la reforma causada por la Ley de Vivienda”: </w:t>
      </w:r>
      <w:r w:rsidRPr="001563A1">
        <w:rPr>
          <w:i/>
          <w:sz w:val="20"/>
          <w:szCs w:val="20"/>
        </w:rPr>
        <w:t>Diario La Ley</w:t>
      </w:r>
      <w:r w:rsidRPr="001563A1">
        <w:rPr>
          <w:sz w:val="20"/>
          <w:szCs w:val="20"/>
        </w:rPr>
        <w:t>, Nº 10504, 2024.</w:t>
      </w:r>
    </w:p>
    <w:p w14:paraId="607AE3EC" w14:textId="77777777" w:rsidR="001563A1" w:rsidRPr="001563A1" w:rsidRDefault="001563A1" w:rsidP="001563A1">
      <w:pPr>
        <w:pStyle w:val="Prrafodelista"/>
        <w:ind w:left="360"/>
        <w:jc w:val="both"/>
        <w:rPr>
          <w:sz w:val="20"/>
          <w:szCs w:val="20"/>
        </w:rPr>
      </w:pPr>
    </w:p>
    <w:p w14:paraId="63340C70"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Fuentes-Lojo Rius. “Cláusulas abusivas en contratos de mantenimiento de ascensores”: </w:t>
      </w:r>
      <w:r w:rsidRPr="001563A1">
        <w:rPr>
          <w:i/>
          <w:sz w:val="20"/>
          <w:szCs w:val="20"/>
        </w:rPr>
        <w:t>Actualidad civil</w:t>
      </w:r>
      <w:r w:rsidRPr="001563A1">
        <w:rPr>
          <w:sz w:val="20"/>
          <w:szCs w:val="20"/>
        </w:rPr>
        <w:t xml:space="preserve">, Nº 4, 2024. </w:t>
      </w:r>
    </w:p>
    <w:p w14:paraId="6586B3E4" w14:textId="77777777" w:rsidR="001563A1" w:rsidRPr="001563A1" w:rsidRDefault="001563A1" w:rsidP="001563A1">
      <w:pPr>
        <w:pStyle w:val="Prrafodelista"/>
        <w:ind w:left="360"/>
        <w:jc w:val="both"/>
        <w:rPr>
          <w:sz w:val="20"/>
          <w:szCs w:val="20"/>
        </w:rPr>
      </w:pPr>
    </w:p>
    <w:p w14:paraId="5ECE17DA"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Fuentes-Lojo Rius; Salas Carceller; Carrasco Perera; Adán Domenech. “Arbitraje y desahucios”: </w:t>
      </w:r>
      <w:r w:rsidRPr="001563A1">
        <w:rPr>
          <w:i/>
          <w:sz w:val="20"/>
          <w:szCs w:val="20"/>
        </w:rPr>
        <w:t>Actualidad civil</w:t>
      </w:r>
      <w:r w:rsidRPr="001563A1">
        <w:rPr>
          <w:sz w:val="20"/>
          <w:szCs w:val="20"/>
        </w:rPr>
        <w:t>, Nº 3, 2024.</w:t>
      </w:r>
    </w:p>
    <w:p w14:paraId="7BB025E4" w14:textId="77777777" w:rsidR="001563A1" w:rsidRPr="001563A1" w:rsidRDefault="001563A1" w:rsidP="001563A1">
      <w:pPr>
        <w:pStyle w:val="Prrafodelista"/>
        <w:ind w:left="360"/>
        <w:jc w:val="both"/>
        <w:rPr>
          <w:sz w:val="20"/>
          <w:szCs w:val="20"/>
        </w:rPr>
      </w:pPr>
    </w:p>
    <w:p w14:paraId="2375E701"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Gaitán Peña. “Posibles acciones ante el asesoramiento defectuoso en la comercialización de productos financieros”: </w:t>
      </w:r>
      <w:r w:rsidRPr="001563A1">
        <w:rPr>
          <w:i/>
          <w:sz w:val="20"/>
          <w:szCs w:val="20"/>
        </w:rPr>
        <w:t>Diario La Ley</w:t>
      </w:r>
      <w:r w:rsidRPr="001563A1">
        <w:rPr>
          <w:sz w:val="20"/>
          <w:szCs w:val="20"/>
        </w:rPr>
        <w:t xml:space="preserve">, Nº 10535, 2024. </w:t>
      </w:r>
    </w:p>
    <w:p w14:paraId="2FAA8388" w14:textId="77777777" w:rsidR="001563A1" w:rsidRPr="001563A1" w:rsidRDefault="001563A1" w:rsidP="001563A1">
      <w:pPr>
        <w:pStyle w:val="Prrafodelista"/>
        <w:ind w:left="360"/>
        <w:jc w:val="both"/>
        <w:rPr>
          <w:sz w:val="20"/>
          <w:szCs w:val="20"/>
        </w:rPr>
      </w:pPr>
    </w:p>
    <w:p w14:paraId="7D2BDEE9"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Gómez Ligüerre. “Ampliación de garantías, transparencia y abusividad en las hipotecas multidivisa: comentario a la STS 418/2023, de 28 de marzo y a la STS 445/2023, de 10 de abril”: </w:t>
      </w:r>
      <w:r w:rsidRPr="001563A1">
        <w:rPr>
          <w:i/>
          <w:sz w:val="20"/>
          <w:szCs w:val="20"/>
        </w:rPr>
        <w:t>Cuadernos Civitas de jurisprudencia civil</w:t>
      </w:r>
      <w:r w:rsidRPr="001563A1">
        <w:rPr>
          <w:sz w:val="20"/>
          <w:szCs w:val="20"/>
        </w:rPr>
        <w:t>, Nº 124, 2024, págs. 53-88.</w:t>
      </w:r>
    </w:p>
    <w:p w14:paraId="3B84BADE" w14:textId="77777777" w:rsidR="001563A1" w:rsidRPr="001563A1" w:rsidRDefault="001563A1" w:rsidP="001563A1">
      <w:pPr>
        <w:pStyle w:val="Prrafodelista"/>
        <w:ind w:left="360"/>
        <w:jc w:val="both"/>
        <w:rPr>
          <w:sz w:val="20"/>
          <w:szCs w:val="20"/>
        </w:rPr>
      </w:pPr>
    </w:p>
    <w:p w14:paraId="171390C6"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Hernández Manzanares. “Análisis de la última jurisprudencia del Tribunal Supremo sobre cláusulas delimitadoras y limitativas y cuestionario de salud”: </w:t>
      </w:r>
      <w:r w:rsidRPr="001563A1">
        <w:rPr>
          <w:i/>
          <w:sz w:val="20"/>
          <w:szCs w:val="20"/>
        </w:rPr>
        <w:t>Diario La Ley</w:t>
      </w:r>
      <w:r w:rsidRPr="001563A1">
        <w:rPr>
          <w:sz w:val="20"/>
          <w:szCs w:val="20"/>
        </w:rPr>
        <w:t>, Nº 10482, 2024.</w:t>
      </w:r>
    </w:p>
    <w:p w14:paraId="6E01B4E8" w14:textId="77777777" w:rsidR="001563A1" w:rsidRPr="001563A1" w:rsidRDefault="001563A1" w:rsidP="001563A1">
      <w:pPr>
        <w:pStyle w:val="Prrafodelista"/>
        <w:ind w:left="360"/>
        <w:jc w:val="both"/>
        <w:rPr>
          <w:sz w:val="20"/>
          <w:szCs w:val="20"/>
        </w:rPr>
      </w:pPr>
    </w:p>
    <w:p w14:paraId="64A5C6C8"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Hernández Manzanares. “Percibo de cantidades anticipadas en la construcción y venta de viviendas: doctrina jurisprudencial relativa a la Ley 57/1968, de 27 de julio”: </w:t>
      </w:r>
      <w:r w:rsidRPr="001563A1">
        <w:rPr>
          <w:i/>
          <w:sz w:val="20"/>
          <w:szCs w:val="20"/>
        </w:rPr>
        <w:t>Diario La Ley</w:t>
      </w:r>
      <w:r w:rsidRPr="001563A1">
        <w:rPr>
          <w:sz w:val="20"/>
          <w:szCs w:val="20"/>
        </w:rPr>
        <w:t xml:space="preserve">, Nº 10506, 2024. </w:t>
      </w:r>
    </w:p>
    <w:p w14:paraId="52861573" w14:textId="77777777" w:rsidR="001563A1" w:rsidRPr="001563A1" w:rsidRDefault="001563A1" w:rsidP="001563A1">
      <w:pPr>
        <w:pStyle w:val="Prrafodelista"/>
        <w:ind w:left="360"/>
        <w:jc w:val="both"/>
        <w:rPr>
          <w:sz w:val="20"/>
          <w:szCs w:val="20"/>
        </w:rPr>
      </w:pPr>
    </w:p>
    <w:p w14:paraId="7CF1CFA4" w14:textId="7A7DAA3A" w:rsidR="001563A1" w:rsidRPr="001563A1" w:rsidRDefault="001563A1" w:rsidP="001563A1">
      <w:pPr>
        <w:pStyle w:val="Prrafodelista"/>
        <w:numPr>
          <w:ilvl w:val="0"/>
          <w:numId w:val="15"/>
        </w:numPr>
        <w:ind w:left="360"/>
        <w:jc w:val="both"/>
        <w:rPr>
          <w:sz w:val="20"/>
          <w:szCs w:val="20"/>
        </w:rPr>
      </w:pPr>
      <w:r w:rsidRPr="001563A1">
        <w:rPr>
          <w:sz w:val="20"/>
          <w:szCs w:val="20"/>
        </w:rPr>
        <w:t xml:space="preserve">Hortelano Anguita. “Comentarios sobre el Anteproyecto de Ley de acciones de representación para los intereses colectivos de los consumidores”: </w:t>
      </w:r>
      <w:r w:rsidRPr="001563A1">
        <w:rPr>
          <w:i/>
          <w:sz w:val="20"/>
          <w:szCs w:val="20"/>
        </w:rPr>
        <w:t>Actualidad civil</w:t>
      </w:r>
      <w:r w:rsidRPr="001563A1">
        <w:rPr>
          <w:sz w:val="20"/>
          <w:szCs w:val="20"/>
        </w:rPr>
        <w:t>, Nº 2, 2023.</w:t>
      </w:r>
    </w:p>
    <w:p w14:paraId="7AD41B6A" w14:textId="77777777" w:rsidR="001563A1" w:rsidRDefault="001563A1" w:rsidP="001563A1">
      <w:pPr>
        <w:pStyle w:val="Prrafodelista"/>
        <w:numPr>
          <w:ilvl w:val="0"/>
          <w:numId w:val="15"/>
        </w:numPr>
        <w:ind w:left="360"/>
        <w:jc w:val="both"/>
        <w:rPr>
          <w:sz w:val="20"/>
          <w:szCs w:val="20"/>
        </w:rPr>
      </w:pPr>
      <w:r w:rsidRPr="001563A1">
        <w:rPr>
          <w:sz w:val="20"/>
          <w:szCs w:val="20"/>
        </w:rPr>
        <w:lastRenderedPageBreak/>
        <w:t xml:space="preserve">Lois. “El impacto de la propuesta de Directiva sobre responsabilidad por los daños causados por productos defectuosos en los sistemas de Inteligencia Artificial”: </w:t>
      </w:r>
      <w:r w:rsidRPr="001563A1">
        <w:rPr>
          <w:i/>
          <w:sz w:val="20"/>
          <w:szCs w:val="20"/>
        </w:rPr>
        <w:t>Actualidad jurídica Aranzadi</w:t>
      </w:r>
      <w:r w:rsidRPr="001563A1">
        <w:rPr>
          <w:sz w:val="20"/>
          <w:szCs w:val="20"/>
        </w:rPr>
        <w:t>, Nº 1006, 2024.</w:t>
      </w:r>
    </w:p>
    <w:p w14:paraId="41F8669C" w14:textId="77777777" w:rsidR="001563A1" w:rsidRPr="001563A1" w:rsidRDefault="001563A1" w:rsidP="001563A1">
      <w:pPr>
        <w:pStyle w:val="Prrafodelista"/>
        <w:ind w:left="360"/>
        <w:jc w:val="both"/>
        <w:rPr>
          <w:sz w:val="20"/>
          <w:szCs w:val="20"/>
        </w:rPr>
      </w:pPr>
    </w:p>
    <w:p w14:paraId="362CA7E5"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López Martínez. “El derecho al olvido oncológico. Aproximación a la reforma de la Ley del Contrato de Seguro introducida por el Real Decreto Ley 5/2023 de 28 de junio”: </w:t>
      </w:r>
      <w:r w:rsidRPr="001563A1">
        <w:rPr>
          <w:i/>
          <w:sz w:val="20"/>
          <w:szCs w:val="20"/>
        </w:rPr>
        <w:t>Práctica derecho daños: Revista de Responsabilidad Civil y Seguros</w:t>
      </w:r>
      <w:r w:rsidRPr="001563A1">
        <w:rPr>
          <w:sz w:val="20"/>
          <w:szCs w:val="20"/>
        </w:rPr>
        <w:t xml:space="preserve">, Nº. 157, 2023, pág. 2. </w:t>
      </w:r>
    </w:p>
    <w:p w14:paraId="71854C1B" w14:textId="77777777" w:rsidR="001563A1" w:rsidRPr="001563A1" w:rsidRDefault="001563A1" w:rsidP="001563A1">
      <w:pPr>
        <w:pStyle w:val="Prrafodelista"/>
        <w:ind w:left="360"/>
        <w:jc w:val="both"/>
        <w:rPr>
          <w:sz w:val="20"/>
          <w:szCs w:val="20"/>
        </w:rPr>
      </w:pPr>
    </w:p>
    <w:p w14:paraId="6A31D5BA"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López Sánchez. “Responsabilidad civil por daños derivados de sistemas de inteligencia artificial en el ámbito de los servicios sociales desde un enfoque nacional y europeo”: </w:t>
      </w:r>
      <w:r w:rsidRPr="001563A1">
        <w:rPr>
          <w:i/>
          <w:sz w:val="20"/>
          <w:szCs w:val="20"/>
        </w:rPr>
        <w:t>Revista de derecho privado</w:t>
      </w:r>
      <w:r w:rsidRPr="001563A1">
        <w:rPr>
          <w:sz w:val="20"/>
          <w:szCs w:val="20"/>
        </w:rPr>
        <w:t>, Año nº 108, Mes 2, 2024, págs. 79-114.</w:t>
      </w:r>
    </w:p>
    <w:p w14:paraId="21C5950E" w14:textId="77777777" w:rsidR="001563A1" w:rsidRPr="001563A1" w:rsidRDefault="001563A1" w:rsidP="001563A1">
      <w:pPr>
        <w:pStyle w:val="Prrafodelista"/>
        <w:ind w:left="360"/>
        <w:jc w:val="both"/>
        <w:rPr>
          <w:sz w:val="20"/>
          <w:szCs w:val="20"/>
        </w:rPr>
      </w:pPr>
    </w:p>
    <w:p w14:paraId="14E14319"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Marín López. “Las SSTJUE de 25 de enero y 25 de abril de 2024 no exigen que el plazo de prescripción de la acción de restitución de gastos hipotecarios se inicie con la sentencia que declara la nulidad de la cláusula de gastos”: </w:t>
      </w:r>
      <w:r w:rsidRPr="001563A1">
        <w:rPr>
          <w:i/>
          <w:sz w:val="20"/>
          <w:szCs w:val="20"/>
        </w:rPr>
        <w:t>Revista CESCO de Derecho de Consumo</w:t>
      </w:r>
      <w:r w:rsidRPr="001563A1">
        <w:rPr>
          <w:sz w:val="20"/>
          <w:szCs w:val="20"/>
        </w:rPr>
        <w:t xml:space="preserve">, Nº. 50, 2024, págs. 51-187. </w:t>
      </w:r>
    </w:p>
    <w:p w14:paraId="33F40DA2" w14:textId="77777777" w:rsidR="001563A1" w:rsidRPr="001563A1" w:rsidRDefault="001563A1" w:rsidP="001563A1">
      <w:pPr>
        <w:pStyle w:val="Prrafodelista"/>
        <w:ind w:left="360"/>
        <w:jc w:val="both"/>
        <w:rPr>
          <w:sz w:val="20"/>
          <w:szCs w:val="20"/>
        </w:rPr>
      </w:pPr>
    </w:p>
    <w:p w14:paraId="20D7D998"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Martín Espín. “Dies a quo en la responsabilidad por productos defectuosos”: </w:t>
      </w:r>
      <w:r w:rsidRPr="001563A1">
        <w:rPr>
          <w:i/>
          <w:sz w:val="20"/>
          <w:szCs w:val="20"/>
        </w:rPr>
        <w:t>Revista CESCO de Derecho de Consumo</w:t>
      </w:r>
      <w:r w:rsidRPr="001563A1">
        <w:rPr>
          <w:sz w:val="20"/>
          <w:szCs w:val="20"/>
        </w:rPr>
        <w:t xml:space="preserve">, Nº. 50, 2024, págs. 1-13. </w:t>
      </w:r>
    </w:p>
    <w:p w14:paraId="34BBC7A2" w14:textId="77777777" w:rsidR="001563A1" w:rsidRPr="001563A1" w:rsidRDefault="001563A1" w:rsidP="001563A1">
      <w:pPr>
        <w:pStyle w:val="Prrafodelista"/>
        <w:ind w:left="360"/>
        <w:jc w:val="both"/>
        <w:rPr>
          <w:sz w:val="20"/>
          <w:szCs w:val="20"/>
        </w:rPr>
      </w:pPr>
    </w:p>
    <w:p w14:paraId="13C368F3"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Martín Faba. “Nuevas reglas sobre condiciones generales a la luz del Reglamento de Servicios Digitales”: </w:t>
      </w:r>
      <w:r w:rsidRPr="001563A1">
        <w:rPr>
          <w:i/>
          <w:sz w:val="20"/>
          <w:szCs w:val="20"/>
        </w:rPr>
        <w:t>Revista CESCO de Derecho de Consumo</w:t>
      </w:r>
      <w:r w:rsidRPr="001563A1">
        <w:rPr>
          <w:sz w:val="20"/>
          <w:szCs w:val="20"/>
        </w:rPr>
        <w:t>, Nº. 50, 2024, págs. 188-201.</w:t>
      </w:r>
    </w:p>
    <w:p w14:paraId="22E66C24" w14:textId="77777777" w:rsidR="001563A1" w:rsidRPr="001563A1" w:rsidRDefault="001563A1" w:rsidP="001563A1">
      <w:pPr>
        <w:pStyle w:val="Prrafodelista"/>
        <w:ind w:left="360"/>
        <w:jc w:val="both"/>
        <w:rPr>
          <w:sz w:val="20"/>
          <w:szCs w:val="20"/>
        </w:rPr>
      </w:pPr>
    </w:p>
    <w:p w14:paraId="4A9DE5C1"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Martínez Manzano. “A nueva regulación europea sobre criptoactivos: descifrando la ‘travel rule’”: </w:t>
      </w:r>
      <w:r w:rsidRPr="001563A1">
        <w:rPr>
          <w:i/>
          <w:sz w:val="20"/>
          <w:szCs w:val="20"/>
        </w:rPr>
        <w:t>Actualidad jurídica Aranzadi</w:t>
      </w:r>
      <w:r w:rsidRPr="001563A1">
        <w:rPr>
          <w:sz w:val="20"/>
          <w:szCs w:val="20"/>
        </w:rPr>
        <w:t>, Nº 1004, 2024.</w:t>
      </w:r>
    </w:p>
    <w:p w14:paraId="7CCF7631" w14:textId="77777777" w:rsidR="001563A1" w:rsidRPr="001563A1" w:rsidRDefault="001563A1" w:rsidP="001563A1">
      <w:pPr>
        <w:pStyle w:val="Prrafodelista"/>
        <w:ind w:left="360"/>
        <w:jc w:val="both"/>
        <w:rPr>
          <w:sz w:val="20"/>
          <w:szCs w:val="20"/>
        </w:rPr>
      </w:pPr>
    </w:p>
    <w:p w14:paraId="2683EEC9"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Martínez Navarro. “El derecho a la alimentación y el deber sobre los desperdicios alimentarios”: </w:t>
      </w:r>
      <w:r w:rsidRPr="001563A1">
        <w:rPr>
          <w:i/>
          <w:sz w:val="20"/>
          <w:szCs w:val="20"/>
        </w:rPr>
        <w:t>Revista CESCO de Derecho de Consumo</w:t>
      </w:r>
      <w:r w:rsidRPr="001563A1">
        <w:rPr>
          <w:sz w:val="20"/>
          <w:szCs w:val="20"/>
        </w:rPr>
        <w:t>, Nº. 50, 2024, págs. 29-50.</w:t>
      </w:r>
    </w:p>
    <w:p w14:paraId="3DF64331" w14:textId="77777777" w:rsidR="001563A1" w:rsidRPr="001563A1" w:rsidRDefault="001563A1" w:rsidP="001563A1">
      <w:pPr>
        <w:pStyle w:val="Prrafodelista"/>
        <w:ind w:left="360"/>
        <w:jc w:val="both"/>
        <w:rPr>
          <w:sz w:val="20"/>
          <w:szCs w:val="20"/>
        </w:rPr>
      </w:pPr>
    </w:p>
    <w:p w14:paraId="2E6C6E69" w14:textId="6E68C720" w:rsidR="001563A1" w:rsidRDefault="001563A1" w:rsidP="001563A1">
      <w:pPr>
        <w:pStyle w:val="Prrafodelista"/>
        <w:numPr>
          <w:ilvl w:val="0"/>
          <w:numId w:val="15"/>
        </w:numPr>
        <w:ind w:left="360"/>
        <w:jc w:val="both"/>
        <w:rPr>
          <w:sz w:val="20"/>
          <w:szCs w:val="20"/>
        </w:rPr>
      </w:pPr>
      <w:r w:rsidRPr="001563A1">
        <w:rPr>
          <w:sz w:val="20"/>
          <w:szCs w:val="20"/>
        </w:rPr>
        <w:t>Matamoros Llurba. “Recopilación jurisprudencial y legislativa sobre la reclamación de gastos hipotecarios”</w:t>
      </w:r>
      <w:r>
        <w:rPr>
          <w:sz w:val="20"/>
          <w:szCs w:val="20"/>
        </w:rPr>
        <w:t xml:space="preserve">: </w:t>
      </w:r>
      <w:r w:rsidRPr="001563A1">
        <w:rPr>
          <w:i/>
          <w:sz w:val="20"/>
          <w:szCs w:val="20"/>
        </w:rPr>
        <w:t>Revista Jurídica sobre Consumidores y Usuarios</w:t>
      </w:r>
      <w:r w:rsidRPr="001563A1">
        <w:rPr>
          <w:sz w:val="20"/>
          <w:szCs w:val="20"/>
        </w:rPr>
        <w:t xml:space="preserve">, Nº 15. La restitución de los gastos de constitución de hipoteca, Mayo 2024. </w:t>
      </w:r>
    </w:p>
    <w:p w14:paraId="2B7C7F5A" w14:textId="77777777" w:rsidR="001563A1" w:rsidRPr="001563A1" w:rsidRDefault="001563A1" w:rsidP="001563A1">
      <w:pPr>
        <w:pStyle w:val="Prrafodelista"/>
        <w:ind w:left="360"/>
        <w:jc w:val="both"/>
        <w:rPr>
          <w:sz w:val="20"/>
          <w:szCs w:val="20"/>
        </w:rPr>
      </w:pPr>
    </w:p>
    <w:p w14:paraId="10D4805F"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Medrano Aranguren. “El segundo control de oficio de abusividad de cláusulas en ejecución”: </w:t>
      </w:r>
      <w:r w:rsidRPr="001563A1">
        <w:rPr>
          <w:i/>
          <w:sz w:val="20"/>
          <w:szCs w:val="20"/>
        </w:rPr>
        <w:t>CEFLegal: Revista práctica de derecho. Comentarios y casos prácticos</w:t>
      </w:r>
      <w:r w:rsidRPr="001563A1">
        <w:rPr>
          <w:sz w:val="20"/>
          <w:szCs w:val="20"/>
        </w:rPr>
        <w:t>, Nº. 279, 2024, págs. 117-126.</w:t>
      </w:r>
    </w:p>
    <w:p w14:paraId="27BD9F33" w14:textId="77777777" w:rsidR="001563A1" w:rsidRPr="001563A1" w:rsidRDefault="001563A1" w:rsidP="001563A1">
      <w:pPr>
        <w:pStyle w:val="Prrafodelista"/>
        <w:ind w:left="360"/>
        <w:jc w:val="both"/>
        <w:rPr>
          <w:sz w:val="20"/>
          <w:szCs w:val="20"/>
        </w:rPr>
      </w:pPr>
    </w:p>
    <w:p w14:paraId="434D8844"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Molinuevo Díez. “Cuándo prescribe la acción de restitución de cantidad de la cláusula de gastos hipotecarios”: </w:t>
      </w:r>
      <w:r w:rsidRPr="001563A1">
        <w:rPr>
          <w:i/>
          <w:sz w:val="20"/>
          <w:szCs w:val="20"/>
        </w:rPr>
        <w:t>Revista Jurídica sobre Consumidores y Usuarios</w:t>
      </w:r>
      <w:r w:rsidRPr="001563A1">
        <w:rPr>
          <w:sz w:val="20"/>
          <w:szCs w:val="20"/>
        </w:rPr>
        <w:t xml:space="preserve">, Nº 15. La restitución de los gastos de constitución de hipoteca, Mayo 2024. </w:t>
      </w:r>
    </w:p>
    <w:p w14:paraId="622E5D49" w14:textId="77777777" w:rsidR="001563A1" w:rsidRPr="001563A1" w:rsidRDefault="001563A1" w:rsidP="001563A1">
      <w:pPr>
        <w:pStyle w:val="Prrafodelista"/>
        <w:ind w:left="360"/>
        <w:jc w:val="both"/>
        <w:rPr>
          <w:sz w:val="20"/>
          <w:szCs w:val="20"/>
        </w:rPr>
      </w:pPr>
    </w:p>
    <w:p w14:paraId="107164AF"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Murillo Ballell. “La AEPD ofrece pautas y recomendaciones en torno al deber de informar sobre el tratamiento de datos personales en investigación clínica: a propósito del Informe de la AEPD, publicado el pasado 12 de marzo de 2024”: </w:t>
      </w:r>
      <w:r w:rsidRPr="001563A1">
        <w:rPr>
          <w:i/>
          <w:sz w:val="20"/>
          <w:szCs w:val="20"/>
        </w:rPr>
        <w:t>Diario La Ley</w:t>
      </w:r>
      <w:r w:rsidRPr="001563A1">
        <w:rPr>
          <w:sz w:val="20"/>
          <w:szCs w:val="20"/>
        </w:rPr>
        <w:t xml:space="preserve">, Nº 10488, 2024. </w:t>
      </w:r>
    </w:p>
    <w:p w14:paraId="30912DA9" w14:textId="77777777" w:rsidR="001563A1" w:rsidRPr="001563A1" w:rsidRDefault="001563A1" w:rsidP="001563A1">
      <w:pPr>
        <w:pStyle w:val="Prrafodelista"/>
        <w:ind w:left="360"/>
        <w:jc w:val="both"/>
        <w:rPr>
          <w:sz w:val="20"/>
          <w:szCs w:val="20"/>
        </w:rPr>
      </w:pPr>
    </w:p>
    <w:p w14:paraId="69304817"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Pérez Martín. “Sobre la nueva obligación de las plataformas de venta online”: </w:t>
      </w:r>
      <w:r w:rsidRPr="001563A1">
        <w:rPr>
          <w:i/>
          <w:sz w:val="20"/>
          <w:szCs w:val="20"/>
        </w:rPr>
        <w:t>Actualidad jurídica Aranzadi</w:t>
      </w:r>
      <w:r w:rsidRPr="001563A1">
        <w:rPr>
          <w:sz w:val="20"/>
          <w:szCs w:val="20"/>
        </w:rPr>
        <w:t>, Nº 1003, 2023.</w:t>
      </w:r>
    </w:p>
    <w:p w14:paraId="4642765C" w14:textId="77777777" w:rsidR="001563A1" w:rsidRPr="001563A1" w:rsidRDefault="001563A1" w:rsidP="001563A1">
      <w:pPr>
        <w:pStyle w:val="Prrafodelista"/>
        <w:ind w:left="360"/>
        <w:jc w:val="both"/>
        <w:rPr>
          <w:sz w:val="20"/>
          <w:szCs w:val="20"/>
        </w:rPr>
      </w:pPr>
    </w:p>
    <w:p w14:paraId="7C4A953C" w14:textId="31AFF478" w:rsidR="001563A1" w:rsidRDefault="001563A1" w:rsidP="001563A1">
      <w:pPr>
        <w:pStyle w:val="Prrafodelista"/>
        <w:numPr>
          <w:ilvl w:val="0"/>
          <w:numId w:val="15"/>
        </w:numPr>
        <w:ind w:left="360"/>
        <w:jc w:val="both"/>
        <w:rPr>
          <w:sz w:val="20"/>
          <w:szCs w:val="20"/>
        </w:rPr>
      </w:pPr>
      <w:r w:rsidRPr="001563A1">
        <w:rPr>
          <w:sz w:val="20"/>
          <w:szCs w:val="20"/>
        </w:rPr>
        <w:t xml:space="preserve">Pérez Moriones. “Contrato de seguro e inteligencia artificial: el inexcusable replanteamiento de la posición del asegurado”: </w:t>
      </w:r>
      <w:r w:rsidRPr="001563A1">
        <w:rPr>
          <w:i/>
          <w:sz w:val="20"/>
          <w:szCs w:val="20"/>
        </w:rPr>
        <w:t xml:space="preserve">Revista española de seguros: Publicación doctrinal de Derecho y Economía </w:t>
      </w:r>
      <w:r w:rsidRPr="001563A1">
        <w:rPr>
          <w:i/>
          <w:sz w:val="20"/>
          <w:szCs w:val="20"/>
        </w:rPr>
        <w:lastRenderedPageBreak/>
        <w:t>de los Seguros privados</w:t>
      </w:r>
      <w:r w:rsidRPr="001563A1">
        <w:rPr>
          <w:sz w:val="20"/>
          <w:szCs w:val="20"/>
        </w:rPr>
        <w:t>, Nº. 197-198, 2024 (Ejemplar dedicado a: VI Congreso nacional de SEAIDA. El cliente en el mercado de seguros), págs. 309-334.</w:t>
      </w:r>
    </w:p>
    <w:p w14:paraId="7EC38E4B" w14:textId="77777777" w:rsidR="001563A1" w:rsidRPr="001563A1" w:rsidRDefault="001563A1" w:rsidP="001563A1">
      <w:pPr>
        <w:pStyle w:val="Prrafodelista"/>
        <w:ind w:left="360"/>
        <w:jc w:val="both"/>
        <w:rPr>
          <w:sz w:val="20"/>
          <w:szCs w:val="20"/>
        </w:rPr>
      </w:pPr>
    </w:p>
    <w:p w14:paraId="544C1ACD"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Roche Carneros. “La Publicidad de ensayos clínicos en redes sociales: marco legal y consideraciones prácticas”: </w:t>
      </w:r>
      <w:r w:rsidRPr="001563A1">
        <w:rPr>
          <w:i/>
          <w:sz w:val="20"/>
          <w:szCs w:val="20"/>
        </w:rPr>
        <w:t>Diario La Ley</w:t>
      </w:r>
      <w:r w:rsidRPr="001563A1">
        <w:rPr>
          <w:sz w:val="20"/>
          <w:szCs w:val="20"/>
        </w:rPr>
        <w:t>, Nº 10489, 2024.</w:t>
      </w:r>
    </w:p>
    <w:p w14:paraId="2F36E283" w14:textId="77777777" w:rsidR="001563A1" w:rsidRPr="001563A1" w:rsidRDefault="001563A1" w:rsidP="001563A1">
      <w:pPr>
        <w:pStyle w:val="Prrafodelista"/>
        <w:ind w:left="360"/>
        <w:jc w:val="both"/>
        <w:rPr>
          <w:sz w:val="20"/>
          <w:szCs w:val="20"/>
        </w:rPr>
      </w:pPr>
    </w:p>
    <w:p w14:paraId="06AD1BFE" w14:textId="3FD2DCC5" w:rsidR="001563A1" w:rsidRDefault="001563A1" w:rsidP="001563A1">
      <w:pPr>
        <w:pStyle w:val="Prrafodelista"/>
        <w:numPr>
          <w:ilvl w:val="0"/>
          <w:numId w:val="15"/>
        </w:numPr>
        <w:ind w:left="360"/>
        <w:jc w:val="both"/>
        <w:rPr>
          <w:sz w:val="20"/>
          <w:szCs w:val="20"/>
        </w:rPr>
      </w:pPr>
      <w:r w:rsidRPr="001563A1">
        <w:rPr>
          <w:sz w:val="20"/>
          <w:szCs w:val="20"/>
        </w:rPr>
        <w:t>Rodríguez De Almeida.</w:t>
      </w:r>
      <w:r w:rsidR="00055856">
        <w:rPr>
          <w:sz w:val="20"/>
          <w:szCs w:val="20"/>
        </w:rPr>
        <w:t xml:space="preserve"> </w:t>
      </w:r>
      <w:r w:rsidRPr="001563A1">
        <w:rPr>
          <w:sz w:val="20"/>
          <w:szCs w:val="20"/>
        </w:rPr>
        <w:t xml:space="preserve">“La hipoteca de vivienda habitual: ¿un derecho real de «menor» garantía?”: </w:t>
      </w:r>
      <w:r w:rsidRPr="001563A1">
        <w:rPr>
          <w:i/>
          <w:sz w:val="20"/>
          <w:szCs w:val="20"/>
        </w:rPr>
        <w:t>Actualidad civil</w:t>
      </w:r>
      <w:r w:rsidRPr="001563A1">
        <w:rPr>
          <w:sz w:val="20"/>
          <w:szCs w:val="20"/>
        </w:rPr>
        <w:t>, Nº 3, 2024.</w:t>
      </w:r>
    </w:p>
    <w:p w14:paraId="679C7A74" w14:textId="77777777" w:rsidR="001563A1" w:rsidRPr="001563A1" w:rsidRDefault="001563A1" w:rsidP="001563A1">
      <w:pPr>
        <w:pStyle w:val="Prrafodelista"/>
        <w:ind w:left="360"/>
        <w:jc w:val="both"/>
        <w:rPr>
          <w:sz w:val="20"/>
          <w:szCs w:val="20"/>
        </w:rPr>
      </w:pPr>
    </w:p>
    <w:p w14:paraId="3A1799DE" w14:textId="79129D30" w:rsidR="001563A1" w:rsidRDefault="001563A1" w:rsidP="001563A1">
      <w:pPr>
        <w:pStyle w:val="Prrafodelista"/>
        <w:numPr>
          <w:ilvl w:val="0"/>
          <w:numId w:val="15"/>
        </w:numPr>
        <w:ind w:left="360"/>
        <w:jc w:val="both"/>
        <w:rPr>
          <w:sz w:val="20"/>
          <w:szCs w:val="20"/>
        </w:rPr>
      </w:pPr>
      <w:r w:rsidRPr="001563A1">
        <w:rPr>
          <w:sz w:val="20"/>
          <w:szCs w:val="20"/>
        </w:rPr>
        <w:t xml:space="preserve">Rodríguez de Vera. “El nuevo procedimiento testigo en las reclamaciones de los consumidores”: </w:t>
      </w:r>
      <w:r w:rsidRPr="001563A1">
        <w:rPr>
          <w:i/>
          <w:sz w:val="20"/>
          <w:szCs w:val="20"/>
        </w:rPr>
        <w:t>Actualidad jurídica Aranzadi</w:t>
      </w:r>
      <w:r w:rsidRPr="001563A1">
        <w:rPr>
          <w:sz w:val="20"/>
          <w:szCs w:val="20"/>
        </w:rPr>
        <w:t>, Nº 1003, 2023</w:t>
      </w:r>
      <w:r>
        <w:rPr>
          <w:sz w:val="20"/>
          <w:szCs w:val="20"/>
        </w:rPr>
        <w:t>.</w:t>
      </w:r>
    </w:p>
    <w:p w14:paraId="5A252D9A" w14:textId="77777777" w:rsidR="001563A1" w:rsidRPr="001563A1" w:rsidRDefault="001563A1" w:rsidP="001563A1">
      <w:pPr>
        <w:pStyle w:val="Prrafodelista"/>
        <w:ind w:left="360"/>
        <w:jc w:val="both"/>
        <w:rPr>
          <w:sz w:val="20"/>
          <w:szCs w:val="20"/>
        </w:rPr>
      </w:pPr>
    </w:p>
    <w:p w14:paraId="3676B523"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Rozados Oliva. “Las limitaciones a la publicidad de productos alimentarios no saludables desde una perspectiva comparada: su regulación en Portugal y Reino Unido como referentes para una reforma en España”: </w:t>
      </w:r>
      <w:r w:rsidRPr="001563A1">
        <w:rPr>
          <w:i/>
          <w:sz w:val="20"/>
          <w:szCs w:val="20"/>
        </w:rPr>
        <w:t>Revista de Estudios de la Administración Local y Autonómica. Nueva Época</w:t>
      </w:r>
      <w:r w:rsidRPr="001563A1">
        <w:rPr>
          <w:sz w:val="20"/>
          <w:szCs w:val="20"/>
        </w:rPr>
        <w:t xml:space="preserve">, Nº 21, Abril 2024. </w:t>
      </w:r>
    </w:p>
    <w:p w14:paraId="5F534DD3" w14:textId="77777777" w:rsidR="001563A1" w:rsidRPr="001563A1" w:rsidRDefault="001563A1" w:rsidP="001563A1">
      <w:pPr>
        <w:pStyle w:val="Prrafodelista"/>
        <w:ind w:left="360"/>
        <w:jc w:val="both"/>
        <w:rPr>
          <w:sz w:val="20"/>
          <w:szCs w:val="20"/>
        </w:rPr>
      </w:pPr>
    </w:p>
    <w:p w14:paraId="030FD13E"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Ruiz Ruiz; Díez Estella. “Las operaciones de concentración económica en mercados digitales: ¿un cambio de paradigma respecto a los datos de los usuarios?”: </w:t>
      </w:r>
      <w:r w:rsidRPr="001563A1">
        <w:rPr>
          <w:i/>
          <w:sz w:val="20"/>
          <w:szCs w:val="20"/>
        </w:rPr>
        <w:t>CEFLegal: Revista práctica de derecho. Comentarios y casos prácticos</w:t>
      </w:r>
      <w:r w:rsidRPr="001563A1">
        <w:rPr>
          <w:sz w:val="20"/>
          <w:szCs w:val="20"/>
        </w:rPr>
        <w:t>, Nº. 280, 2024, págs. 5-36.</w:t>
      </w:r>
    </w:p>
    <w:p w14:paraId="19DD928A" w14:textId="77777777" w:rsidR="001563A1" w:rsidRPr="001563A1" w:rsidRDefault="001563A1" w:rsidP="001563A1">
      <w:pPr>
        <w:pStyle w:val="Prrafodelista"/>
        <w:ind w:left="360"/>
        <w:jc w:val="both"/>
        <w:rPr>
          <w:sz w:val="20"/>
          <w:szCs w:val="20"/>
        </w:rPr>
      </w:pPr>
    </w:p>
    <w:p w14:paraId="10DADC9E"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Sagasti Aurrekoetxea. “El derecho al olvido oncológico en el derecho de seguros &amp; entidades financieras &amp; consumidores”: </w:t>
      </w:r>
      <w:r w:rsidRPr="001563A1">
        <w:rPr>
          <w:i/>
          <w:sz w:val="20"/>
          <w:szCs w:val="20"/>
        </w:rPr>
        <w:t>Revista española de seguros: Publicación doctrinal de Derecho y Economía de los Seguros privados</w:t>
      </w:r>
      <w:r w:rsidRPr="001563A1">
        <w:rPr>
          <w:sz w:val="20"/>
          <w:szCs w:val="20"/>
        </w:rPr>
        <w:t>, Nº. 197-198, 2024 (Ejemplar dedicado a: VI Congreso nacional de SEAIDA. El cliente en el mercado de seguros), págs. 173-240.</w:t>
      </w:r>
    </w:p>
    <w:p w14:paraId="644B6769" w14:textId="77777777" w:rsidR="001563A1" w:rsidRPr="001563A1" w:rsidRDefault="001563A1" w:rsidP="001563A1">
      <w:pPr>
        <w:pStyle w:val="Prrafodelista"/>
        <w:ind w:left="360"/>
        <w:jc w:val="both"/>
        <w:rPr>
          <w:sz w:val="20"/>
          <w:szCs w:val="20"/>
        </w:rPr>
      </w:pPr>
    </w:p>
    <w:p w14:paraId="374E4981" w14:textId="2E765EE6" w:rsidR="001563A1" w:rsidRDefault="001563A1" w:rsidP="001563A1">
      <w:pPr>
        <w:pStyle w:val="Prrafodelista"/>
        <w:numPr>
          <w:ilvl w:val="0"/>
          <w:numId w:val="15"/>
        </w:numPr>
        <w:ind w:left="360"/>
        <w:jc w:val="both"/>
        <w:rPr>
          <w:sz w:val="20"/>
          <w:szCs w:val="20"/>
        </w:rPr>
      </w:pPr>
      <w:r w:rsidRPr="001563A1">
        <w:rPr>
          <w:sz w:val="20"/>
          <w:szCs w:val="20"/>
        </w:rPr>
        <w:t>Sánchez García. “Comentarios a las sentencias del TJUE de 25 de enero y 25 de abril de 2024”:</w:t>
      </w:r>
      <w:r w:rsidR="00055856">
        <w:rPr>
          <w:sz w:val="20"/>
          <w:szCs w:val="20"/>
        </w:rPr>
        <w:t xml:space="preserve"> </w:t>
      </w:r>
      <w:r w:rsidRPr="001563A1">
        <w:rPr>
          <w:i/>
          <w:sz w:val="20"/>
          <w:szCs w:val="20"/>
        </w:rPr>
        <w:t>Revista de Derecho vLex</w:t>
      </w:r>
      <w:r w:rsidRPr="001563A1">
        <w:rPr>
          <w:sz w:val="20"/>
          <w:szCs w:val="20"/>
        </w:rPr>
        <w:t xml:space="preserve">, Nº 239, Abril 2024. </w:t>
      </w:r>
    </w:p>
    <w:p w14:paraId="3BCB1896" w14:textId="77777777" w:rsidR="001563A1" w:rsidRPr="001563A1" w:rsidRDefault="001563A1" w:rsidP="001563A1">
      <w:pPr>
        <w:pStyle w:val="Prrafodelista"/>
        <w:ind w:left="360"/>
        <w:jc w:val="both"/>
        <w:rPr>
          <w:sz w:val="20"/>
          <w:szCs w:val="20"/>
        </w:rPr>
      </w:pPr>
    </w:p>
    <w:p w14:paraId="5166BBDE"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Sánchez García. “El dies a quo sobre el plazo de prescripción de los gastos de un préstamo hipotecario: la historia interminable”: </w:t>
      </w:r>
      <w:r w:rsidRPr="001563A1">
        <w:rPr>
          <w:i/>
          <w:sz w:val="20"/>
          <w:szCs w:val="20"/>
        </w:rPr>
        <w:t>Revista Jurídica sobre Consumidores y Usuarios</w:t>
      </w:r>
      <w:r w:rsidRPr="001563A1">
        <w:rPr>
          <w:sz w:val="20"/>
          <w:szCs w:val="20"/>
        </w:rPr>
        <w:t xml:space="preserve">, Nº 15. La restitución de los gastos de constitución de hipoteca, Mayo 2024. </w:t>
      </w:r>
    </w:p>
    <w:p w14:paraId="797B0C7A" w14:textId="77777777" w:rsidR="001563A1" w:rsidRPr="001563A1" w:rsidRDefault="001563A1" w:rsidP="001563A1">
      <w:pPr>
        <w:pStyle w:val="Prrafodelista"/>
        <w:ind w:left="360"/>
        <w:jc w:val="both"/>
        <w:rPr>
          <w:sz w:val="20"/>
          <w:szCs w:val="20"/>
        </w:rPr>
      </w:pPr>
    </w:p>
    <w:p w14:paraId="6D4223F7"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Sánchez Moragas. “Los problemas de identidad, del arbitraje de consumo y su reubicación como ADR, ante la aparición de los nuevos métodos adecuados de solución de controversias”: </w:t>
      </w:r>
      <w:r w:rsidRPr="001563A1">
        <w:rPr>
          <w:i/>
          <w:sz w:val="20"/>
          <w:szCs w:val="20"/>
        </w:rPr>
        <w:t>La Ley. Mediación y arbitraje</w:t>
      </w:r>
      <w:r w:rsidRPr="001563A1">
        <w:rPr>
          <w:sz w:val="20"/>
          <w:szCs w:val="20"/>
        </w:rPr>
        <w:t xml:space="preserve">, Nº. 18, 2024. </w:t>
      </w:r>
    </w:p>
    <w:p w14:paraId="009AAA4C" w14:textId="77777777" w:rsidR="001563A1" w:rsidRPr="001563A1" w:rsidRDefault="001563A1" w:rsidP="001563A1">
      <w:pPr>
        <w:pStyle w:val="Prrafodelista"/>
        <w:ind w:left="360"/>
        <w:jc w:val="both"/>
        <w:rPr>
          <w:sz w:val="20"/>
          <w:szCs w:val="20"/>
        </w:rPr>
      </w:pPr>
    </w:p>
    <w:p w14:paraId="1D6A9F49"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Tur Faúndez. “Contratos celebrados mediante aplicaciones web y móviles. Naturaleza jurídica”: </w:t>
      </w:r>
      <w:r w:rsidRPr="001563A1">
        <w:rPr>
          <w:i/>
          <w:sz w:val="20"/>
          <w:szCs w:val="20"/>
        </w:rPr>
        <w:t>Diario La Ley</w:t>
      </w:r>
      <w:r w:rsidRPr="001563A1">
        <w:rPr>
          <w:sz w:val="20"/>
          <w:szCs w:val="20"/>
        </w:rPr>
        <w:t>, Nº 10483, 2024.</w:t>
      </w:r>
    </w:p>
    <w:p w14:paraId="4883D065" w14:textId="77777777" w:rsidR="001563A1" w:rsidRPr="001563A1" w:rsidRDefault="001563A1" w:rsidP="001563A1">
      <w:pPr>
        <w:pStyle w:val="Prrafodelista"/>
        <w:ind w:left="360"/>
        <w:jc w:val="both"/>
        <w:rPr>
          <w:sz w:val="20"/>
          <w:szCs w:val="20"/>
        </w:rPr>
      </w:pPr>
    </w:p>
    <w:p w14:paraId="1E6D845F"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Vallejo Ros. “Prescripción de las reclamaciones de gastos hipotecarios tras la STJUE de 25 de enero de 2024: ¿Se ha resuelto la cuestión?”: </w:t>
      </w:r>
      <w:r w:rsidRPr="001563A1">
        <w:rPr>
          <w:i/>
          <w:sz w:val="20"/>
          <w:szCs w:val="20"/>
        </w:rPr>
        <w:t>Revista Jurídica sobre Consumidores y Usuarios</w:t>
      </w:r>
      <w:r w:rsidRPr="001563A1">
        <w:rPr>
          <w:sz w:val="20"/>
          <w:szCs w:val="20"/>
        </w:rPr>
        <w:t xml:space="preserve">, Nº 15. La restitución de los gastos de constitución de hipoteca, Mayo 2024. </w:t>
      </w:r>
    </w:p>
    <w:p w14:paraId="03DE81AC" w14:textId="77777777" w:rsidR="001563A1" w:rsidRPr="001563A1" w:rsidRDefault="001563A1" w:rsidP="001563A1">
      <w:pPr>
        <w:pStyle w:val="Prrafodelista"/>
        <w:ind w:left="360"/>
        <w:jc w:val="both"/>
        <w:rPr>
          <w:sz w:val="20"/>
          <w:szCs w:val="20"/>
        </w:rPr>
      </w:pPr>
    </w:p>
    <w:p w14:paraId="0D035D2F" w14:textId="77777777" w:rsidR="001563A1" w:rsidRDefault="001563A1" w:rsidP="001563A1">
      <w:pPr>
        <w:pStyle w:val="Prrafodelista"/>
        <w:numPr>
          <w:ilvl w:val="0"/>
          <w:numId w:val="15"/>
        </w:numPr>
        <w:ind w:left="360"/>
        <w:jc w:val="both"/>
        <w:rPr>
          <w:sz w:val="20"/>
          <w:szCs w:val="20"/>
        </w:rPr>
      </w:pPr>
      <w:r w:rsidRPr="001563A1">
        <w:rPr>
          <w:sz w:val="20"/>
          <w:szCs w:val="20"/>
        </w:rPr>
        <w:t xml:space="preserve">Villarrubia González. “El TJUE mantiene abierta la vía para la reclamación de los gastos de constitución de hipoteca tras resolver la prescripción de la acción restitutoria el 25 de enero de 2024”: </w:t>
      </w:r>
      <w:r w:rsidRPr="001563A1">
        <w:rPr>
          <w:i/>
          <w:sz w:val="20"/>
          <w:szCs w:val="20"/>
        </w:rPr>
        <w:t>Revista Jurídica sobre Consumidores y Usuarios</w:t>
      </w:r>
      <w:r w:rsidRPr="001563A1">
        <w:rPr>
          <w:sz w:val="20"/>
          <w:szCs w:val="20"/>
        </w:rPr>
        <w:t xml:space="preserve">, Nº 15. La restitución de los gastos de constitución de hipoteca, Mayo 2024. </w:t>
      </w:r>
    </w:p>
    <w:p w14:paraId="198D800B" w14:textId="77777777" w:rsidR="00924BE0" w:rsidRDefault="00924BE0" w:rsidP="00924BE0">
      <w:pPr>
        <w:jc w:val="both"/>
        <w:rPr>
          <w:sz w:val="20"/>
          <w:szCs w:val="20"/>
        </w:rPr>
      </w:pPr>
    </w:p>
    <w:p w14:paraId="5DDC94D1" w14:textId="77777777" w:rsidR="00924BE0" w:rsidRDefault="00924BE0" w:rsidP="00924BE0">
      <w:pPr>
        <w:jc w:val="both"/>
        <w:rPr>
          <w:sz w:val="20"/>
          <w:szCs w:val="20"/>
        </w:rPr>
      </w:pPr>
    </w:p>
    <w:p w14:paraId="7246068A" w14:textId="77777777" w:rsidR="00924BE0" w:rsidRDefault="00924BE0" w:rsidP="00924BE0">
      <w:pPr>
        <w:jc w:val="both"/>
        <w:rPr>
          <w:sz w:val="20"/>
          <w:szCs w:val="20"/>
        </w:rPr>
      </w:pPr>
    </w:p>
    <w:p w14:paraId="0375DC90" w14:textId="77777777" w:rsidR="00924BE0" w:rsidRDefault="00924BE0" w:rsidP="00924BE0">
      <w:pPr>
        <w:jc w:val="both"/>
        <w:rPr>
          <w:sz w:val="20"/>
          <w:szCs w:val="20"/>
        </w:rPr>
      </w:pPr>
    </w:p>
    <w:p w14:paraId="5B9B40AD" w14:textId="77777777" w:rsidR="00924BE0" w:rsidRDefault="00924BE0" w:rsidP="00924BE0">
      <w:pPr>
        <w:jc w:val="both"/>
        <w:rPr>
          <w:sz w:val="20"/>
          <w:szCs w:val="20"/>
        </w:rPr>
      </w:pPr>
    </w:p>
    <w:p w14:paraId="6E0D07CF" w14:textId="77777777" w:rsidR="00924BE0" w:rsidRDefault="00924BE0" w:rsidP="00924BE0">
      <w:pPr>
        <w:jc w:val="both"/>
        <w:rPr>
          <w:sz w:val="20"/>
          <w:szCs w:val="20"/>
        </w:rPr>
      </w:pPr>
    </w:p>
    <w:p w14:paraId="04F17DAC" w14:textId="77777777" w:rsidR="00924BE0" w:rsidRDefault="00924BE0" w:rsidP="00924BE0">
      <w:pPr>
        <w:jc w:val="both"/>
        <w:rPr>
          <w:sz w:val="20"/>
          <w:szCs w:val="20"/>
        </w:rPr>
      </w:pPr>
    </w:p>
    <w:p w14:paraId="3F6EF17F" w14:textId="77777777" w:rsidR="00924BE0" w:rsidRDefault="00924BE0" w:rsidP="00924BE0">
      <w:pPr>
        <w:jc w:val="both"/>
        <w:rPr>
          <w:sz w:val="20"/>
          <w:szCs w:val="20"/>
        </w:rPr>
      </w:pPr>
    </w:p>
    <w:p w14:paraId="1E336FF4" w14:textId="77777777" w:rsidR="00924BE0" w:rsidRDefault="00924BE0" w:rsidP="00924BE0">
      <w:pPr>
        <w:jc w:val="both"/>
        <w:rPr>
          <w:sz w:val="20"/>
          <w:szCs w:val="20"/>
        </w:rPr>
      </w:pPr>
    </w:p>
    <w:p w14:paraId="365A9CD0" w14:textId="77777777" w:rsidR="00924BE0" w:rsidRDefault="00924BE0" w:rsidP="00924BE0">
      <w:pPr>
        <w:jc w:val="both"/>
        <w:rPr>
          <w:sz w:val="20"/>
          <w:szCs w:val="20"/>
        </w:rPr>
      </w:pPr>
    </w:p>
    <w:p w14:paraId="4D3EA1BE" w14:textId="77777777" w:rsidR="00924BE0" w:rsidRDefault="00924BE0" w:rsidP="00924BE0">
      <w:pPr>
        <w:jc w:val="both"/>
        <w:rPr>
          <w:sz w:val="20"/>
          <w:szCs w:val="20"/>
        </w:rPr>
      </w:pPr>
    </w:p>
    <w:p w14:paraId="76CFC91E" w14:textId="77777777" w:rsidR="00924BE0" w:rsidRDefault="00924BE0" w:rsidP="00924BE0">
      <w:pPr>
        <w:jc w:val="both"/>
        <w:rPr>
          <w:sz w:val="20"/>
          <w:szCs w:val="20"/>
        </w:rPr>
      </w:pPr>
    </w:p>
    <w:p w14:paraId="1C636E99" w14:textId="77777777" w:rsidR="00924BE0" w:rsidRDefault="00924BE0" w:rsidP="00924BE0">
      <w:pPr>
        <w:jc w:val="both"/>
        <w:rPr>
          <w:sz w:val="20"/>
          <w:szCs w:val="20"/>
        </w:rPr>
      </w:pPr>
    </w:p>
    <w:p w14:paraId="2D96B03C" w14:textId="77777777" w:rsidR="00924BE0" w:rsidRDefault="00924BE0" w:rsidP="00924BE0">
      <w:pPr>
        <w:jc w:val="both"/>
        <w:rPr>
          <w:sz w:val="20"/>
          <w:szCs w:val="20"/>
        </w:rPr>
      </w:pPr>
    </w:p>
    <w:p w14:paraId="08F3C0AC" w14:textId="77777777" w:rsidR="00924BE0" w:rsidRDefault="00924BE0" w:rsidP="00924BE0">
      <w:pPr>
        <w:jc w:val="both"/>
        <w:rPr>
          <w:sz w:val="20"/>
          <w:szCs w:val="20"/>
        </w:rPr>
      </w:pPr>
    </w:p>
    <w:p w14:paraId="0A3335EB" w14:textId="77777777" w:rsidR="00924BE0" w:rsidRDefault="00924BE0" w:rsidP="00924BE0">
      <w:pPr>
        <w:jc w:val="both"/>
        <w:rPr>
          <w:sz w:val="20"/>
          <w:szCs w:val="20"/>
        </w:rPr>
      </w:pPr>
    </w:p>
    <w:p w14:paraId="69A82B05" w14:textId="77777777" w:rsidR="00924BE0" w:rsidRDefault="00924BE0" w:rsidP="00924BE0">
      <w:pPr>
        <w:jc w:val="both"/>
        <w:rPr>
          <w:sz w:val="20"/>
          <w:szCs w:val="20"/>
        </w:rPr>
      </w:pPr>
    </w:p>
    <w:p w14:paraId="738756EC" w14:textId="77777777" w:rsidR="00924BE0" w:rsidRDefault="00924BE0" w:rsidP="00924BE0">
      <w:pPr>
        <w:jc w:val="both"/>
        <w:rPr>
          <w:sz w:val="20"/>
          <w:szCs w:val="20"/>
        </w:rPr>
      </w:pPr>
    </w:p>
    <w:p w14:paraId="2A1EA275" w14:textId="77777777" w:rsidR="00924BE0" w:rsidRDefault="00924BE0" w:rsidP="00924BE0">
      <w:pPr>
        <w:jc w:val="both"/>
        <w:rPr>
          <w:sz w:val="20"/>
          <w:szCs w:val="20"/>
        </w:rPr>
      </w:pPr>
    </w:p>
    <w:p w14:paraId="744B2CC1" w14:textId="77777777" w:rsidR="00924BE0" w:rsidRDefault="00924BE0" w:rsidP="00924BE0">
      <w:pPr>
        <w:jc w:val="both"/>
        <w:rPr>
          <w:sz w:val="20"/>
          <w:szCs w:val="20"/>
        </w:rPr>
      </w:pPr>
    </w:p>
    <w:p w14:paraId="0300E88B" w14:textId="77777777" w:rsidR="00924BE0" w:rsidRDefault="00924BE0" w:rsidP="00924BE0">
      <w:pPr>
        <w:jc w:val="both"/>
        <w:rPr>
          <w:sz w:val="20"/>
          <w:szCs w:val="20"/>
        </w:rPr>
      </w:pPr>
    </w:p>
    <w:p w14:paraId="54E5DCDC" w14:textId="77777777" w:rsidR="00924BE0" w:rsidRDefault="00924BE0" w:rsidP="00924BE0">
      <w:pPr>
        <w:jc w:val="both"/>
        <w:rPr>
          <w:sz w:val="20"/>
          <w:szCs w:val="20"/>
        </w:rPr>
      </w:pPr>
    </w:p>
    <w:p w14:paraId="1156BEE4" w14:textId="77777777" w:rsidR="00924BE0" w:rsidRDefault="00924BE0" w:rsidP="00924BE0">
      <w:pPr>
        <w:jc w:val="both"/>
        <w:rPr>
          <w:sz w:val="20"/>
          <w:szCs w:val="20"/>
        </w:rPr>
      </w:pPr>
    </w:p>
    <w:p w14:paraId="47E5E893" w14:textId="77777777" w:rsidR="00924BE0" w:rsidRDefault="00924BE0" w:rsidP="00924BE0">
      <w:pPr>
        <w:jc w:val="both"/>
        <w:rPr>
          <w:sz w:val="20"/>
          <w:szCs w:val="20"/>
        </w:rPr>
      </w:pPr>
    </w:p>
    <w:p w14:paraId="5A182EA3" w14:textId="77777777" w:rsidR="00924BE0" w:rsidRDefault="00924BE0" w:rsidP="00924BE0">
      <w:pPr>
        <w:jc w:val="both"/>
        <w:rPr>
          <w:sz w:val="20"/>
          <w:szCs w:val="20"/>
        </w:rPr>
      </w:pPr>
    </w:p>
    <w:p w14:paraId="6CC1F7E2" w14:textId="77777777" w:rsidR="00924BE0" w:rsidRDefault="00924BE0" w:rsidP="00924BE0">
      <w:pPr>
        <w:jc w:val="both"/>
        <w:rPr>
          <w:sz w:val="20"/>
          <w:szCs w:val="20"/>
        </w:rPr>
      </w:pPr>
    </w:p>
    <w:p w14:paraId="684F7CAE" w14:textId="77777777" w:rsidR="00924BE0" w:rsidRDefault="00924BE0" w:rsidP="00924BE0">
      <w:pPr>
        <w:jc w:val="both"/>
        <w:rPr>
          <w:sz w:val="20"/>
          <w:szCs w:val="20"/>
        </w:rPr>
      </w:pPr>
    </w:p>
    <w:p w14:paraId="1009CAA1" w14:textId="77777777" w:rsidR="00924BE0" w:rsidRDefault="00924BE0" w:rsidP="00924BE0">
      <w:pPr>
        <w:jc w:val="both"/>
        <w:rPr>
          <w:sz w:val="20"/>
          <w:szCs w:val="20"/>
        </w:rPr>
      </w:pPr>
    </w:p>
    <w:p w14:paraId="62AF2B53" w14:textId="77777777" w:rsidR="00924BE0" w:rsidRPr="00924BE0" w:rsidRDefault="00924BE0" w:rsidP="00924BE0">
      <w:pPr>
        <w:jc w:val="both"/>
        <w:rPr>
          <w:sz w:val="20"/>
          <w:szCs w:val="20"/>
        </w:rPr>
      </w:pPr>
    </w:p>
    <w:p w14:paraId="73DED83D" w14:textId="551A8FA4" w:rsidR="003F49BB" w:rsidRPr="001563A1" w:rsidRDefault="003F49BB" w:rsidP="001563A1">
      <w:pPr>
        <w:jc w:val="center"/>
        <w:rPr>
          <w:sz w:val="20"/>
          <w:szCs w:val="20"/>
        </w:rPr>
      </w:pPr>
      <w:r w:rsidRPr="001563A1">
        <w:rPr>
          <w:sz w:val="16"/>
          <w:szCs w:val="16"/>
        </w:rPr>
        <w:t>Si algún autor, profesional o investigador conoce la publicación de algún trabajo sobre Derecho y consumo, puede facilitarnos la referencia para publicarlo dentro del presente informe, en el periodo correspondiente.</w:t>
      </w:r>
    </w:p>
    <w:sectPr w:rsidR="003F49BB" w:rsidRPr="001563A1" w:rsidSect="000562B1">
      <w:footerReference w:type="default" r:id="rId1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99C2D" w14:textId="77777777" w:rsidR="007C0172" w:rsidRDefault="007C0172" w:rsidP="000562B1">
      <w:pPr>
        <w:spacing w:after="0" w:line="240" w:lineRule="auto"/>
      </w:pPr>
      <w:r>
        <w:separator/>
      </w:r>
    </w:p>
  </w:endnote>
  <w:endnote w:type="continuationSeparator" w:id="0">
    <w:p w14:paraId="1E42DD81" w14:textId="77777777" w:rsidR="007C0172" w:rsidRDefault="007C0172"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520087">
          <w:rPr>
            <w:rFonts w:cstheme="minorHAnsi"/>
            <w:noProof/>
          </w:rPr>
          <w:t>0</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A61DA" w14:textId="77777777" w:rsidR="007C0172" w:rsidRDefault="007C0172" w:rsidP="000562B1">
      <w:pPr>
        <w:spacing w:after="0" w:line="240" w:lineRule="auto"/>
      </w:pPr>
      <w:r>
        <w:separator/>
      </w:r>
    </w:p>
  </w:footnote>
  <w:footnote w:type="continuationSeparator" w:id="0">
    <w:p w14:paraId="5F424EF6" w14:textId="77777777" w:rsidR="007C0172" w:rsidRDefault="007C0172"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32ECE"/>
    <w:multiLevelType w:val="hybridMultilevel"/>
    <w:tmpl w:val="BE9875C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0C4B3C"/>
    <w:multiLevelType w:val="hybridMultilevel"/>
    <w:tmpl w:val="19FC5322"/>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47798"/>
    <w:multiLevelType w:val="hybridMultilevel"/>
    <w:tmpl w:val="932C875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481EEE"/>
    <w:multiLevelType w:val="hybridMultilevel"/>
    <w:tmpl w:val="80E67DC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8C651F6"/>
    <w:multiLevelType w:val="hybridMultilevel"/>
    <w:tmpl w:val="373EAE1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FF4221C"/>
    <w:multiLevelType w:val="hybridMultilevel"/>
    <w:tmpl w:val="AB76505C"/>
    <w:lvl w:ilvl="0" w:tplc="45FE9F5A">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73326083">
    <w:abstractNumId w:val="14"/>
  </w:num>
  <w:num w:numId="2" w16cid:durableId="1775200133">
    <w:abstractNumId w:val="1"/>
  </w:num>
  <w:num w:numId="3" w16cid:durableId="269893179">
    <w:abstractNumId w:val="13"/>
  </w:num>
  <w:num w:numId="4" w16cid:durableId="163862230">
    <w:abstractNumId w:val="8"/>
  </w:num>
  <w:num w:numId="5" w16cid:durableId="180822170">
    <w:abstractNumId w:val="5"/>
  </w:num>
  <w:num w:numId="6" w16cid:durableId="1535387206">
    <w:abstractNumId w:val="6"/>
  </w:num>
  <w:num w:numId="7" w16cid:durableId="2084714150">
    <w:abstractNumId w:val="10"/>
  </w:num>
  <w:num w:numId="8" w16cid:durableId="1945184242">
    <w:abstractNumId w:val="7"/>
  </w:num>
  <w:num w:numId="9" w16cid:durableId="1719664795">
    <w:abstractNumId w:val="4"/>
  </w:num>
  <w:num w:numId="10" w16cid:durableId="1562910538">
    <w:abstractNumId w:val="12"/>
  </w:num>
  <w:num w:numId="11" w16cid:durableId="1088766867">
    <w:abstractNumId w:val="11"/>
  </w:num>
  <w:num w:numId="12" w16cid:durableId="1708990394">
    <w:abstractNumId w:val="9"/>
  </w:num>
  <w:num w:numId="13" w16cid:durableId="1257981100">
    <w:abstractNumId w:val="3"/>
  </w:num>
  <w:num w:numId="14" w16cid:durableId="1827428220">
    <w:abstractNumId w:val="2"/>
  </w:num>
  <w:num w:numId="15" w16cid:durableId="823938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6"/>
    <w:rsid w:val="00020F4E"/>
    <w:rsid w:val="00055856"/>
    <w:rsid w:val="000562B1"/>
    <w:rsid w:val="0012310A"/>
    <w:rsid w:val="001342BF"/>
    <w:rsid w:val="001563A1"/>
    <w:rsid w:val="0017035A"/>
    <w:rsid w:val="00181687"/>
    <w:rsid w:val="0018218D"/>
    <w:rsid w:val="001A3DC8"/>
    <w:rsid w:val="001B39D6"/>
    <w:rsid w:val="001E467C"/>
    <w:rsid w:val="00226C2F"/>
    <w:rsid w:val="002321F9"/>
    <w:rsid w:val="00237E7A"/>
    <w:rsid w:val="0024425F"/>
    <w:rsid w:val="002846D3"/>
    <w:rsid w:val="002920B4"/>
    <w:rsid w:val="002C3D5D"/>
    <w:rsid w:val="00311051"/>
    <w:rsid w:val="00326C94"/>
    <w:rsid w:val="00353898"/>
    <w:rsid w:val="003559D9"/>
    <w:rsid w:val="003662F8"/>
    <w:rsid w:val="003A1A16"/>
    <w:rsid w:val="003C5AFC"/>
    <w:rsid w:val="003C79EE"/>
    <w:rsid w:val="003C7E66"/>
    <w:rsid w:val="003E66AA"/>
    <w:rsid w:val="003F49BB"/>
    <w:rsid w:val="003F4BCA"/>
    <w:rsid w:val="00410FE1"/>
    <w:rsid w:val="004158D3"/>
    <w:rsid w:val="00467E42"/>
    <w:rsid w:val="00474518"/>
    <w:rsid w:val="004A2F0A"/>
    <w:rsid w:val="004C2594"/>
    <w:rsid w:val="004C5AA1"/>
    <w:rsid w:val="004D794A"/>
    <w:rsid w:val="0051297C"/>
    <w:rsid w:val="00520087"/>
    <w:rsid w:val="00534CB9"/>
    <w:rsid w:val="005524C4"/>
    <w:rsid w:val="005527B0"/>
    <w:rsid w:val="00567AAA"/>
    <w:rsid w:val="005B7019"/>
    <w:rsid w:val="005E340F"/>
    <w:rsid w:val="005F0DEC"/>
    <w:rsid w:val="005F1DFB"/>
    <w:rsid w:val="005F3752"/>
    <w:rsid w:val="00633110"/>
    <w:rsid w:val="00656A1A"/>
    <w:rsid w:val="00673A7C"/>
    <w:rsid w:val="0068726D"/>
    <w:rsid w:val="006B172C"/>
    <w:rsid w:val="007834BC"/>
    <w:rsid w:val="007C0172"/>
    <w:rsid w:val="007C2FE3"/>
    <w:rsid w:val="00816AAB"/>
    <w:rsid w:val="008251E3"/>
    <w:rsid w:val="00827C04"/>
    <w:rsid w:val="00846866"/>
    <w:rsid w:val="008D2AC3"/>
    <w:rsid w:val="008D6849"/>
    <w:rsid w:val="008F19D1"/>
    <w:rsid w:val="00916F83"/>
    <w:rsid w:val="00923CBC"/>
    <w:rsid w:val="00924BE0"/>
    <w:rsid w:val="0093649B"/>
    <w:rsid w:val="009432D4"/>
    <w:rsid w:val="00952BF5"/>
    <w:rsid w:val="009820CA"/>
    <w:rsid w:val="009C07E8"/>
    <w:rsid w:val="009E399E"/>
    <w:rsid w:val="009E7932"/>
    <w:rsid w:val="00A00862"/>
    <w:rsid w:val="00A02CFB"/>
    <w:rsid w:val="00A030AD"/>
    <w:rsid w:val="00A145E4"/>
    <w:rsid w:val="00A15646"/>
    <w:rsid w:val="00A178D6"/>
    <w:rsid w:val="00A21DDE"/>
    <w:rsid w:val="00A4262A"/>
    <w:rsid w:val="00A535EC"/>
    <w:rsid w:val="00A64D45"/>
    <w:rsid w:val="00A95CE0"/>
    <w:rsid w:val="00AA7735"/>
    <w:rsid w:val="00AB05F9"/>
    <w:rsid w:val="00B00158"/>
    <w:rsid w:val="00B03532"/>
    <w:rsid w:val="00B065EF"/>
    <w:rsid w:val="00B40032"/>
    <w:rsid w:val="00B42623"/>
    <w:rsid w:val="00B436F4"/>
    <w:rsid w:val="00B44604"/>
    <w:rsid w:val="00B55B74"/>
    <w:rsid w:val="00B917BF"/>
    <w:rsid w:val="00BC436F"/>
    <w:rsid w:val="00BE3615"/>
    <w:rsid w:val="00C41A52"/>
    <w:rsid w:val="00C45C39"/>
    <w:rsid w:val="00C660D0"/>
    <w:rsid w:val="00C67BF4"/>
    <w:rsid w:val="00C67C8B"/>
    <w:rsid w:val="00C73ED8"/>
    <w:rsid w:val="00C943B2"/>
    <w:rsid w:val="00C97832"/>
    <w:rsid w:val="00CA6AA7"/>
    <w:rsid w:val="00CB0586"/>
    <w:rsid w:val="00CE63DC"/>
    <w:rsid w:val="00D364FB"/>
    <w:rsid w:val="00D37249"/>
    <w:rsid w:val="00D827B7"/>
    <w:rsid w:val="00DA30E6"/>
    <w:rsid w:val="00DB719B"/>
    <w:rsid w:val="00DC326F"/>
    <w:rsid w:val="00E37172"/>
    <w:rsid w:val="00E53C19"/>
    <w:rsid w:val="00E618E3"/>
    <w:rsid w:val="00E7533D"/>
    <w:rsid w:val="00E843AB"/>
    <w:rsid w:val="00E86324"/>
    <w:rsid w:val="00EE05FD"/>
    <w:rsid w:val="00EF0B72"/>
    <w:rsid w:val="00F475F0"/>
    <w:rsid w:val="00FA6DED"/>
    <w:rsid w:val="00FD1E51"/>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F9BF5"/>
  <w15:docId w15:val="{43D1F947-24EA-4428-9065-46F6D273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CC82-DD01-48DA-93B1-BD98ED2A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1730</Words>
  <Characters>9515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9</cp:revision>
  <cp:lastPrinted>2024-08-01T08:33:00Z</cp:lastPrinted>
  <dcterms:created xsi:type="dcterms:W3CDTF">2024-08-01T08:23:00Z</dcterms:created>
  <dcterms:modified xsi:type="dcterms:W3CDTF">2024-10-11T17:15:00Z</dcterms:modified>
</cp:coreProperties>
</file>