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25598EC2">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860" cy="10708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2997C5E5" w:rsidR="00D37249" w:rsidRDefault="000E1594"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590F0E9A">
                <wp:simplePos x="0" y="0"/>
                <wp:positionH relativeFrom="column">
                  <wp:posOffset>-769427</wp:posOffset>
                </wp:positionH>
                <wp:positionV relativeFrom="paragraph">
                  <wp:posOffset>432435</wp:posOffset>
                </wp:positionV>
                <wp:extent cx="6236970" cy="5117465"/>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6236970" cy="511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0F96B888" w:rsidR="00101C22" w:rsidRPr="0085768E" w:rsidRDefault="00423257">
                            <w:pPr>
                              <w:rPr>
                                <w:b/>
                                <w:color w:val="FFFFFF" w:themeColor="background1"/>
                                <w:sz w:val="36"/>
                                <w:szCs w:val="36"/>
                              </w:rPr>
                            </w:pPr>
                            <w:r>
                              <w:rPr>
                                <w:b/>
                                <w:color w:val="FFFFFF" w:themeColor="background1"/>
                                <w:sz w:val="36"/>
                                <w:szCs w:val="36"/>
                              </w:rPr>
                              <w:t>Abril a junio</w:t>
                            </w:r>
                            <w:r w:rsidR="00751E61">
                              <w:rPr>
                                <w:b/>
                                <w:color w:val="FFFFFF" w:themeColor="background1"/>
                                <w:sz w:val="36"/>
                                <w:szCs w:val="36"/>
                              </w:rPr>
                              <w:t xml:space="preserve"> de 2024</w:t>
                            </w:r>
                          </w:p>
                          <w:p w14:paraId="2EB7BD8F" w14:textId="77777777" w:rsidR="00101C22" w:rsidRPr="0085768E" w:rsidRDefault="00101C22">
                            <w:pPr>
                              <w:rPr>
                                <w:b/>
                                <w:color w:val="FFFFFF" w:themeColor="background1"/>
                                <w:sz w:val="36"/>
                                <w:szCs w:val="36"/>
                              </w:rPr>
                            </w:pPr>
                          </w:p>
                          <w:p w14:paraId="59EFE686" w14:textId="2D086CDE"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3C10C7">
                              <w:rPr>
                                <w:b/>
                                <w:color w:val="FFFFFF" w:themeColor="background1"/>
                                <w:sz w:val="72"/>
                                <w:szCs w:val="72"/>
                              </w:rPr>
                              <w:t>1</w:t>
                            </w:r>
                            <w:r w:rsidR="00423257">
                              <w:rPr>
                                <w:b/>
                                <w:color w:val="FFFFFF" w:themeColor="background1"/>
                                <w:sz w:val="72"/>
                                <w:szCs w:val="72"/>
                              </w:rPr>
                              <w:t>4</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21F54B52"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w:t>
                            </w:r>
                            <w:r w:rsidR="00423257">
                              <w:rPr>
                                <w:sz w:val="20"/>
                                <w:szCs w:val="20"/>
                              </w:rPr>
                              <w:t>Permanente Laboral</w:t>
                            </w:r>
                            <w:r w:rsidR="0046122C">
                              <w:rPr>
                                <w:sz w:val="20"/>
                                <w:szCs w:val="20"/>
                              </w:rPr>
                              <w:t xml:space="preserve"> de Derecho Procesal</w:t>
                            </w:r>
                            <w:r w:rsidR="005B57B6">
                              <w:rPr>
                                <w:sz w:val="20"/>
                                <w:szCs w:val="20"/>
                              </w:rPr>
                              <w:t xml:space="preserve"> (</w:t>
                            </w:r>
                            <w:r w:rsidR="0046122C">
                              <w:rPr>
                                <w:sz w:val="20"/>
                                <w:szCs w:val="20"/>
                              </w:rPr>
                              <w:t xml:space="preserve">ac. </w:t>
                            </w:r>
                            <w:r w:rsidR="001C29AF">
                              <w:rPr>
                                <w:sz w:val="20"/>
                                <w:szCs w:val="20"/>
                              </w:rPr>
                              <w:t>Prof. Titular</w:t>
                            </w:r>
                            <w:r w:rsidR="005B57B6">
                              <w:rPr>
                                <w:sz w:val="20"/>
                                <w:szCs w:val="20"/>
                              </w:rPr>
                              <w:t>)</w:t>
                            </w:r>
                            <w:r>
                              <w:rPr>
                                <w:sz w:val="20"/>
                                <w:szCs w:val="20"/>
                              </w:rPr>
                              <w:t xml:space="preserve"> </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60.6pt;margin-top:34.05pt;width:491.1pt;height:40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" filled="f" stroked="f" strokeweight=".5pt">
                <v:textbox>
                  <w:txbxContent>
                    <w:p w14:paraId="4D436CF4" w14:textId="0F96B888" w:rsidR="00101C22" w:rsidRPr="0085768E" w:rsidRDefault="00423257">
                      <w:pPr>
                        <w:rPr>
                          <w:b/>
                          <w:color w:val="FFFFFF" w:themeColor="background1"/>
                          <w:sz w:val="36"/>
                          <w:szCs w:val="36"/>
                        </w:rPr>
                      </w:pPr>
                      <w:r>
                        <w:rPr>
                          <w:b/>
                          <w:color w:val="FFFFFF" w:themeColor="background1"/>
                          <w:sz w:val="36"/>
                          <w:szCs w:val="36"/>
                        </w:rPr>
                        <w:t>Abril a junio</w:t>
                      </w:r>
                      <w:r w:rsidR="00751E61">
                        <w:rPr>
                          <w:b/>
                          <w:color w:val="FFFFFF" w:themeColor="background1"/>
                          <w:sz w:val="36"/>
                          <w:szCs w:val="36"/>
                        </w:rPr>
                        <w:t xml:space="preserve"> de 2024</w:t>
                      </w:r>
                    </w:p>
                    <w:p w14:paraId="2EB7BD8F" w14:textId="77777777" w:rsidR="00101C22" w:rsidRPr="0085768E" w:rsidRDefault="00101C22">
                      <w:pPr>
                        <w:rPr>
                          <w:b/>
                          <w:color w:val="FFFFFF" w:themeColor="background1"/>
                          <w:sz w:val="36"/>
                          <w:szCs w:val="36"/>
                        </w:rPr>
                      </w:pPr>
                    </w:p>
                    <w:p w14:paraId="59EFE686" w14:textId="2D086CDE"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3C10C7">
                        <w:rPr>
                          <w:b/>
                          <w:color w:val="FFFFFF" w:themeColor="background1"/>
                          <w:sz w:val="72"/>
                          <w:szCs w:val="72"/>
                        </w:rPr>
                        <w:t>1</w:t>
                      </w:r>
                      <w:r w:rsidR="00423257">
                        <w:rPr>
                          <w:b/>
                          <w:color w:val="FFFFFF" w:themeColor="background1"/>
                          <w:sz w:val="72"/>
                          <w:szCs w:val="72"/>
                        </w:rPr>
                        <w:t>4</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21F54B52"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w:t>
                      </w:r>
                      <w:r w:rsidR="00423257">
                        <w:rPr>
                          <w:sz w:val="20"/>
                          <w:szCs w:val="20"/>
                        </w:rPr>
                        <w:t>Permanente Laboral</w:t>
                      </w:r>
                      <w:r w:rsidR="0046122C">
                        <w:rPr>
                          <w:sz w:val="20"/>
                          <w:szCs w:val="20"/>
                        </w:rPr>
                        <w:t xml:space="preserve"> de Derecho Procesal</w:t>
                      </w:r>
                      <w:r w:rsidR="005B57B6">
                        <w:rPr>
                          <w:sz w:val="20"/>
                          <w:szCs w:val="20"/>
                        </w:rPr>
                        <w:t xml:space="preserve"> (</w:t>
                      </w:r>
                      <w:r w:rsidR="0046122C">
                        <w:rPr>
                          <w:sz w:val="20"/>
                          <w:szCs w:val="20"/>
                        </w:rPr>
                        <w:t xml:space="preserve">ac. </w:t>
                      </w:r>
                      <w:r w:rsidR="001C29AF">
                        <w:rPr>
                          <w:sz w:val="20"/>
                          <w:szCs w:val="20"/>
                        </w:rPr>
                        <w:t>Prof. Titular</w:t>
                      </w:r>
                      <w:r w:rsidR="005B57B6">
                        <w:rPr>
                          <w:sz w:val="20"/>
                          <w:szCs w:val="20"/>
                        </w:rPr>
                        <w:t>)</w:t>
                      </w:r>
                      <w:r>
                        <w:rPr>
                          <w:sz w:val="20"/>
                          <w:szCs w:val="20"/>
                        </w:rPr>
                        <w:t xml:space="preserve"> </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v:textbox>
              </v:shape>
            </w:pict>
          </mc:Fallback>
        </mc:AlternateContent>
      </w:r>
    </w:p>
    <w:p w14:paraId="31E2C271" w14:textId="30D2FF45" w:rsidR="00D37249" w:rsidRDefault="00D37249" w:rsidP="00656A1A">
      <w:pPr>
        <w:spacing w:beforeLines="100" w:before="240" w:afterLines="100" w:after="240"/>
        <w:jc w:val="center"/>
        <w:rPr>
          <w:noProof/>
          <w:lang w:eastAsia="es-ES"/>
        </w:rPr>
      </w:pP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101C22" w:rsidRPr="005F0DEC" w:rsidRDefault="00101C22">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" filled="f" stroked="f" strokeweight=".5pt">
                <v:textbox>
                  <w:txbxContent>
                    <w:p w14:paraId="320130AB" w14:textId="77777777" w:rsidR="00101C22" w:rsidRPr="005F0DEC" w:rsidRDefault="00101C22">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v:textbox>
              </v:shape>
            </w:pict>
          </mc:Fallback>
        </mc:AlternateContent>
      </w:r>
    </w:p>
    <w:p w14:paraId="58C683B8" w14:textId="77777777" w:rsidR="00226C2F" w:rsidRDefault="00226C2F" w:rsidP="00226C2F">
      <w:pPr>
        <w:jc w:val="center"/>
        <w:rPr>
          <w:rFonts w:cstheme="minorHAnsi"/>
          <w:b/>
          <w:color w:val="FFFFFF" w:themeColor="background1"/>
          <w:sz w:val="32"/>
          <w:szCs w:val="32"/>
        </w:rPr>
      </w:pPr>
    </w:p>
    <w:p w14:paraId="3B0F142E" w14:textId="77777777" w:rsidR="00653C35" w:rsidRDefault="00653C35" w:rsidP="00226C2F">
      <w:pPr>
        <w:jc w:val="center"/>
        <w:rPr>
          <w:b/>
          <w:color w:val="000000" w:themeColor="text1"/>
          <w:sz w:val="28"/>
          <w:szCs w:val="28"/>
        </w:rPr>
      </w:pPr>
    </w:p>
    <w:p w14:paraId="30F08C11" w14:textId="77777777" w:rsidR="00440EC2" w:rsidRDefault="00440EC2" w:rsidP="00226C2F">
      <w:pPr>
        <w:jc w:val="center"/>
        <w:rPr>
          <w:b/>
          <w:color w:val="000000" w:themeColor="text1"/>
          <w:sz w:val="28"/>
          <w:szCs w:val="28"/>
        </w:rPr>
      </w:pPr>
    </w:p>
    <w:p w14:paraId="52B812AB" w14:textId="795E47AC" w:rsidR="00226C2F" w:rsidRPr="008A254E" w:rsidRDefault="008A254E" w:rsidP="00226C2F">
      <w:pPr>
        <w:jc w:val="center"/>
        <w:rPr>
          <w:b/>
          <w:color w:val="000000" w:themeColor="text1"/>
          <w:sz w:val="28"/>
          <w:szCs w:val="28"/>
        </w:rPr>
      </w:pPr>
      <w:r w:rsidRPr="008A254E">
        <w:rPr>
          <w:b/>
          <w:color w:val="000000" w:themeColor="text1"/>
          <w:sz w:val="28"/>
          <w:szCs w:val="28"/>
        </w:rPr>
        <w:t>JURISPRUDENCIA (Selección)</w:t>
      </w:r>
    </w:p>
    <w:p w14:paraId="411ED0DB" w14:textId="563F3DB8" w:rsidR="008A254E" w:rsidRDefault="008A254E" w:rsidP="00226C2F">
      <w:pPr>
        <w:jc w:val="center"/>
        <w:rPr>
          <w:b/>
          <w:color w:val="000000" w:themeColor="text1"/>
        </w:rPr>
      </w:pPr>
    </w:p>
    <w:p w14:paraId="532FA5B7" w14:textId="0A7A061D" w:rsidR="008A254E" w:rsidRDefault="00F2000E" w:rsidP="00226C2F">
      <w:pPr>
        <w:jc w:val="center"/>
        <w:rPr>
          <w:b/>
          <w:color w:val="000000" w:themeColor="text1"/>
        </w:rPr>
      </w:pPr>
      <w:r>
        <w:rPr>
          <w:noProof/>
        </w:rPr>
        <w:pict w14:anchorId="1D053E93">
          <v:rect id="_x0000_i1029" alt="" style="width:425.2pt;height:.05pt;mso-width-percent:0;mso-height-percent:0;mso-width-percent:0;mso-height-percent:0" o:hralign="center" o:hrstd="t" o:hr="t" fillcolor="#a0a0a0" stroked="f"/>
        </w:pict>
      </w:r>
    </w:p>
    <w:p w14:paraId="0F20CAE2" w14:textId="7813EB68" w:rsidR="008A254E" w:rsidRDefault="008A254E" w:rsidP="00226C2F">
      <w:pPr>
        <w:jc w:val="center"/>
        <w:rPr>
          <w:b/>
          <w:color w:val="000000" w:themeColor="text1"/>
        </w:rPr>
      </w:pPr>
    </w:p>
    <w:p w14:paraId="31F4DA43" w14:textId="77777777" w:rsidR="00440EC2" w:rsidRDefault="00440EC2" w:rsidP="002B1E17">
      <w:pPr>
        <w:spacing w:after="120"/>
        <w:jc w:val="center"/>
        <w:rPr>
          <w:b/>
          <w:bCs/>
        </w:rPr>
      </w:pPr>
    </w:p>
    <w:p w14:paraId="4EEF1885" w14:textId="196614D5" w:rsidR="002B1E17" w:rsidRPr="00440EC2" w:rsidRDefault="002B1E17" w:rsidP="002B1E17">
      <w:pPr>
        <w:spacing w:after="120"/>
        <w:jc w:val="center"/>
        <w:rPr>
          <w:b/>
          <w:bCs/>
          <w:sz w:val="28"/>
          <w:szCs w:val="28"/>
        </w:rPr>
      </w:pPr>
      <w:r w:rsidRPr="00440EC2">
        <w:rPr>
          <w:b/>
          <w:bCs/>
          <w:sz w:val="28"/>
          <w:szCs w:val="28"/>
        </w:rPr>
        <w:t>TJUE</w:t>
      </w:r>
    </w:p>
    <w:p w14:paraId="7C39F6B5" w14:textId="77777777" w:rsidR="00440EC2" w:rsidRPr="002B1E17" w:rsidRDefault="00440EC2" w:rsidP="002B1E17">
      <w:pPr>
        <w:spacing w:after="120"/>
        <w:jc w:val="center"/>
        <w:rPr>
          <w:b/>
          <w:bCs/>
        </w:rPr>
      </w:pPr>
    </w:p>
    <w:p w14:paraId="1EC9D140" w14:textId="390667E8" w:rsidR="00104F0A" w:rsidRDefault="002B1E17" w:rsidP="002B1E17">
      <w:pPr>
        <w:spacing w:after="240"/>
        <w:jc w:val="both"/>
        <w:rPr>
          <w:b/>
          <w:bCs/>
        </w:rPr>
      </w:pPr>
      <w:r w:rsidRPr="002B1E17">
        <w:rPr>
          <w:b/>
          <w:bCs/>
        </w:rPr>
        <w:t>Sentencias</w:t>
      </w:r>
    </w:p>
    <w:p w14:paraId="45CD0ED1" w14:textId="0B714B94" w:rsidR="00394B3C" w:rsidRPr="00394B3C" w:rsidRDefault="000D7986" w:rsidP="000D7986">
      <w:pPr>
        <w:spacing w:after="240"/>
        <w:jc w:val="both"/>
      </w:pPr>
      <w:hyperlink r:id="rId9" w:anchor="ctx1" w:history="1">
        <w:r w:rsidR="00394B3C" w:rsidRPr="000D7986">
          <w:rPr>
            <w:rStyle w:val="Hipervnculo"/>
          </w:rPr>
          <w:t>Sen</w:t>
        </w:r>
        <w:r w:rsidRPr="000D7986">
          <w:rPr>
            <w:rStyle w:val="Hipervnculo"/>
          </w:rPr>
          <w:t xml:space="preserve">tencia del Tribunal de Justicia (Gran Sala), de 9 de abril de 2024 (asunto C-582/21, </w:t>
        </w:r>
        <w:proofErr w:type="spellStart"/>
        <w:r w:rsidRPr="000D7986">
          <w:rPr>
            <w:rStyle w:val="Hipervnculo"/>
          </w:rPr>
          <w:t>Profi</w:t>
        </w:r>
        <w:proofErr w:type="spellEnd"/>
        <w:r w:rsidRPr="000D7986">
          <w:rPr>
            <w:rStyle w:val="Hipervnculo"/>
          </w:rPr>
          <w:t xml:space="preserve"> </w:t>
        </w:r>
        <w:proofErr w:type="spellStart"/>
        <w:r w:rsidRPr="000D7986">
          <w:rPr>
            <w:rStyle w:val="Hipervnculo"/>
          </w:rPr>
          <w:t>Credit</w:t>
        </w:r>
        <w:proofErr w:type="spellEnd"/>
        <w:r w:rsidRPr="000D7986">
          <w:rPr>
            <w:rStyle w:val="Hipervnculo"/>
          </w:rPr>
          <w:t xml:space="preserve"> </w:t>
        </w:r>
        <w:proofErr w:type="spellStart"/>
        <w:r w:rsidRPr="000D7986">
          <w:rPr>
            <w:rStyle w:val="Hipervnculo"/>
          </w:rPr>
          <w:t>Polska</w:t>
        </w:r>
        <w:proofErr w:type="spellEnd"/>
        <w:r w:rsidRPr="000D7986">
          <w:rPr>
            <w:rStyle w:val="Hipervnculo"/>
          </w:rPr>
          <w:t>)</w:t>
        </w:r>
      </w:hyperlink>
      <w:r>
        <w:t xml:space="preserve">. </w:t>
      </w:r>
      <w:r w:rsidRPr="000D7986">
        <w:t>«Procedimiento prejudicial — Principios del Derecho de la Unión — Artículo 4 TUE, apartado 3 — Principio de cooperación leal — Autonomía procesal — Principios de equivalencia y de efectividad — Principio de interpretación conforme del Derecho nacional — Legislación nacional que establece una vía de recurso extraordinaria que permite la reapertura de un procedimiento civil finalizado mediante sentencia firme — Motivos — Resolución posterior de un Tribunal Constitucional por la que se declara la incompatibilidad con la Constitución de una disposición de Derecho nacional sobre cuya base se dictó dicha sentencia — Privación de la posibilidad de actuación procesal como consecuencia de una violación del Derecho — Aplicación extensiva de esa vía de recurso — Supuesta violación del Derecho de la Unión resultante de una sentencia posterior del Tribunal de Justicia que se pronuncia sobre la interpretación de este Derecho con arreglo al artículo 267 TFUE — Directiva 93/13/CEE — Cláusulas abusivas en los contratos celebrados con consumidores — Sentencia dictada en rebeldía — Falta de comprobación de oficio del eventual carácter abusivo de las cláusulas contractuales»</w:t>
      </w:r>
      <w:r>
        <w:t>.</w:t>
      </w:r>
    </w:p>
    <w:p w14:paraId="04718D8B" w14:textId="6A3B8AC7" w:rsidR="00394B3C" w:rsidRPr="00394B3C" w:rsidRDefault="00394B3C" w:rsidP="002B1E17">
      <w:pPr>
        <w:spacing w:after="240"/>
        <w:jc w:val="both"/>
      </w:pPr>
      <w:hyperlink r:id="rId10" w:anchor="ctx1" w:history="1">
        <w:r w:rsidRPr="00394B3C">
          <w:rPr>
            <w:rStyle w:val="Hipervnculo"/>
          </w:rPr>
          <w:t>Sentencia del Tribunal de Justicia (Sala Tercera), de 11 de abril de 2024 (asunto C-173/23, Air Europa Líneas Aéreas)</w:t>
        </w:r>
      </w:hyperlink>
      <w:r>
        <w:t xml:space="preserve">. </w:t>
      </w:r>
      <w:r w:rsidRPr="00394B3C">
        <w:t>«Procedimiento prejudicial — Transportes aéreos — Convenio de Montreal — Artículo 19 — Resarcimiento de daños ocasionados por el retraso en el transporte del equipaje — Cesión a una sociedad mercantil del crédito del pasajero frente al transportista aéreo — Cláusula contractual que prohíbe tal cesión — Directiva 93/13/CEE — Cláusulas abusivas en los contratos celebrados con consumidores — Artículos 6, apartado 1, y 7, apartado 1 — Control de oficio del carácter abusivo de la cláusula que prohíbe la cesión de los derechos de los pasajeros — Modalidades de ese control en el contexto de un litigio entre la sociedad cesionaria y el transportista aéreo — Principios de equivalencia y de efectividad — Principio de contradicción»</w:t>
      </w:r>
      <w:r>
        <w:t>.</w:t>
      </w:r>
    </w:p>
    <w:p w14:paraId="2F286CB9" w14:textId="146D1D79" w:rsidR="004F09FF" w:rsidRDefault="00394B3C" w:rsidP="00394B3C">
      <w:pPr>
        <w:spacing w:after="240"/>
        <w:jc w:val="both"/>
      </w:pPr>
      <w:hyperlink r:id="rId11" w:anchor="ctx1" w:history="1">
        <w:r w:rsidR="004F09FF" w:rsidRPr="00394B3C">
          <w:rPr>
            <w:rStyle w:val="Hipervnculo"/>
          </w:rPr>
          <w:t xml:space="preserve">Sentencia del Tribunal de Justicia (Sala Novena), de 11 de abril de 2024 (asunto C-183/23, </w:t>
        </w:r>
        <w:proofErr w:type="spellStart"/>
        <w:r w:rsidR="004F09FF" w:rsidRPr="00394B3C">
          <w:rPr>
            <w:rStyle w:val="Hipervnculo"/>
          </w:rPr>
          <w:t>Credit</w:t>
        </w:r>
        <w:proofErr w:type="spellEnd"/>
        <w:r w:rsidR="004F09FF" w:rsidRPr="00394B3C">
          <w:rPr>
            <w:rStyle w:val="Hipervnculo"/>
          </w:rPr>
          <w:t xml:space="preserve"> </w:t>
        </w:r>
        <w:proofErr w:type="spellStart"/>
        <w:r w:rsidR="004F09FF" w:rsidRPr="00394B3C">
          <w:rPr>
            <w:rStyle w:val="Hipervnculo"/>
          </w:rPr>
          <w:t>Agricole</w:t>
        </w:r>
        <w:proofErr w:type="spellEnd"/>
        <w:r w:rsidR="004F09FF" w:rsidRPr="00394B3C">
          <w:rPr>
            <w:rStyle w:val="Hipervnculo"/>
          </w:rPr>
          <w:t xml:space="preserve"> Bank </w:t>
        </w:r>
        <w:proofErr w:type="spellStart"/>
        <w:r w:rsidR="004F09FF" w:rsidRPr="00394B3C">
          <w:rPr>
            <w:rStyle w:val="Hipervnculo"/>
          </w:rPr>
          <w:t>Pol</w:t>
        </w:r>
        <w:r w:rsidRPr="00394B3C">
          <w:rPr>
            <w:rStyle w:val="Hipervnculo"/>
          </w:rPr>
          <w:t>ska</w:t>
        </w:r>
        <w:proofErr w:type="spellEnd"/>
        <w:r w:rsidRPr="00394B3C">
          <w:rPr>
            <w:rStyle w:val="Hipervnculo"/>
          </w:rPr>
          <w:t>)</w:t>
        </w:r>
      </w:hyperlink>
      <w:r>
        <w:t xml:space="preserve">. </w:t>
      </w:r>
      <w:r w:rsidRPr="00394B3C">
        <w:t>«Procedimiento prejudicial — Cooperación judicial en materia civil — Competencia judicial, reconocimiento y ejecución de resoluciones judiciales en materia civil y mercantil — Reglamento (UE) n.º 1215/2012 — Artículo 6, apartado 1 — Ámbito de aplicación — Contrato celebrado por un consumidor nacional de un tercer Estado con un banco establecido en un Estado miembro — Acción entablada contra ese consumidor — Competencia de los órganos jurisdiccionales del último domicilio conocido de dicho consumidor en el territorio de un Estado miembro»</w:t>
      </w:r>
      <w:r>
        <w:t>.</w:t>
      </w:r>
    </w:p>
    <w:p w14:paraId="391060FB" w14:textId="04688949" w:rsidR="000D7986" w:rsidRDefault="000D7986" w:rsidP="000D7986">
      <w:pPr>
        <w:spacing w:after="240"/>
        <w:jc w:val="both"/>
      </w:pPr>
      <w:hyperlink r:id="rId12" w:anchor="ctx1" w:history="1">
        <w:r w:rsidRPr="000D7986">
          <w:rPr>
            <w:rStyle w:val="Hipervnculo"/>
          </w:rPr>
          <w:t>Sentencia del Tribunal de Justicia (Sala Novena), de 25 de abril de 2024 (asunto C-561/21, Banco Santander)</w:t>
        </w:r>
      </w:hyperlink>
      <w:r>
        <w:t xml:space="preserve">. </w:t>
      </w:r>
      <w:r w:rsidRPr="000D7986">
        <w:t>«Procedimiento prejudicial — Protección de los consumidores — Directiva 93/13/CEE — Cláusulas abusivas en los contratos celebrados con los consumidores — Contrato de préstamo hipotecario — Cláusula que atribuye al consumidor el pago de los gastos asociados al contrato — Resolución judicial firme que declara esa cláusula abusiva y la anula — Acción de restitución de las cantidades pagadas en virtud de la cláusula abusiva — Inicio del plazo de prescripción de la acción de restitución»</w:t>
      </w:r>
      <w:r>
        <w:t>.</w:t>
      </w:r>
    </w:p>
    <w:p w14:paraId="396768EC" w14:textId="33A96DCC" w:rsidR="000D7986" w:rsidRDefault="000D7986" w:rsidP="000D7986">
      <w:pPr>
        <w:spacing w:after="240"/>
        <w:jc w:val="both"/>
      </w:pPr>
      <w:hyperlink r:id="rId13" w:anchor="ctx1" w:history="1">
        <w:r w:rsidRPr="000D7986">
          <w:rPr>
            <w:rStyle w:val="Hipervnculo"/>
          </w:rPr>
          <w:t xml:space="preserve">Sentencia del Tribunal de Justicia (Sala Novena), de 25 de abril de 2024 (asunto C-484/21, </w:t>
        </w:r>
        <w:proofErr w:type="spellStart"/>
        <w:r w:rsidRPr="000D7986">
          <w:rPr>
            <w:rStyle w:val="Hipervnculo"/>
          </w:rPr>
          <w:t>Caixabank</w:t>
        </w:r>
        <w:proofErr w:type="spellEnd"/>
        <w:r w:rsidRPr="000D7986">
          <w:rPr>
            <w:rStyle w:val="Hipervnculo"/>
          </w:rPr>
          <w:t>)</w:t>
        </w:r>
      </w:hyperlink>
      <w:r>
        <w:t xml:space="preserve">. </w:t>
      </w:r>
      <w:r w:rsidRPr="000D7986">
        <w:t>«Procedimiento prejudicial — Protección de los consumidores — Directiva 93/13/CEE — Cláusulas abusivas en los contratos celebrados con los </w:t>
      </w:r>
      <w:bookmarkStart w:id="0" w:name="ctx2"/>
      <w:r w:rsidRPr="000D7986">
        <w:t>consumidores</w:t>
      </w:r>
      <w:bookmarkEnd w:id="0"/>
      <w:r w:rsidRPr="000D7986">
        <w:t> — Contrato de préstamo hipotecario — Cláusula que atribuye al consumidor el pago de los gastos asociados al contrato — Resolución judicial firme que declara esa cláusula abusiva y la anula — Acción de restitución de las cantidades pagadas en virtud de la cláusula abusiva — Inicio del plazo de prescripción»</w:t>
      </w:r>
      <w:r>
        <w:t>.</w:t>
      </w:r>
    </w:p>
    <w:p w14:paraId="2370D7E1" w14:textId="40C1F9A1" w:rsidR="00394B3C" w:rsidRDefault="00394B3C" w:rsidP="00394B3C">
      <w:pPr>
        <w:spacing w:after="240"/>
        <w:jc w:val="both"/>
      </w:pPr>
      <w:hyperlink r:id="rId14" w:anchor="ctx1" w:history="1">
        <w:r w:rsidRPr="00394B3C">
          <w:rPr>
            <w:rStyle w:val="Hipervnculo"/>
          </w:rPr>
          <w:t xml:space="preserve">Sentencia del Tribunal de Justicia (Sala Segunda), de 30 de mayo de 2024 (asunto C-665/22, Amazon </w:t>
        </w:r>
        <w:proofErr w:type="spellStart"/>
        <w:r w:rsidRPr="00394B3C">
          <w:rPr>
            <w:rStyle w:val="Hipervnculo"/>
          </w:rPr>
          <w:t>Services</w:t>
        </w:r>
        <w:proofErr w:type="spellEnd"/>
        <w:r w:rsidRPr="00394B3C">
          <w:rPr>
            <w:rStyle w:val="Hipervnculo"/>
          </w:rPr>
          <w:t xml:space="preserve"> </w:t>
        </w:r>
        <w:proofErr w:type="spellStart"/>
        <w:r w:rsidRPr="00394B3C">
          <w:rPr>
            <w:rStyle w:val="Hipervnculo"/>
          </w:rPr>
          <w:t>Europe</w:t>
        </w:r>
        <w:proofErr w:type="spellEnd"/>
        <w:r w:rsidRPr="00394B3C">
          <w:rPr>
            <w:rStyle w:val="Hipervnculo"/>
          </w:rPr>
          <w:t xml:space="preserve"> </w:t>
        </w:r>
        <w:proofErr w:type="spellStart"/>
        <w:r w:rsidRPr="00394B3C">
          <w:rPr>
            <w:rStyle w:val="Hipervnculo"/>
          </w:rPr>
          <w:t>Sàrl</w:t>
        </w:r>
        <w:proofErr w:type="spellEnd"/>
        <w:r w:rsidRPr="00394B3C">
          <w:rPr>
            <w:rStyle w:val="Hipervnculo"/>
          </w:rPr>
          <w:t>)</w:t>
        </w:r>
      </w:hyperlink>
      <w:r>
        <w:t xml:space="preserve">. </w:t>
      </w:r>
      <w:r w:rsidRPr="00394B3C">
        <w:t>«Procedimiento prejudicial — Libre prestación de servicios — Prestadores de servicios de la sociedad de la información — Obligación de facilitar información sobre la situación económica de un proveedor de servicios de intermediación en línea — Directiva 2000/31/CE — Ámbito coordinado — Principio de control en el Estado miembro de origen — Excepciones — Concepto de “medidas tomadas en contra de un determinado servicio de la sociedad de la información” — Reglamento (UE) 2019/1150 — Objetivo»</w:t>
      </w:r>
      <w:r>
        <w:t>.</w:t>
      </w:r>
    </w:p>
    <w:p w14:paraId="6C925A6B" w14:textId="68B9BFF7" w:rsidR="00394B3C" w:rsidRDefault="00394B3C" w:rsidP="00394B3C">
      <w:pPr>
        <w:spacing w:after="240"/>
        <w:jc w:val="both"/>
      </w:pPr>
      <w:hyperlink r:id="rId15" w:anchor="ctx1" w:history="1">
        <w:r w:rsidRPr="00394B3C">
          <w:rPr>
            <w:rStyle w:val="Hipervnculo"/>
          </w:rPr>
          <w:t>Sentencia del Tribunal de Justicia (Sala Quinta), de 30 de mayo de 2024 (asunto C-400/22, Conny)</w:t>
        </w:r>
      </w:hyperlink>
      <w:r>
        <w:t xml:space="preserve">. </w:t>
      </w:r>
      <w:r w:rsidRPr="00394B3C">
        <w:t>«Procedimiento prejudicial — Protección de los consumidores — Directiva 2011/83/UE — Artículo 8, apartado 2 — Contratos a distancia celebrados por medios electrónicos — Obligaciones de información que recaen sobre el comerciante — Pedido que implica una obligación de pago — Pedido efectuado activando un botón o una función similar en un sitio de Internet — Obligación del comerciante de colocar en dicho botón o función similar la expresión “pedido con obligación de pago” o una formulación correspondiente — Obligación de pago condicional»</w:t>
      </w:r>
      <w:r>
        <w:t>.</w:t>
      </w:r>
    </w:p>
    <w:p w14:paraId="170A6E34" w14:textId="71F8CF5B" w:rsidR="00394B3C" w:rsidRPr="004F09FF" w:rsidRDefault="00394B3C" w:rsidP="00394B3C">
      <w:pPr>
        <w:spacing w:after="240"/>
        <w:jc w:val="both"/>
      </w:pPr>
      <w:hyperlink r:id="rId16" w:anchor="ctx1" w:history="1">
        <w:r w:rsidRPr="00394B3C">
          <w:rPr>
            <w:rStyle w:val="Hipervnculo"/>
          </w:rPr>
          <w:t xml:space="preserve">Sentencia del Tribunal de Justicia (Sala Octava), de 30 de mayo de 2024 (asunto C-176/23, SC </w:t>
        </w:r>
        <w:proofErr w:type="spellStart"/>
        <w:r w:rsidRPr="00394B3C">
          <w:rPr>
            <w:rStyle w:val="Hipervnculo"/>
          </w:rPr>
          <w:t>Raiffeisen</w:t>
        </w:r>
        <w:proofErr w:type="spellEnd"/>
        <w:r w:rsidRPr="00394B3C">
          <w:rPr>
            <w:rStyle w:val="Hipervnculo"/>
          </w:rPr>
          <w:t xml:space="preserve"> Bank)</w:t>
        </w:r>
      </w:hyperlink>
      <w:r>
        <w:t xml:space="preserve">. </w:t>
      </w:r>
      <w:r w:rsidRPr="00394B3C">
        <w:t>«Procedimiento prejudicial — Directiva 93/13/CEE — Cláusulas abusivas en los contratos celebrados con </w:t>
      </w:r>
      <w:bookmarkStart w:id="1" w:name="ctx1"/>
      <w:r w:rsidRPr="00394B3C">
        <w:t>consumidores</w:t>
      </w:r>
      <w:bookmarkEnd w:id="1"/>
      <w:r w:rsidRPr="00394B3C">
        <w:t> — Artículo 1, apartado 2 — Ámbito de aplicación — Exclusión de las cláusulas contractuales que reflejan disposiciones legales o reglamentarias imperativas — Apéndice al contrato de crédito notificado por el profesional al consumidor para adecuarse a la normativa nacional — Artículo 3, apartado 2 — Cláusula contractual no negociada individualmente — Falta de firma del apéndice por parte del consumidor — Presunción de aceptación tácita de este apéndice — Jurisprudencia nacional que excluye el control jurisdiccional del carácter abusivo de una cláusula contractual contenida en tal apéndice»</w:t>
      </w:r>
      <w:r>
        <w:t>.</w:t>
      </w:r>
    </w:p>
    <w:p w14:paraId="0932756E" w14:textId="3C827270" w:rsidR="004F09FF" w:rsidRDefault="004F09FF" w:rsidP="002B1E17">
      <w:pPr>
        <w:spacing w:after="240"/>
        <w:jc w:val="both"/>
      </w:pPr>
      <w:hyperlink r:id="rId17" w:anchor="ctx1" w:history="1">
        <w:r w:rsidRPr="004F09FF">
          <w:rPr>
            <w:rStyle w:val="Hipervnculo"/>
          </w:rPr>
          <w:t>Sentencia del Tribunal de Justicia (Sala Octava), de 13 de junio de 2024 (asunto C-411/23, D.S.A.)</w:t>
        </w:r>
      </w:hyperlink>
      <w:r>
        <w:t xml:space="preserve">. </w:t>
      </w:r>
      <w:r w:rsidRPr="004F09FF">
        <w:t xml:space="preserve">«Procedimiento prejudicial — Transportes aéreos — Reglamento (CE) n.º 261/2004 — Artículo 5, apartado 3 — Compensación a los pasajeros en caso de gran retraso o de cancelación de un vuelo — Exención de la obligación de compensación — Circunstancias extraordinarias — Medidas razonables de prevención — Fallos técnicos </w:t>
      </w:r>
      <w:r w:rsidRPr="004F09FF">
        <w:lastRenderedPageBreak/>
        <w:t>causados por un vicio oculto de diseño — Defecto de diseño del motor de una aeronave — Obligación del transportista aéreo de disponer de aeronaves de sustitución»</w:t>
      </w:r>
      <w:r>
        <w:t>.</w:t>
      </w:r>
    </w:p>
    <w:p w14:paraId="0F32F938" w14:textId="05E5F79D" w:rsidR="00D34672" w:rsidRPr="000D7986" w:rsidRDefault="004F09FF" w:rsidP="002B1E17">
      <w:pPr>
        <w:spacing w:after="240"/>
        <w:jc w:val="both"/>
      </w:pPr>
      <w:hyperlink r:id="rId18" w:anchor="ctx1" w:history="1">
        <w:r w:rsidRPr="004F09FF">
          <w:rPr>
            <w:rStyle w:val="Hipervnculo"/>
          </w:rPr>
          <w:t xml:space="preserve">Sentencia del Tribunal de Justicia (Sala Octava), de 13 de junio de 2024 (asunto C-385/23, </w:t>
        </w:r>
        <w:proofErr w:type="spellStart"/>
        <w:r w:rsidRPr="004F09FF">
          <w:rPr>
            <w:rStyle w:val="Hipervnculo"/>
          </w:rPr>
          <w:t>Finnair</w:t>
        </w:r>
        <w:proofErr w:type="spellEnd"/>
        <w:r w:rsidRPr="004F09FF">
          <w:rPr>
            <w:rStyle w:val="Hipervnculo"/>
          </w:rPr>
          <w:t>)</w:t>
        </w:r>
      </w:hyperlink>
      <w:r>
        <w:t xml:space="preserve">. </w:t>
      </w:r>
      <w:r w:rsidRPr="004F09FF">
        <w:t>«Procedimiento prejudicial — Transportes aéreos — Reglamento (CE) n.º 261/2004 — Artículo 5, apartado 3 — Compensación a los pasajeros en caso de gran retraso o de cancelación de un vuelo — Exención de la obligación de compensación — Circunstancias extraordinarias — Fallos técnicos causados por un vicio oculto de diseño revelado por el fabricante con posterioridad a la cancelación del vuelo — Sistema de medición de la cantidad de combustible de la aeronave»</w:t>
      </w:r>
      <w:r>
        <w:t>.</w:t>
      </w:r>
    </w:p>
    <w:p w14:paraId="4D3CBABA" w14:textId="77777777" w:rsidR="00DE6AA5" w:rsidRPr="00CF3866" w:rsidRDefault="00DE6AA5" w:rsidP="002B1E17">
      <w:pPr>
        <w:spacing w:after="240"/>
        <w:jc w:val="both"/>
        <w:rPr>
          <w:b/>
          <w:bCs/>
        </w:rPr>
      </w:pPr>
    </w:p>
    <w:p w14:paraId="2F486A1A" w14:textId="5529CE06" w:rsidR="002B1E17" w:rsidRPr="002B1E17" w:rsidRDefault="00F2000E" w:rsidP="002B1E17">
      <w:pPr>
        <w:spacing w:after="240"/>
        <w:jc w:val="center"/>
        <w:rPr>
          <w:b/>
          <w:bCs/>
        </w:rPr>
      </w:pPr>
      <w:hyperlink r:id="rId19" w:history="1">
        <w:r>
          <w:rPr>
            <w:noProof/>
          </w:rPr>
          <w:pict w14:anchorId="77D885A1">
            <v:rect id="_x0000_i1028" alt="" style="width:425.2pt;height:.05pt;mso-width-percent:0;mso-height-percent:0;mso-width-percent:0;mso-height-percent:0" o:hralign="center" o:hrstd="t" o:hr="t" fillcolor="#a0a0a0" stroked="f"/>
          </w:pict>
        </w:r>
      </w:hyperlink>
    </w:p>
    <w:p w14:paraId="128DA054" w14:textId="0A3A49E8" w:rsidR="00C47765" w:rsidRDefault="00C47765" w:rsidP="000D2B7E">
      <w:pPr>
        <w:spacing w:after="240"/>
        <w:rPr>
          <w:b/>
          <w:bCs/>
        </w:rPr>
      </w:pPr>
    </w:p>
    <w:p w14:paraId="44358EA1" w14:textId="77777777" w:rsidR="00DE6AA5" w:rsidRDefault="00DE6AA5" w:rsidP="000D2B7E">
      <w:pPr>
        <w:spacing w:after="240"/>
        <w:rPr>
          <w:b/>
          <w:bCs/>
        </w:rPr>
      </w:pPr>
    </w:p>
    <w:p w14:paraId="101F0A4F" w14:textId="2860ADCD" w:rsidR="00B670BA" w:rsidRPr="002E4D27" w:rsidRDefault="00B670BA" w:rsidP="002B1E17">
      <w:pPr>
        <w:spacing w:after="240"/>
        <w:jc w:val="center"/>
        <w:rPr>
          <w:b/>
          <w:bCs/>
          <w:sz w:val="28"/>
          <w:szCs w:val="28"/>
        </w:rPr>
      </w:pPr>
      <w:r w:rsidRPr="000D7986">
        <w:rPr>
          <w:b/>
          <w:bCs/>
          <w:sz w:val="28"/>
          <w:szCs w:val="28"/>
        </w:rPr>
        <w:t>TRIBUNAL CONSTITUCIONAL</w:t>
      </w:r>
    </w:p>
    <w:p w14:paraId="038C0373" w14:textId="77777777" w:rsidR="0046122C" w:rsidRDefault="0046122C" w:rsidP="00B670BA">
      <w:pPr>
        <w:spacing w:after="240"/>
        <w:jc w:val="both"/>
        <w:rPr>
          <w:b/>
          <w:bCs/>
        </w:rPr>
      </w:pPr>
    </w:p>
    <w:p w14:paraId="1FF85B6E" w14:textId="7DFFF4AC" w:rsidR="00B670BA" w:rsidRDefault="00B670BA" w:rsidP="00B670BA">
      <w:pPr>
        <w:spacing w:after="240"/>
        <w:jc w:val="both"/>
        <w:rPr>
          <w:b/>
          <w:bCs/>
        </w:rPr>
      </w:pPr>
      <w:r w:rsidRPr="00D835ED">
        <w:rPr>
          <w:b/>
          <w:bCs/>
        </w:rPr>
        <w:t>Sentencia</w:t>
      </w:r>
    </w:p>
    <w:p w14:paraId="0C6D3622" w14:textId="34AD3B8E" w:rsidR="000D7986" w:rsidRPr="000D7986" w:rsidRDefault="00717DF7" w:rsidP="000D7986">
      <w:pPr>
        <w:spacing w:after="240"/>
        <w:jc w:val="both"/>
      </w:pPr>
      <w:hyperlink r:id="rId20" w:history="1">
        <w:r w:rsidR="000D7986" w:rsidRPr="00717DF7">
          <w:rPr>
            <w:rStyle w:val="Hipervnculo"/>
          </w:rPr>
          <w:t>Sala Segunda. Sentencia 54/2024, de 8 de abril</w:t>
        </w:r>
      </w:hyperlink>
      <w:r w:rsidR="000D7986">
        <w:t>. “</w:t>
      </w:r>
      <w:r w:rsidR="000D7986">
        <w:t>Recurso de amparo 69-2022</w:t>
      </w:r>
      <w:r w:rsidR="000D7986">
        <w:t>, p</w:t>
      </w:r>
      <w:r w:rsidR="000D7986">
        <w:t>romovido por don Antonio Blasco Muñoz en relación con los autos dictados por la Audiencia Provincial de Valencia en procedimiento de ejecución hipotecaria.</w:t>
      </w:r>
      <w:r w:rsidR="000D7986">
        <w:t xml:space="preserve"> </w:t>
      </w:r>
      <w:r w:rsidR="000D7986">
        <w:t>Vulneración del derecho a la tutela judicial efectiva (resolución fundada en Derecho): SSTC 91/2023 y 96/2023 (autos que, ignorando el principio de efectividad del Derecho de la Unión Europea, deniegan la imposición de costas en un proceso en el que se ha declarado el carácter abusivo de cláusulas contractuales)</w:t>
      </w:r>
      <w:r w:rsidR="000D7986">
        <w:t>”</w:t>
      </w:r>
      <w:r w:rsidR="000D7986">
        <w:t>.</w:t>
      </w:r>
      <w:r w:rsidR="000D7986">
        <w:t xml:space="preserve"> </w:t>
      </w:r>
      <w:hyperlink r:id="rId21" w:history="1">
        <w:r w:rsidR="000D7986" w:rsidRPr="00717DF7">
          <w:rPr>
            <w:rStyle w:val="Hipervnculo"/>
          </w:rPr>
          <w:t>BOE núm. 118, de 15 de mayo de 2024</w:t>
        </w:r>
      </w:hyperlink>
      <w:r w:rsidR="000D7986">
        <w:t xml:space="preserve">. </w:t>
      </w:r>
    </w:p>
    <w:p w14:paraId="0FF342DE" w14:textId="77777777" w:rsidR="00B10541" w:rsidRPr="00B10541" w:rsidRDefault="00B10541" w:rsidP="00B670BA">
      <w:pPr>
        <w:spacing w:after="240"/>
        <w:jc w:val="both"/>
      </w:pPr>
    </w:p>
    <w:p w14:paraId="237386E8" w14:textId="1A7D90F3" w:rsidR="00B670BA" w:rsidRDefault="00F2000E" w:rsidP="002B1E17">
      <w:pPr>
        <w:spacing w:after="240"/>
        <w:jc w:val="center"/>
        <w:rPr>
          <w:b/>
          <w:bCs/>
          <w:sz w:val="28"/>
          <w:szCs w:val="28"/>
          <w:highlight w:val="yellow"/>
        </w:rPr>
      </w:pPr>
      <w:r>
        <w:rPr>
          <w:noProof/>
        </w:rPr>
        <w:pict w14:anchorId="1733329C">
          <v:rect id="_x0000_i1027" alt="" style="width:425.2pt;height:.05pt;mso-width-percent:0;mso-height-percent:0;mso-width-percent:0;mso-height-percent:0" o:hralign="center" o:hrstd="t" o:hr="t" fillcolor="#a0a0a0" stroked="f"/>
        </w:pict>
      </w:r>
    </w:p>
    <w:p w14:paraId="219D2AAD" w14:textId="4BC1925C" w:rsidR="00B670BA" w:rsidRPr="00EC2CA3" w:rsidRDefault="00B670BA" w:rsidP="002B1E17">
      <w:pPr>
        <w:spacing w:after="240"/>
        <w:jc w:val="center"/>
        <w:rPr>
          <w:b/>
          <w:bCs/>
          <w:sz w:val="28"/>
          <w:szCs w:val="28"/>
        </w:rPr>
      </w:pPr>
    </w:p>
    <w:p w14:paraId="6CD7E1B6" w14:textId="220B2BD4" w:rsidR="002B1E17" w:rsidRPr="00440EC2" w:rsidRDefault="002B1E17" w:rsidP="002B1E17">
      <w:pPr>
        <w:spacing w:after="240"/>
        <w:jc w:val="center"/>
        <w:rPr>
          <w:b/>
          <w:bCs/>
          <w:sz w:val="28"/>
          <w:szCs w:val="28"/>
        </w:rPr>
      </w:pPr>
      <w:r w:rsidRPr="00D838BF">
        <w:rPr>
          <w:b/>
          <w:bCs/>
          <w:sz w:val="28"/>
          <w:szCs w:val="28"/>
        </w:rPr>
        <w:t>TRIBUNAL SUPREMO</w:t>
      </w:r>
      <w:r w:rsidR="00C47765" w:rsidRPr="00D838BF">
        <w:rPr>
          <w:b/>
          <w:bCs/>
          <w:sz w:val="28"/>
          <w:szCs w:val="28"/>
        </w:rPr>
        <w:t xml:space="preserve"> (CENDOJ – Selección)</w:t>
      </w:r>
    </w:p>
    <w:p w14:paraId="1655A519" w14:textId="77777777" w:rsidR="00AF4B65" w:rsidRDefault="00AF4B65" w:rsidP="00D637F0">
      <w:pPr>
        <w:spacing w:after="240"/>
        <w:jc w:val="both"/>
        <w:rPr>
          <w:b/>
          <w:bCs/>
        </w:rPr>
      </w:pPr>
    </w:p>
    <w:p w14:paraId="0313AD90" w14:textId="5A16B769" w:rsidR="000F487E" w:rsidRDefault="000F487E" w:rsidP="00A8324B">
      <w:pPr>
        <w:spacing w:after="240"/>
        <w:jc w:val="both"/>
        <w:rPr>
          <w:b/>
          <w:bCs/>
        </w:rPr>
      </w:pPr>
      <w:r>
        <w:rPr>
          <w:b/>
          <w:bCs/>
        </w:rPr>
        <w:t>Condiciones generales de la contratación. Contratos entre empresarios</w:t>
      </w:r>
    </w:p>
    <w:p w14:paraId="34870F30" w14:textId="11C1A8F5" w:rsidR="00D43ECE" w:rsidRPr="00D43ECE" w:rsidRDefault="00D43ECE" w:rsidP="00A8324B">
      <w:pPr>
        <w:spacing w:after="240"/>
        <w:jc w:val="both"/>
      </w:pPr>
      <w:hyperlink r:id="rId22" w:history="1">
        <w:r w:rsidRPr="00D43ECE">
          <w:rPr>
            <w:rStyle w:val="Hipervnculo"/>
          </w:rPr>
          <w:t>STS, Sala Primera, 628/2024, de 13 de mayo de 2024</w:t>
        </w:r>
      </w:hyperlink>
      <w:r>
        <w:t>. “</w:t>
      </w:r>
      <w:r w:rsidRPr="00D43ECE">
        <w:t>Control de incorporación de cláusula suelo incluida en préstamo hipotecario entre profesionales, constando la oferta vinculante protocolizada en la escritura de formalización del préstamo. Posterior acuerdo novatorio rebajando la cláusula suelo</w:t>
      </w:r>
      <w:r>
        <w:t xml:space="preserve">”. </w:t>
      </w:r>
    </w:p>
    <w:p w14:paraId="04E51719" w14:textId="75CD2523" w:rsidR="00D43ECE" w:rsidRPr="00D43ECE" w:rsidRDefault="00D43ECE" w:rsidP="00A8324B">
      <w:pPr>
        <w:spacing w:after="240"/>
        <w:jc w:val="both"/>
      </w:pPr>
      <w:hyperlink r:id="rId23" w:history="1">
        <w:r w:rsidRPr="00D43ECE">
          <w:rPr>
            <w:rStyle w:val="Hipervnculo"/>
          </w:rPr>
          <w:t>STS, Sala Primera, 629/2024, de 13 de mayo de 2024</w:t>
        </w:r>
      </w:hyperlink>
      <w:r>
        <w:t>. “</w:t>
      </w:r>
      <w:r w:rsidRPr="00D43ECE">
        <w:t xml:space="preserve">Cláusula suelo en préstamo hipotecario en el que se subroga una entidad mercantil. Reiteración de doctrina sobre el </w:t>
      </w:r>
      <w:r w:rsidRPr="00D43ECE">
        <w:lastRenderedPageBreak/>
        <w:t>control de incorporación de la cláusula suelo incluida en un contrato de préstamo hipotecario suscrito entre profesionales</w:t>
      </w:r>
      <w:r>
        <w:t xml:space="preserve">”. </w:t>
      </w:r>
    </w:p>
    <w:p w14:paraId="2BA6CC2C" w14:textId="126DF625" w:rsidR="000F487E" w:rsidRDefault="000F487E" w:rsidP="00A8324B">
      <w:pPr>
        <w:spacing w:after="240"/>
        <w:jc w:val="both"/>
      </w:pPr>
      <w:hyperlink r:id="rId24" w:history="1">
        <w:r w:rsidRPr="000F487E">
          <w:rPr>
            <w:rStyle w:val="Hipervnculo"/>
          </w:rPr>
          <w:t>STS, Sala Primera, 696/2024, de 20 de mayo de 2024</w:t>
        </w:r>
      </w:hyperlink>
      <w:r>
        <w:t>. “</w:t>
      </w:r>
      <w:r w:rsidRPr="000F487E">
        <w:t>Condiciones generales de la contratación. Cláusula suelo. Control de incorporación en la contratación entre empresarios</w:t>
      </w:r>
      <w:r>
        <w:t xml:space="preserve">”. </w:t>
      </w:r>
    </w:p>
    <w:p w14:paraId="1F88A802" w14:textId="67805F3A" w:rsidR="000F487E" w:rsidRPr="000F487E" w:rsidRDefault="000F487E" w:rsidP="00A8324B">
      <w:pPr>
        <w:spacing w:after="240"/>
        <w:jc w:val="both"/>
        <w:rPr>
          <w:b/>
          <w:bCs/>
        </w:rPr>
      </w:pPr>
      <w:r w:rsidRPr="000F487E">
        <w:rPr>
          <w:b/>
          <w:bCs/>
        </w:rPr>
        <w:t>Cláusulas abusivas. Condición de consumidor</w:t>
      </w:r>
    </w:p>
    <w:p w14:paraId="42D2146E" w14:textId="65058D06" w:rsidR="000F487E" w:rsidRPr="000F487E" w:rsidRDefault="000F487E" w:rsidP="00A8324B">
      <w:pPr>
        <w:spacing w:after="240"/>
        <w:jc w:val="both"/>
      </w:pPr>
      <w:hyperlink r:id="rId25" w:history="1">
        <w:r w:rsidRPr="000F487E">
          <w:rPr>
            <w:rStyle w:val="Hipervnculo"/>
          </w:rPr>
          <w:t>STS, 692/2024, de 20 de mayo de 2024</w:t>
        </w:r>
      </w:hyperlink>
      <w:r>
        <w:t>. “</w:t>
      </w:r>
      <w:r w:rsidRPr="000F487E">
        <w:t>Préstamo hipotecario. Acción de nulidad de las cláusulas suelo, intereses moratorios y vencimiento anticipado. Condición de consumidor. Carga de la prueba. Cláusulas abusivas al no superar el control de transparencia</w:t>
      </w:r>
      <w:r>
        <w:t xml:space="preserve">”. </w:t>
      </w:r>
    </w:p>
    <w:p w14:paraId="67AEA5EA" w14:textId="50AE206E" w:rsidR="0099684C" w:rsidRDefault="000F487E" w:rsidP="00A8324B">
      <w:pPr>
        <w:spacing w:after="240"/>
        <w:jc w:val="both"/>
        <w:rPr>
          <w:b/>
          <w:bCs/>
        </w:rPr>
      </w:pPr>
      <w:r>
        <w:rPr>
          <w:b/>
          <w:bCs/>
        </w:rPr>
        <w:t>Préstamo personal</w:t>
      </w:r>
      <w:r>
        <w:rPr>
          <w:b/>
          <w:bCs/>
        </w:rPr>
        <w:t>.</w:t>
      </w:r>
      <w:r w:rsidRPr="00A8324B">
        <w:rPr>
          <w:b/>
          <w:bCs/>
        </w:rPr>
        <w:t xml:space="preserve"> </w:t>
      </w:r>
      <w:r>
        <w:rPr>
          <w:b/>
          <w:bCs/>
        </w:rPr>
        <w:t xml:space="preserve">Cláusula </w:t>
      </w:r>
      <w:r w:rsidR="00D43ECE">
        <w:rPr>
          <w:b/>
          <w:bCs/>
        </w:rPr>
        <w:t>“</w:t>
      </w:r>
      <w:r>
        <w:rPr>
          <w:b/>
          <w:bCs/>
        </w:rPr>
        <w:t>suelo</w:t>
      </w:r>
      <w:r w:rsidR="00D43ECE">
        <w:rPr>
          <w:b/>
          <w:bCs/>
        </w:rPr>
        <w:t>”</w:t>
      </w:r>
    </w:p>
    <w:p w14:paraId="61552DAC" w14:textId="20E16BE2" w:rsidR="00A8324B" w:rsidRDefault="0099684C" w:rsidP="00A8324B">
      <w:pPr>
        <w:spacing w:after="240"/>
        <w:jc w:val="both"/>
        <w:rPr>
          <w:b/>
          <w:bCs/>
        </w:rPr>
      </w:pPr>
      <w:hyperlink r:id="rId26" w:history="1">
        <w:r w:rsidRPr="0099684C">
          <w:rPr>
            <w:rStyle w:val="Hipervnculo"/>
          </w:rPr>
          <w:t>STS, Sala Primera, 751/2024, de 28 de mayo de 2024</w:t>
        </w:r>
      </w:hyperlink>
      <w:r>
        <w:t>. “</w:t>
      </w:r>
      <w:r w:rsidRPr="0099684C">
        <w:t>Condiciones generales de la contratación. Cláusula suelo. Préstamo personal para la financiación de la adquisición de un vehículo</w:t>
      </w:r>
      <w:r>
        <w:t xml:space="preserve">”. </w:t>
      </w:r>
      <w:r w:rsidR="00A8324B" w:rsidRPr="00A8324B">
        <w:rPr>
          <w:b/>
          <w:bCs/>
        </w:rPr>
        <w:t xml:space="preserve"> </w:t>
      </w:r>
    </w:p>
    <w:p w14:paraId="17D9735A" w14:textId="347CB1DB" w:rsidR="00D43ECE" w:rsidRDefault="00904AD1" w:rsidP="00A8324B">
      <w:pPr>
        <w:spacing w:after="240"/>
        <w:jc w:val="both"/>
        <w:rPr>
          <w:b/>
          <w:bCs/>
        </w:rPr>
      </w:pPr>
      <w:r>
        <w:rPr>
          <w:b/>
          <w:bCs/>
        </w:rPr>
        <w:t>Préstamos con garantía hipotecaria. Cláusula</w:t>
      </w:r>
      <w:r w:rsidR="0046122C">
        <w:rPr>
          <w:b/>
          <w:bCs/>
        </w:rPr>
        <w:t>s</w:t>
      </w:r>
      <w:r>
        <w:rPr>
          <w:b/>
          <w:bCs/>
        </w:rPr>
        <w:t xml:space="preserve"> “suelo”</w:t>
      </w:r>
      <w:r w:rsidR="00CD66C6">
        <w:rPr>
          <w:b/>
          <w:bCs/>
        </w:rPr>
        <w:t xml:space="preserve"> </w:t>
      </w:r>
    </w:p>
    <w:p w14:paraId="2EBFE465" w14:textId="4B3AC6E0" w:rsidR="005F49E5" w:rsidRPr="005F49E5" w:rsidRDefault="005F49E5" w:rsidP="00A8324B">
      <w:pPr>
        <w:spacing w:after="240"/>
        <w:jc w:val="both"/>
      </w:pPr>
      <w:hyperlink r:id="rId27" w:history="1">
        <w:r w:rsidRPr="005F49E5">
          <w:rPr>
            <w:rStyle w:val="Hipervnculo"/>
          </w:rPr>
          <w:t>STS, Sala Primera, 455/2024, de 4 de abril de 2024</w:t>
        </w:r>
      </w:hyperlink>
      <w:r>
        <w:t>. “</w:t>
      </w:r>
      <w:r w:rsidRPr="005F49E5">
        <w:t>Acción de nulidad de las cláusulas suelo de los acuerdos posteriores. Validez de la cláusula de renuncia en el marco de una transacción</w:t>
      </w:r>
      <w:r>
        <w:t xml:space="preserve">”. </w:t>
      </w:r>
    </w:p>
    <w:p w14:paraId="2FB51C20" w14:textId="6A48329A" w:rsidR="00D65C32" w:rsidRPr="00D65C32" w:rsidRDefault="00D65C32" w:rsidP="00A8324B">
      <w:pPr>
        <w:spacing w:after="240"/>
        <w:jc w:val="both"/>
      </w:pPr>
      <w:hyperlink r:id="rId28" w:history="1">
        <w:r w:rsidRPr="00D65C32">
          <w:rPr>
            <w:rStyle w:val="Hipervnculo"/>
          </w:rPr>
          <w:t>STS, Sala Primera, 578/2024, de 3 de mayo de 2024</w:t>
        </w:r>
      </w:hyperlink>
      <w:r>
        <w:t>. “</w:t>
      </w:r>
      <w:r w:rsidRPr="00D65C32">
        <w:t>Préstamo hipotecario con consumidores. Novación de la cláusula suelo y renuncia de acciones. Validez del acuerdo novatorio porque supera el control de transparencia. Nulidad de la cláusula de renuncia de acciones</w:t>
      </w:r>
      <w:r>
        <w:t xml:space="preserve">”. </w:t>
      </w:r>
    </w:p>
    <w:p w14:paraId="542514A7" w14:textId="08311465" w:rsidR="00EA30BA" w:rsidRPr="00EA30BA" w:rsidRDefault="00EA30BA" w:rsidP="00A8324B">
      <w:pPr>
        <w:spacing w:after="240"/>
        <w:jc w:val="both"/>
      </w:pPr>
      <w:hyperlink r:id="rId29" w:history="1">
        <w:r w:rsidRPr="00EA30BA">
          <w:rPr>
            <w:rStyle w:val="Hipervnculo"/>
          </w:rPr>
          <w:t>STS, Sala Primera, 675/2024, de 13 de mayo de 2024</w:t>
        </w:r>
      </w:hyperlink>
      <w:r>
        <w:t>. “</w:t>
      </w:r>
      <w:r w:rsidRPr="00EA30BA">
        <w:t>Efectos restitutorios de la declaración de nulidad de la cláusula suelo. Recurso extraordinario por infracción procesal: se estima con anulación de la sentencia impugnada. Inexistencia de cosa juzgada. Reiteración de la jurisprudencia de la sala</w:t>
      </w:r>
      <w:r>
        <w:t xml:space="preserve">”. </w:t>
      </w:r>
    </w:p>
    <w:p w14:paraId="145C753F" w14:textId="30336450" w:rsidR="00D43ECE" w:rsidRPr="00D43ECE" w:rsidRDefault="00D43ECE" w:rsidP="00A8324B">
      <w:pPr>
        <w:spacing w:after="240"/>
        <w:jc w:val="both"/>
      </w:pPr>
      <w:hyperlink r:id="rId30" w:history="1">
        <w:r w:rsidRPr="00D43ECE">
          <w:rPr>
            <w:rStyle w:val="Hipervnculo"/>
          </w:rPr>
          <w:t>STS, Sala Primera, 658/2024, de 13 de mayo de 2024</w:t>
        </w:r>
      </w:hyperlink>
      <w:r>
        <w:t>. “</w:t>
      </w:r>
      <w:r w:rsidRPr="00D43ECE">
        <w:t>Condiciones generales de contratación. Cláusula suelo. Control de transparencia. Persona con conocimiento experto en este tipo de contratos. No lo ostenta letrada con especialización en otra rama del derecho. Ausencia de información precontractual</w:t>
      </w:r>
      <w:r>
        <w:t xml:space="preserve">”. </w:t>
      </w:r>
    </w:p>
    <w:p w14:paraId="06376B8F" w14:textId="2712EE6D" w:rsidR="000F487E" w:rsidRPr="000F487E" w:rsidRDefault="000F487E" w:rsidP="00A8324B">
      <w:pPr>
        <w:spacing w:after="240"/>
        <w:jc w:val="both"/>
      </w:pPr>
      <w:hyperlink r:id="rId31" w:history="1">
        <w:r w:rsidRPr="000F487E">
          <w:rPr>
            <w:rStyle w:val="Hipervnculo"/>
          </w:rPr>
          <w:t>STS, Sala Primera, 715/2024, de 21 de mayo de 2024</w:t>
        </w:r>
      </w:hyperlink>
      <w:r>
        <w:t>. “</w:t>
      </w:r>
      <w:r w:rsidRPr="000F487E">
        <w:t>Cláusula suelo. Acuerdo novatorio que suprime la cláusula suelo. Control de transparencia</w:t>
      </w:r>
      <w:r>
        <w:t xml:space="preserve">”. </w:t>
      </w:r>
    </w:p>
    <w:p w14:paraId="27863BDD" w14:textId="4E5330B9" w:rsidR="000F487E" w:rsidRPr="000F487E" w:rsidRDefault="000F487E" w:rsidP="00A8324B">
      <w:pPr>
        <w:spacing w:after="240"/>
        <w:jc w:val="both"/>
      </w:pPr>
      <w:hyperlink r:id="rId32" w:history="1">
        <w:r w:rsidRPr="000F487E">
          <w:rPr>
            <w:rStyle w:val="Hipervnculo"/>
          </w:rPr>
          <w:t>STS, Sala Primera, 744/2024, de 27 de mayo de 2024</w:t>
        </w:r>
      </w:hyperlink>
      <w:r>
        <w:t>. “</w:t>
      </w:r>
      <w:r w:rsidRPr="000F487E">
        <w:t>Préstamo hipotecario con consumidores. Cláusula suelo. Dos acuerdos posteriores que rebajan y eliminan la cláusula e incluyen unas renuncias de acciones. Nulidad de las cláusulas de renuncia de acciones</w:t>
      </w:r>
      <w:r>
        <w:t xml:space="preserve">”. </w:t>
      </w:r>
    </w:p>
    <w:p w14:paraId="7EDB7CA8" w14:textId="7A1DD607" w:rsidR="0099684C" w:rsidRPr="0099684C" w:rsidRDefault="0099684C" w:rsidP="00A8324B">
      <w:pPr>
        <w:spacing w:after="240"/>
        <w:jc w:val="both"/>
      </w:pPr>
      <w:hyperlink r:id="rId33" w:history="1">
        <w:r w:rsidRPr="0099684C">
          <w:rPr>
            <w:rStyle w:val="Hipervnculo"/>
          </w:rPr>
          <w:t>STS, Sala Primera, 752/204, de 28 de mayo de 2024</w:t>
        </w:r>
      </w:hyperlink>
      <w:r>
        <w:t>. “</w:t>
      </w:r>
      <w:r w:rsidRPr="0099684C">
        <w:t>Condiciones generales de la contratación. Cláusula suelo. Negociación del contrato por los abogados del despacho que representaba a los prestatarios que se subrogaron en el préstamo al promotor</w:t>
      </w:r>
      <w:r>
        <w:t xml:space="preserve">”. </w:t>
      </w:r>
    </w:p>
    <w:p w14:paraId="3E05D0DC" w14:textId="6F4C10F8" w:rsidR="008F3712" w:rsidRPr="008F3712" w:rsidRDefault="008F3712" w:rsidP="00A8324B">
      <w:pPr>
        <w:spacing w:after="240"/>
        <w:jc w:val="both"/>
      </w:pPr>
      <w:hyperlink r:id="rId34" w:history="1">
        <w:r w:rsidRPr="008F3712">
          <w:rPr>
            <w:rStyle w:val="Hipervnculo"/>
          </w:rPr>
          <w:t>STS, Sala Primera, 788/2024, de 3 de junio de 2024</w:t>
        </w:r>
      </w:hyperlink>
      <w:r>
        <w:t>. “</w:t>
      </w:r>
      <w:r w:rsidRPr="008F3712">
        <w:t>Préstamo hipotecario con consumidores. Cláusula suelo. Acuerdos posteriores que rebajan y eliminan la cláusula e incluyen unas renuncias de acciones. Validez de los acuerdos novatorios. Nulidad de las cláusulas de renuncia de acciones. Costas procesales</w:t>
      </w:r>
      <w:r>
        <w:t xml:space="preserve">”. </w:t>
      </w:r>
    </w:p>
    <w:p w14:paraId="521EC25B" w14:textId="2EAC7848" w:rsidR="00D838BF" w:rsidRPr="00D838BF" w:rsidRDefault="00D838BF" w:rsidP="00A8324B">
      <w:pPr>
        <w:spacing w:after="240"/>
        <w:jc w:val="both"/>
      </w:pPr>
      <w:hyperlink r:id="rId35" w:history="1">
        <w:r w:rsidRPr="00D838BF">
          <w:rPr>
            <w:rStyle w:val="Hipervnculo"/>
          </w:rPr>
          <w:t>STS, Sala Primera, 811/2024, de 10 de junio de 2024</w:t>
        </w:r>
      </w:hyperlink>
      <w:r>
        <w:t>. “</w:t>
      </w:r>
      <w:r w:rsidRPr="00D838BF">
        <w:t>Cláusula suelo. Acuerdo posterior que suprime la cláusula e incluye una renuncia de acciones genérica. Validez del acuerdo novatorio porque supera el control de transparencia. Nulidad de la cláusula de renuncia de acciones. Costas</w:t>
      </w:r>
      <w:r>
        <w:t xml:space="preserve">”. </w:t>
      </w:r>
    </w:p>
    <w:p w14:paraId="33349023" w14:textId="270F7DC1" w:rsidR="00D838BF" w:rsidRPr="00D838BF" w:rsidRDefault="00D838BF" w:rsidP="00A8324B">
      <w:pPr>
        <w:spacing w:after="240"/>
        <w:jc w:val="both"/>
      </w:pPr>
      <w:hyperlink r:id="rId36" w:history="1">
        <w:r w:rsidRPr="00D838BF">
          <w:rPr>
            <w:rStyle w:val="Hipervnculo"/>
          </w:rPr>
          <w:t>STS, Sala Primera, 859/2024, de 17 de junio de 2024</w:t>
        </w:r>
      </w:hyperlink>
      <w:r>
        <w:t>. “</w:t>
      </w:r>
      <w:r w:rsidRPr="00D838BF">
        <w:t>Novación cláusula suelo de préstamos hipotecarios y renuncia de acciones. Valoración de su transparencia y abusividad. Reiteración de jurisprudencia</w:t>
      </w:r>
      <w:r>
        <w:t xml:space="preserve">”. </w:t>
      </w:r>
    </w:p>
    <w:p w14:paraId="71E560EF" w14:textId="1F642FB0" w:rsidR="00E01210" w:rsidRPr="00E01210" w:rsidRDefault="00E01210" w:rsidP="00A8324B">
      <w:pPr>
        <w:spacing w:after="240"/>
        <w:jc w:val="both"/>
      </w:pPr>
      <w:hyperlink r:id="rId37" w:history="1">
        <w:r w:rsidRPr="00E01210">
          <w:rPr>
            <w:rStyle w:val="Hipervnculo"/>
          </w:rPr>
          <w:t>STS, Sala Primera, 894/2024, de 24 de junio de 2024</w:t>
        </w:r>
      </w:hyperlink>
      <w:r>
        <w:t>. “</w:t>
      </w:r>
      <w:r w:rsidRPr="00E01210">
        <w:t>Novación cláusula suelo de préstamos hipotecarios y renuncia de acciones. Valoración de su transparencia y abusividad. Reiteración de jurisprudencia</w:t>
      </w:r>
      <w:r>
        <w:t xml:space="preserve">”. </w:t>
      </w:r>
    </w:p>
    <w:p w14:paraId="5C2B71B3" w14:textId="2110FA63" w:rsidR="00E01210" w:rsidRDefault="00E01210" w:rsidP="00A8324B">
      <w:pPr>
        <w:spacing w:after="240"/>
        <w:jc w:val="both"/>
      </w:pPr>
      <w:hyperlink r:id="rId38" w:history="1">
        <w:r w:rsidRPr="00E01210">
          <w:rPr>
            <w:rStyle w:val="Hipervnculo"/>
          </w:rPr>
          <w:t>STS, Sala Primera, 913/2024, de 25 de junio de 2024</w:t>
        </w:r>
      </w:hyperlink>
      <w:r>
        <w:t>. “</w:t>
      </w:r>
      <w:r w:rsidRPr="00E01210">
        <w:t>Validez de la estipulación del contrato privado que modifica la originaria cláusula suelo y nulidad de la cláusula de renuncia de acciones.</w:t>
      </w:r>
      <w:r>
        <w:t xml:space="preserve"> </w:t>
      </w:r>
      <w:r w:rsidRPr="00E01210">
        <w:t>Se reitera la jurisprudencia contenida en las sentencias de pleno de esta sala 580/2020 y 581/2020, ambas de 5 de noviembre, que siguen la doctrina del Tribunal de Justicia contenida en la sentencia del TJUE de 9 de julio de 2020 y reiterada en el auto del TJUE de 3 de marzo de 2021</w:t>
      </w:r>
      <w:r>
        <w:t xml:space="preserve">”. </w:t>
      </w:r>
    </w:p>
    <w:p w14:paraId="11C7B3CB" w14:textId="77777777" w:rsidR="00D43ECE" w:rsidRDefault="00D43ECE" w:rsidP="00D43ECE">
      <w:pPr>
        <w:spacing w:after="240"/>
        <w:jc w:val="both"/>
        <w:rPr>
          <w:b/>
          <w:bCs/>
        </w:rPr>
      </w:pPr>
      <w:r>
        <w:rPr>
          <w:b/>
          <w:bCs/>
        </w:rPr>
        <w:t xml:space="preserve">Préstamos con garantía hipotecaria. Cláusula de gastos </w:t>
      </w:r>
    </w:p>
    <w:p w14:paraId="35491DFB" w14:textId="77777777" w:rsidR="00D43ECE" w:rsidRPr="00711297" w:rsidRDefault="00D43ECE" w:rsidP="00D43ECE">
      <w:pPr>
        <w:spacing w:after="240"/>
        <w:jc w:val="both"/>
      </w:pPr>
      <w:hyperlink r:id="rId39" w:history="1">
        <w:r w:rsidRPr="00711297">
          <w:rPr>
            <w:rStyle w:val="Hipervnculo"/>
          </w:rPr>
          <w:t>STS, Sala Primera, 843/2024, de 10 de junio de 2024</w:t>
        </w:r>
      </w:hyperlink>
      <w:r>
        <w:t>. “</w:t>
      </w:r>
      <w:r w:rsidRPr="00711297">
        <w:t>Cláusula de gastos hipotecarios. Desestimación del recurso de casación en materia de costas por no reunir los requisitos legales de formulación</w:t>
      </w:r>
      <w:r>
        <w:t xml:space="preserve">”. </w:t>
      </w:r>
    </w:p>
    <w:p w14:paraId="23626BA1" w14:textId="3559102D" w:rsidR="00D43ECE" w:rsidRPr="00E01210" w:rsidRDefault="00D43ECE" w:rsidP="00A8324B">
      <w:pPr>
        <w:spacing w:after="240"/>
        <w:jc w:val="both"/>
      </w:pPr>
      <w:hyperlink r:id="rId40" w:history="1">
        <w:r w:rsidR="005F49E5">
          <w:rPr>
            <w:rStyle w:val="Hipervnculo"/>
          </w:rPr>
          <w:t>STS, Sala Primera, Pleno, 857/2024, de 14 de junio de 2024</w:t>
        </w:r>
      </w:hyperlink>
      <w:r>
        <w:t>. “P</w:t>
      </w:r>
      <w:r w:rsidRPr="00D838BF">
        <w:t>réstamo hipotecario con consumidores. Nulidad de la cláusula de gastos y acción de restitución de las cantidades indebidamente abonadas. Día inicial de la prescripción de la acción de restitución. Aplicación de la doctrina de la STJUE C- 561/2021</w:t>
      </w:r>
      <w:r>
        <w:t xml:space="preserve">”. </w:t>
      </w:r>
    </w:p>
    <w:p w14:paraId="691227CC" w14:textId="19154499" w:rsidR="00274E63" w:rsidRDefault="0004481A" w:rsidP="006B6B86">
      <w:pPr>
        <w:spacing w:after="240"/>
        <w:jc w:val="both"/>
        <w:rPr>
          <w:b/>
          <w:bCs/>
        </w:rPr>
      </w:pPr>
      <w:r w:rsidRPr="0004481A">
        <w:rPr>
          <w:b/>
          <w:bCs/>
        </w:rPr>
        <w:t xml:space="preserve">Préstamos con garantía hipotecaria. </w:t>
      </w:r>
      <w:r w:rsidR="00904AD1">
        <w:rPr>
          <w:b/>
          <w:bCs/>
        </w:rPr>
        <w:t>Cláusula</w:t>
      </w:r>
      <w:r w:rsidR="0046122C">
        <w:rPr>
          <w:b/>
          <w:bCs/>
        </w:rPr>
        <w:t>s</w:t>
      </w:r>
      <w:r w:rsidR="00904AD1">
        <w:rPr>
          <w:b/>
          <w:bCs/>
        </w:rPr>
        <w:t xml:space="preserve"> m</w:t>
      </w:r>
      <w:r w:rsidRPr="0004481A">
        <w:rPr>
          <w:b/>
          <w:bCs/>
        </w:rPr>
        <w:t>ultidivisa</w:t>
      </w:r>
    </w:p>
    <w:p w14:paraId="5FF56970" w14:textId="2AC3AE83" w:rsidR="0090408B" w:rsidRPr="0090408B" w:rsidRDefault="0090408B" w:rsidP="006B6B86">
      <w:pPr>
        <w:spacing w:after="240"/>
        <w:jc w:val="both"/>
      </w:pPr>
      <w:hyperlink r:id="rId41" w:history="1">
        <w:r w:rsidRPr="0090408B">
          <w:rPr>
            <w:rStyle w:val="Hipervnculo"/>
          </w:rPr>
          <w:t>STS, Sala Primera, 514/2024, de 17 de abril de 2024</w:t>
        </w:r>
      </w:hyperlink>
      <w:r>
        <w:t>. “</w:t>
      </w:r>
      <w:r w:rsidRPr="0090408B">
        <w:t>Préstamo hipotecario. Cláusula multidivisa. Nulidad de la cláusula por abusiva al no superar el control de transparencia. Prescripción. Consecuencias del eventual carácter abusivo de las cláusulas relativas a las divisas de los préstamos multidivisa</w:t>
      </w:r>
      <w:r>
        <w:t xml:space="preserve">”. </w:t>
      </w:r>
    </w:p>
    <w:p w14:paraId="4CE3FF2A" w14:textId="1E435B60" w:rsidR="0090408B" w:rsidRPr="0090408B" w:rsidRDefault="0090408B" w:rsidP="006B6B86">
      <w:pPr>
        <w:spacing w:after="240"/>
        <w:jc w:val="both"/>
      </w:pPr>
      <w:hyperlink r:id="rId42" w:history="1">
        <w:r w:rsidRPr="0090408B">
          <w:rPr>
            <w:rStyle w:val="Hipervnculo"/>
          </w:rPr>
          <w:t>STS, Sala Primera, 515/2024, de 17 de abril de 2024</w:t>
        </w:r>
      </w:hyperlink>
      <w:r>
        <w:t>. “</w:t>
      </w:r>
      <w:r w:rsidRPr="0090408B">
        <w:t>Nulidad de clausulado multidivisa inserto en un préstamo hipotecario con consumidores. Devolución de actuaciones a la Audiencia Provincial para resolver sobre todas las cuestiones planteadas</w:t>
      </w:r>
      <w:r>
        <w:t xml:space="preserve">”. </w:t>
      </w:r>
    </w:p>
    <w:p w14:paraId="635D9F60" w14:textId="1DD544A5" w:rsidR="0090408B" w:rsidRDefault="0090408B" w:rsidP="006B6B86">
      <w:pPr>
        <w:spacing w:after="240"/>
        <w:jc w:val="both"/>
      </w:pPr>
      <w:hyperlink r:id="rId43" w:history="1">
        <w:r w:rsidRPr="0090408B">
          <w:rPr>
            <w:rStyle w:val="Hipervnculo"/>
          </w:rPr>
          <w:t>STS, Sala Primera, 541/2024, de 23 de abril de 2024</w:t>
        </w:r>
      </w:hyperlink>
      <w:r>
        <w:t>. “</w:t>
      </w:r>
      <w:r w:rsidRPr="0090408B">
        <w:t>Condiciones generales. Control de transparencia. Información precontractual. Suficiencia del documento de primera disposición</w:t>
      </w:r>
      <w:r>
        <w:t xml:space="preserve">”. </w:t>
      </w:r>
    </w:p>
    <w:p w14:paraId="19B71E1F" w14:textId="139A9397" w:rsidR="0090408B" w:rsidRPr="0090408B" w:rsidRDefault="0090408B" w:rsidP="006B6B86">
      <w:pPr>
        <w:spacing w:after="240"/>
        <w:jc w:val="both"/>
      </w:pPr>
      <w:hyperlink r:id="rId44" w:history="1">
        <w:r w:rsidRPr="0090408B">
          <w:rPr>
            <w:rStyle w:val="Hipervnculo"/>
          </w:rPr>
          <w:t>STS, Sala Primera, 546/2024, de 23 de abril de 2024</w:t>
        </w:r>
      </w:hyperlink>
      <w:r>
        <w:t>. “</w:t>
      </w:r>
      <w:r w:rsidRPr="0090408B">
        <w:t>Préstamo hipotecario con clausulado multidivisa. Nulidad de la cláusula por abusiva al no superar el control de transparencia ya que no aparece justificado que los demandantes antes de la concertación del préstamo conocieran sus riesgos básicos</w:t>
      </w:r>
      <w:r>
        <w:t xml:space="preserve">”. </w:t>
      </w:r>
    </w:p>
    <w:p w14:paraId="2211D409" w14:textId="4A2B6024" w:rsidR="003B1DBA" w:rsidRPr="003B1DBA" w:rsidRDefault="003B1DBA" w:rsidP="006B6B86">
      <w:pPr>
        <w:spacing w:after="240"/>
        <w:jc w:val="both"/>
      </w:pPr>
      <w:hyperlink r:id="rId45" w:history="1">
        <w:r w:rsidRPr="003B1DBA">
          <w:rPr>
            <w:rStyle w:val="Hipervnculo"/>
          </w:rPr>
          <w:t>STS, Sala Primera, 679/2024, de 13 de mayo de 2024</w:t>
        </w:r>
      </w:hyperlink>
      <w:r>
        <w:t>. “</w:t>
      </w:r>
      <w:r w:rsidRPr="003B1DBA">
        <w:t>Nulidad clausulado multidivisa inserto en préstamo hipotecario con consumidores. Recurso extraordinario por infracción procesal. Anulación de la sentencia de apelación con devolución actuaciones a la Audiencia Provincial</w:t>
      </w:r>
      <w:r>
        <w:t xml:space="preserve">”. </w:t>
      </w:r>
    </w:p>
    <w:p w14:paraId="78949A92" w14:textId="231BB161" w:rsidR="00D43ECE" w:rsidRPr="00D43ECE" w:rsidRDefault="00D43ECE" w:rsidP="006B6B86">
      <w:pPr>
        <w:spacing w:after="240"/>
        <w:jc w:val="both"/>
      </w:pPr>
      <w:hyperlink r:id="rId46" w:history="1">
        <w:r w:rsidRPr="00D43ECE">
          <w:rPr>
            <w:rStyle w:val="Hipervnculo"/>
          </w:rPr>
          <w:t>STS, Sala Primera, 688/2024, de 14 de mayo de 2024</w:t>
        </w:r>
      </w:hyperlink>
      <w:r>
        <w:t>. “</w:t>
      </w:r>
      <w:r w:rsidRPr="00D43ECE">
        <w:t>Nulidad de cláusula multidivisa. Demandante no consumidor. Préstamo a una SL para adquirir una vivienda usada por el socio único y administrador</w:t>
      </w:r>
      <w:r>
        <w:t xml:space="preserve">”. </w:t>
      </w:r>
    </w:p>
    <w:p w14:paraId="2B0570CB" w14:textId="7EF1D5D5" w:rsidR="008F3712" w:rsidRDefault="008F3712" w:rsidP="006B6B86">
      <w:pPr>
        <w:spacing w:after="240"/>
        <w:jc w:val="both"/>
      </w:pPr>
      <w:hyperlink r:id="rId47" w:history="1">
        <w:r w:rsidRPr="008F3712">
          <w:rPr>
            <w:rStyle w:val="Hipervnculo"/>
          </w:rPr>
          <w:t>STS, Sala Primera, 791/2024, de 4 de junio de 2024</w:t>
        </w:r>
      </w:hyperlink>
      <w:r>
        <w:t>. “</w:t>
      </w:r>
      <w:r w:rsidRPr="008F3712">
        <w:t>Nulidad del clausulado multidivisa en préstamo hipotecario con consumidores. Control de transparencia. Alcance de la información al consumidor. Prescripción de la acción restitutoria. Retraso desleal. Reiteración de jurisprudencia</w:t>
      </w:r>
      <w:r>
        <w:t xml:space="preserve">”. </w:t>
      </w:r>
    </w:p>
    <w:p w14:paraId="1EA54A8F" w14:textId="5E8A9E0B" w:rsidR="008F3712" w:rsidRPr="008F3712" w:rsidRDefault="008F3712" w:rsidP="006B6B86">
      <w:pPr>
        <w:spacing w:after="240"/>
        <w:jc w:val="both"/>
      </w:pPr>
      <w:hyperlink r:id="rId48" w:history="1">
        <w:r w:rsidRPr="008F3712">
          <w:rPr>
            <w:rStyle w:val="Hipervnculo"/>
          </w:rPr>
          <w:t>STS, Sala Primera, 793/2024, de 4 de junio de 2024</w:t>
        </w:r>
      </w:hyperlink>
      <w:r>
        <w:t>. “</w:t>
      </w:r>
      <w:r w:rsidRPr="008F3712">
        <w:t>Nulidad de clausulado multidivisa en préstamo hipotecario concertado con consumidores</w:t>
      </w:r>
      <w:r>
        <w:t xml:space="preserve">”. </w:t>
      </w:r>
    </w:p>
    <w:p w14:paraId="6EB08939" w14:textId="4B5245A1" w:rsidR="008F3712" w:rsidRDefault="008F3712" w:rsidP="006B6B86">
      <w:pPr>
        <w:spacing w:after="240"/>
        <w:jc w:val="both"/>
      </w:pPr>
      <w:hyperlink r:id="rId49" w:history="1">
        <w:r w:rsidRPr="008F3712">
          <w:rPr>
            <w:rStyle w:val="Hipervnculo"/>
          </w:rPr>
          <w:t>STS, Sala Primera, 794/2024, de 4 de junio de 2024</w:t>
        </w:r>
      </w:hyperlink>
      <w:r>
        <w:t>. “</w:t>
      </w:r>
      <w:r w:rsidRPr="008F3712">
        <w:t>Clausula multidivisa. Control de transparencia. Información precontractual. Suficiencia de la proporcionada por el documento de primera disposición</w:t>
      </w:r>
      <w:r>
        <w:t xml:space="preserve">”. </w:t>
      </w:r>
    </w:p>
    <w:p w14:paraId="2E460E8D" w14:textId="6E719A55" w:rsidR="008F3712" w:rsidRDefault="008F3712" w:rsidP="006B6B86">
      <w:pPr>
        <w:spacing w:after="240"/>
        <w:jc w:val="both"/>
      </w:pPr>
      <w:hyperlink r:id="rId50" w:history="1">
        <w:r w:rsidRPr="008F3712">
          <w:rPr>
            <w:rStyle w:val="Hipervnculo"/>
          </w:rPr>
          <w:t>STS, Sala Primera, 799/2024, de 4 de junio de 2024</w:t>
        </w:r>
      </w:hyperlink>
      <w:r>
        <w:t>. “</w:t>
      </w:r>
      <w:r w:rsidRPr="008F3712">
        <w:t>Préstamo hipotecario. Cláusula multidivisa. Nulidad de la cláusula por abusiva al no superar el control de transparencia ya que no aparece justificado que los demandantes antes de la concertación del préstamo conocieran sus riesgos básicos</w:t>
      </w:r>
      <w:r>
        <w:t xml:space="preserve">”. </w:t>
      </w:r>
    </w:p>
    <w:p w14:paraId="099ED63A" w14:textId="4F505BD3" w:rsidR="008F3712" w:rsidRPr="008F3712" w:rsidRDefault="008F3712" w:rsidP="006B6B86">
      <w:pPr>
        <w:spacing w:after="240"/>
        <w:jc w:val="both"/>
      </w:pPr>
      <w:hyperlink r:id="rId51" w:history="1">
        <w:r w:rsidRPr="008F3712">
          <w:rPr>
            <w:rStyle w:val="Hipervnculo"/>
          </w:rPr>
          <w:t>STS, Sala Primera, 800/2024, de 4 de junio de 2024</w:t>
        </w:r>
      </w:hyperlink>
      <w:r>
        <w:t>. “</w:t>
      </w:r>
      <w:r w:rsidRPr="008F3712">
        <w:t>Nulidad de clausulado multidivisa en préstamo hipotecario con consumidores. Cláusulas que permiten exigir garantías adicionales y de comisión por cambio de moneda</w:t>
      </w:r>
      <w:r>
        <w:t xml:space="preserve">”. </w:t>
      </w:r>
    </w:p>
    <w:p w14:paraId="47A7B88F" w14:textId="2CC14201" w:rsidR="00D838BF" w:rsidRPr="00D838BF" w:rsidRDefault="00D838BF" w:rsidP="006B6B86">
      <w:pPr>
        <w:spacing w:after="240"/>
        <w:jc w:val="both"/>
      </w:pPr>
      <w:hyperlink r:id="rId52" w:history="1">
        <w:r w:rsidRPr="00D838BF">
          <w:rPr>
            <w:rStyle w:val="Hipervnculo"/>
          </w:rPr>
          <w:t>STS, Sala Primera, 846/2024, de 10 de junio de 2024</w:t>
        </w:r>
      </w:hyperlink>
      <w:r>
        <w:t>. “</w:t>
      </w:r>
      <w:r w:rsidRPr="00D838BF">
        <w:t>Préstamo hipotecario multidivisa con consumidores. Nulidad del clausulado multidivisa. Suficiencia informativa del documento de primera disposición. Reiteración de jurisprudencia</w:t>
      </w:r>
      <w:r>
        <w:t xml:space="preserve">”. </w:t>
      </w:r>
    </w:p>
    <w:p w14:paraId="72B088D6" w14:textId="3192D3E8" w:rsidR="00D838BF" w:rsidRPr="00D838BF" w:rsidRDefault="00D838BF" w:rsidP="006B6B86">
      <w:pPr>
        <w:spacing w:after="240"/>
        <w:jc w:val="both"/>
      </w:pPr>
      <w:hyperlink r:id="rId53" w:history="1">
        <w:r w:rsidRPr="00D838BF">
          <w:rPr>
            <w:rStyle w:val="Hipervnculo"/>
          </w:rPr>
          <w:t>STS, Sala Primera, 847/2024, de 10 de junio de 2024</w:t>
        </w:r>
      </w:hyperlink>
      <w:r>
        <w:t>. “</w:t>
      </w:r>
      <w:r w:rsidRPr="00D838BF">
        <w:t>Préstamo hipotecario. Nulidad de cláusula multidivisa por abusiva, al no superar el control de transparencia</w:t>
      </w:r>
      <w:r>
        <w:t xml:space="preserve">”. </w:t>
      </w:r>
    </w:p>
    <w:p w14:paraId="62679581" w14:textId="06410B80" w:rsidR="00D838BF" w:rsidRPr="00D838BF" w:rsidRDefault="00D838BF" w:rsidP="006B6B86">
      <w:pPr>
        <w:spacing w:after="240"/>
        <w:jc w:val="both"/>
      </w:pPr>
      <w:hyperlink r:id="rId54" w:history="1">
        <w:r w:rsidRPr="00D838BF">
          <w:rPr>
            <w:rStyle w:val="Hipervnculo"/>
          </w:rPr>
          <w:t>STS, Sala Primera, 848/2024, de 10 de junio de 2024</w:t>
        </w:r>
      </w:hyperlink>
      <w:r>
        <w:t>. “</w:t>
      </w:r>
      <w:r w:rsidRPr="00D838BF">
        <w:t>Nulidad de clausulado multidivisa en préstamo hipotecario concertado con consumidores. Reiteración de jurisprudencia</w:t>
      </w:r>
      <w:r>
        <w:t xml:space="preserve">”. </w:t>
      </w:r>
    </w:p>
    <w:p w14:paraId="2BE3918D" w14:textId="2FDC6FDE" w:rsidR="003102CA" w:rsidRDefault="009C3A9F" w:rsidP="009C3A9F">
      <w:pPr>
        <w:spacing w:after="240"/>
        <w:jc w:val="both"/>
        <w:rPr>
          <w:b/>
          <w:bCs/>
        </w:rPr>
      </w:pPr>
      <w:r w:rsidRPr="006B6B86">
        <w:rPr>
          <w:b/>
          <w:bCs/>
        </w:rPr>
        <w:t>Cláusulas abusivas y costas procesales</w:t>
      </w:r>
    </w:p>
    <w:p w14:paraId="36BC6FEA" w14:textId="6ABB74CC" w:rsidR="005F49E5" w:rsidRPr="005F49E5" w:rsidRDefault="005F49E5" w:rsidP="009C3A9F">
      <w:pPr>
        <w:spacing w:after="240"/>
        <w:jc w:val="both"/>
      </w:pPr>
      <w:hyperlink r:id="rId55" w:history="1">
        <w:r w:rsidRPr="005F49E5">
          <w:rPr>
            <w:rStyle w:val="Hipervnculo"/>
          </w:rPr>
          <w:t>STS, Sala Primera, 479/2024, de 8 de abril de 2024</w:t>
        </w:r>
      </w:hyperlink>
      <w:r>
        <w:t>. “</w:t>
      </w:r>
      <w:r w:rsidRPr="005F49E5">
        <w:t>Recurso de casación sobre costas procesales en proceso sobre cláusulas abusivas. Recurso inadmisible. El precepto legal que se cita en el motivo (el art. 394 LEC) es una norma de carácter procesal, que no puede fundamentar un recurso de casación</w:t>
      </w:r>
      <w:r>
        <w:t xml:space="preserve">”. </w:t>
      </w:r>
    </w:p>
    <w:p w14:paraId="361707EC" w14:textId="0A0EDFED" w:rsidR="0090408B" w:rsidRPr="0090408B" w:rsidRDefault="0090408B" w:rsidP="009C3A9F">
      <w:pPr>
        <w:spacing w:after="240"/>
        <w:jc w:val="both"/>
      </w:pPr>
      <w:hyperlink r:id="rId56" w:history="1">
        <w:r w:rsidRPr="0090408B">
          <w:rPr>
            <w:rStyle w:val="Hipervnculo"/>
          </w:rPr>
          <w:t>STS, Sala Primera, 542/2024, de 23 de abril de 2024</w:t>
        </w:r>
      </w:hyperlink>
      <w:r>
        <w:t>. “</w:t>
      </w:r>
      <w:r w:rsidRPr="0090408B">
        <w:t>Costas en procedimientos sobre cláusulas abusivas en contratos con consumidores</w:t>
      </w:r>
      <w:r>
        <w:t xml:space="preserve">”. </w:t>
      </w:r>
    </w:p>
    <w:p w14:paraId="7FB5B0A1" w14:textId="0851AAA8" w:rsidR="0090408B" w:rsidRPr="0090408B" w:rsidRDefault="0090408B" w:rsidP="009C3A9F">
      <w:pPr>
        <w:spacing w:after="240"/>
        <w:jc w:val="both"/>
      </w:pPr>
      <w:hyperlink r:id="rId57" w:history="1">
        <w:r w:rsidR="005F49E5">
          <w:rPr>
            <w:rStyle w:val="Hipervnculo"/>
          </w:rPr>
          <w:t>STS, Sala Primera, Pleno, 565/2024, de 25 de abril de 2024</w:t>
        </w:r>
      </w:hyperlink>
      <w:r>
        <w:t>. “</w:t>
      </w:r>
      <w:r w:rsidRPr="0090408B">
        <w:t>Protección de consumidores. Costas de primera instancia. Allanamiento del banco demandado, antes de contestar la demanda, a la reclamación por la aplicación de una cláusula abusiva. Requerimiento previo del consumidor. Matización de jurisprudencia</w:t>
      </w:r>
      <w:r>
        <w:t xml:space="preserve">”. </w:t>
      </w:r>
    </w:p>
    <w:p w14:paraId="06E79B13" w14:textId="463777B7" w:rsidR="003B1DBA" w:rsidRPr="003B1DBA" w:rsidRDefault="003B1DBA" w:rsidP="009C3A9F">
      <w:pPr>
        <w:spacing w:after="240"/>
        <w:jc w:val="both"/>
      </w:pPr>
      <w:hyperlink r:id="rId58" w:history="1">
        <w:r w:rsidRPr="003B1DBA">
          <w:rPr>
            <w:rStyle w:val="Hipervnculo"/>
          </w:rPr>
          <w:t>STS, Sala Primera, 678/2024, de 13 de mayo de 2024</w:t>
        </w:r>
      </w:hyperlink>
      <w:r>
        <w:t>. “</w:t>
      </w:r>
      <w:r w:rsidRPr="003B1DBA">
        <w:t>Préstamo hipotecario. Cláusula suelo. Allanamiento de la parte recurrida en casación. Costas del recurso de casación</w:t>
      </w:r>
      <w:r>
        <w:t xml:space="preserve">”. </w:t>
      </w:r>
    </w:p>
    <w:p w14:paraId="10EDCF01" w14:textId="3BEE9837" w:rsidR="008F3712" w:rsidRPr="008F3712" w:rsidRDefault="008F3712" w:rsidP="009C3A9F">
      <w:pPr>
        <w:spacing w:after="240"/>
        <w:jc w:val="both"/>
      </w:pPr>
      <w:hyperlink r:id="rId59" w:history="1">
        <w:r w:rsidRPr="008F3712">
          <w:rPr>
            <w:rStyle w:val="Hipervnculo"/>
          </w:rPr>
          <w:t>STS, Sala Primera, 795/2024, de 4 de junio de 2024</w:t>
        </w:r>
      </w:hyperlink>
      <w:r>
        <w:t>. “</w:t>
      </w:r>
      <w:r w:rsidRPr="008F3712">
        <w:t>Costas en procedimientos sobre cláusulas abusivas en contratos con consumidores. Allanamiento en casación</w:t>
      </w:r>
      <w:r>
        <w:t xml:space="preserve">”. </w:t>
      </w:r>
    </w:p>
    <w:p w14:paraId="56A61F7D" w14:textId="5586A2EE" w:rsidR="00711297" w:rsidRDefault="00711297" w:rsidP="009C3A9F">
      <w:pPr>
        <w:spacing w:after="240"/>
        <w:jc w:val="both"/>
      </w:pPr>
      <w:hyperlink r:id="rId60" w:history="1">
        <w:r w:rsidRPr="00711297">
          <w:rPr>
            <w:rStyle w:val="Hipervnculo"/>
          </w:rPr>
          <w:t>STS, Sala Primera, 842/2024, de 10 de junio de 2024</w:t>
        </w:r>
      </w:hyperlink>
      <w:r>
        <w:t>. “</w:t>
      </w:r>
      <w:r w:rsidRPr="00711297">
        <w:t>Costas en procedimientos sobre cláusulas abusivas en contratos con consumidores. Reiteración de la jurisprudencia de la sala</w:t>
      </w:r>
      <w:r>
        <w:t xml:space="preserve">”. </w:t>
      </w:r>
    </w:p>
    <w:p w14:paraId="292555D6" w14:textId="2DABD963" w:rsidR="00711297" w:rsidRPr="00711297" w:rsidRDefault="00711297" w:rsidP="009C3A9F">
      <w:pPr>
        <w:spacing w:after="240"/>
        <w:jc w:val="both"/>
      </w:pPr>
      <w:hyperlink r:id="rId61" w:history="1">
        <w:r w:rsidRPr="00711297">
          <w:rPr>
            <w:rStyle w:val="Hipervnculo"/>
          </w:rPr>
          <w:t>STS, Sala Primera, 845/2024, de 10 de junio de 2024</w:t>
        </w:r>
      </w:hyperlink>
      <w:r>
        <w:t>. “</w:t>
      </w:r>
      <w:r w:rsidRPr="00711297">
        <w:t>Desestimación del recurso de casación por incurrir en causa de inadmisión consistente en la cita de norma procesal sobre costas sin invocarse la infracción de norma sustantiva</w:t>
      </w:r>
      <w:r>
        <w:t xml:space="preserve">”. </w:t>
      </w:r>
    </w:p>
    <w:p w14:paraId="4B82C529" w14:textId="77777777" w:rsidR="000F487E" w:rsidRDefault="000F487E" w:rsidP="000F487E">
      <w:pPr>
        <w:spacing w:after="240"/>
        <w:jc w:val="both"/>
        <w:rPr>
          <w:b/>
          <w:bCs/>
        </w:rPr>
      </w:pPr>
      <w:r>
        <w:rPr>
          <w:b/>
          <w:bCs/>
        </w:rPr>
        <w:t>Préstamo personal. Usura</w:t>
      </w:r>
    </w:p>
    <w:p w14:paraId="72D28CBC" w14:textId="77777777" w:rsidR="000F487E" w:rsidRPr="000F487E" w:rsidRDefault="000F487E" w:rsidP="000F487E">
      <w:pPr>
        <w:spacing w:after="240"/>
        <w:jc w:val="both"/>
      </w:pPr>
      <w:hyperlink r:id="rId62" w:history="1">
        <w:r w:rsidRPr="000F487E">
          <w:rPr>
            <w:rStyle w:val="Hipervnculo"/>
          </w:rPr>
          <w:t>STS, Sala Primera, 697/2024, de 20 de mayo de 2024</w:t>
        </w:r>
      </w:hyperlink>
      <w:r>
        <w:t>. “</w:t>
      </w:r>
      <w:r w:rsidRPr="000F487E">
        <w:t>Préstamo usurario. Requisitos. Supuesto no coincidente con el del caso de la sentencia 1378/2023, de 6 de octubre</w:t>
      </w:r>
      <w:r>
        <w:t xml:space="preserve">”. </w:t>
      </w:r>
    </w:p>
    <w:p w14:paraId="75F0389A" w14:textId="3832DE91" w:rsidR="008F3712" w:rsidRDefault="005F49E5" w:rsidP="00B655CE">
      <w:pPr>
        <w:spacing w:after="240"/>
        <w:jc w:val="both"/>
        <w:rPr>
          <w:b/>
          <w:bCs/>
        </w:rPr>
      </w:pPr>
      <w:r>
        <w:rPr>
          <w:b/>
          <w:bCs/>
        </w:rPr>
        <w:t>Contratación de p</w:t>
      </w:r>
      <w:r w:rsidR="008F3712">
        <w:rPr>
          <w:b/>
          <w:bCs/>
        </w:rPr>
        <w:t>roductos financieros</w:t>
      </w:r>
    </w:p>
    <w:p w14:paraId="214FAECA" w14:textId="586ED5F2" w:rsidR="005F49E5" w:rsidRPr="005F49E5" w:rsidRDefault="005F49E5" w:rsidP="00B655CE">
      <w:pPr>
        <w:spacing w:after="240"/>
        <w:jc w:val="both"/>
      </w:pPr>
      <w:hyperlink r:id="rId63" w:history="1">
        <w:r w:rsidRPr="005F49E5">
          <w:rPr>
            <w:rStyle w:val="Hipervnculo"/>
          </w:rPr>
          <w:t>STS, Sala Primera, 452/2024, de 3 de abril de 2024</w:t>
        </w:r>
      </w:hyperlink>
      <w:r>
        <w:t>. “</w:t>
      </w:r>
      <w:r w:rsidRPr="005F49E5">
        <w:t>Contratos financieros a plazo. Error en el consentimiento. Valoración de la información suministrada sobre la naturaleza del producto y sus riesgos, así como del perfil del adquirente, para concluir si existió error vicio</w:t>
      </w:r>
      <w:r>
        <w:t xml:space="preserve">”. </w:t>
      </w:r>
    </w:p>
    <w:p w14:paraId="1DE4CD99" w14:textId="28EC6E45" w:rsidR="008F3712" w:rsidRDefault="008F3712" w:rsidP="00B655CE">
      <w:pPr>
        <w:spacing w:after="240"/>
        <w:jc w:val="both"/>
      </w:pPr>
      <w:hyperlink r:id="rId64" w:history="1">
        <w:r w:rsidRPr="008F3712">
          <w:rPr>
            <w:rStyle w:val="Hipervnculo"/>
          </w:rPr>
          <w:t>STS, Sala Primera, 807/2024, de 6 de junio de 2024</w:t>
        </w:r>
      </w:hyperlink>
      <w:r>
        <w:t>. “</w:t>
      </w:r>
      <w:r w:rsidRPr="008F3712">
        <w:t>Acción de nulidad por error vicio en la adquisición de participaciones preferentes. Caducidad</w:t>
      </w:r>
      <w:r>
        <w:t xml:space="preserve">”. </w:t>
      </w:r>
    </w:p>
    <w:p w14:paraId="68D0BC6F" w14:textId="6C242DC8" w:rsidR="008B05FC" w:rsidRDefault="008B05FC" w:rsidP="00B655CE">
      <w:pPr>
        <w:spacing w:after="240"/>
        <w:jc w:val="both"/>
        <w:rPr>
          <w:b/>
          <w:bCs/>
        </w:rPr>
      </w:pPr>
      <w:r>
        <w:rPr>
          <w:b/>
          <w:bCs/>
        </w:rPr>
        <w:t>Compraventa de vivienda. Devolución de anticipos</w:t>
      </w:r>
    </w:p>
    <w:p w14:paraId="42FD4D96" w14:textId="739DFB50" w:rsidR="00D51BFF" w:rsidRPr="00D51BFF" w:rsidRDefault="00D51BFF" w:rsidP="00B655CE">
      <w:pPr>
        <w:spacing w:after="240"/>
        <w:jc w:val="both"/>
      </w:pPr>
      <w:hyperlink r:id="rId65" w:history="1">
        <w:r w:rsidRPr="00D51BFF">
          <w:rPr>
            <w:rStyle w:val="Hipervnculo"/>
          </w:rPr>
          <w:t>STS, Sala Primera, Pleno, 491/2024, de 12 de abril de 2024</w:t>
        </w:r>
      </w:hyperlink>
      <w:r>
        <w:t>. “</w:t>
      </w:r>
      <w:r w:rsidRPr="00D51BFF">
        <w:t>Ley 57/1968. Responsabilidad del banco descontante de efectos cambiarios aceptados para pago de cantidades a cuenta. Cambio de jurisprudencia</w:t>
      </w:r>
      <w:r>
        <w:t xml:space="preserve">”. </w:t>
      </w:r>
    </w:p>
    <w:p w14:paraId="4D4854B6" w14:textId="21023125" w:rsidR="00D51BFF" w:rsidRPr="00D51BFF" w:rsidRDefault="00D51BFF" w:rsidP="00B655CE">
      <w:pPr>
        <w:spacing w:after="240"/>
        <w:jc w:val="both"/>
      </w:pPr>
      <w:hyperlink r:id="rId66" w:history="1">
        <w:r w:rsidRPr="00D51BFF">
          <w:rPr>
            <w:rStyle w:val="Hipervnculo"/>
          </w:rPr>
          <w:t>STS, Sala Primera, Pleno, 492/2024, de 12 de abril de 2024</w:t>
        </w:r>
      </w:hyperlink>
      <w:r>
        <w:t>. “</w:t>
      </w:r>
      <w:r w:rsidRPr="00D51BFF">
        <w:t>Ley 57/68. Responsabilidad del banco descontante de efectos cambiarios aceptados para pago de cantidades a cuenta. Cambio de jurisprudencia</w:t>
      </w:r>
      <w:r>
        <w:t xml:space="preserve">”. </w:t>
      </w:r>
    </w:p>
    <w:p w14:paraId="014B6E25" w14:textId="52B10915" w:rsidR="00D51BFF" w:rsidRDefault="00D51BFF" w:rsidP="00B655CE">
      <w:pPr>
        <w:spacing w:after="240"/>
        <w:jc w:val="both"/>
      </w:pPr>
      <w:hyperlink r:id="rId67" w:history="1">
        <w:r w:rsidRPr="00D51BFF">
          <w:rPr>
            <w:rStyle w:val="Hipervnculo"/>
          </w:rPr>
          <w:t>STS, Sala Primera, 498/2024, de 15 de abril de 2024</w:t>
        </w:r>
      </w:hyperlink>
      <w:r>
        <w:t>. “</w:t>
      </w:r>
      <w:r w:rsidRPr="00D51BFF">
        <w:t>Ley 57/1968. Cooperativa de viviendas titular del derecho de superficie sobre el suelo en el que se debían construir viviendas con fines residenciales. Responsabilidad de la entidad de crédito demandada. Devengo del interés legal</w:t>
      </w:r>
      <w:r>
        <w:t xml:space="preserve">”. </w:t>
      </w:r>
    </w:p>
    <w:p w14:paraId="6CB6401F" w14:textId="2966B1B6" w:rsidR="00D51BFF" w:rsidRPr="00D51BFF" w:rsidRDefault="00D51BFF" w:rsidP="00B655CE">
      <w:pPr>
        <w:spacing w:after="240"/>
        <w:jc w:val="both"/>
      </w:pPr>
      <w:hyperlink r:id="rId68" w:history="1">
        <w:r w:rsidRPr="00D51BFF">
          <w:rPr>
            <w:rStyle w:val="Hipervnculo"/>
          </w:rPr>
          <w:t>STS, Sala Primera, 500/2024, de 15 de abril de 2024</w:t>
        </w:r>
      </w:hyperlink>
      <w:r>
        <w:t>. “</w:t>
      </w:r>
      <w:r w:rsidRPr="00D51BFF">
        <w:t>Ley 57/1968. Aportaciones a una cooperativa de viviendas: cosa juzgada positiva de la sentencia firme dictada en un litigio anterior</w:t>
      </w:r>
      <w:r>
        <w:t xml:space="preserve">”. </w:t>
      </w:r>
    </w:p>
    <w:p w14:paraId="6431CA39" w14:textId="098FB8B6" w:rsidR="0090408B" w:rsidRPr="0090408B" w:rsidRDefault="0090408B" w:rsidP="00B655CE">
      <w:pPr>
        <w:spacing w:after="240"/>
        <w:jc w:val="both"/>
      </w:pPr>
      <w:hyperlink r:id="rId69" w:history="1">
        <w:r w:rsidRPr="0090408B">
          <w:rPr>
            <w:rStyle w:val="Hipervnculo"/>
          </w:rPr>
          <w:t>STS, Sala Primera, 527/2024, de 22 de abril de 2024</w:t>
        </w:r>
      </w:hyperlink>
      <w:r>
        <w:t>. “</w:t>
      </w:r>
      <w:r w:rsidRPr="0090408B">
        <w:t>Ley 57/1968. Responsabilidad del avalista por las cantidades anticipadas a cuenta del precio de la vivienda</w:t>
      </w:r>
      <w:r>
        <w:t xml:space="preserve">”. </w:t>
      </w:r>
    </w:p>
    <w:p w14:paraId="4E1ED423" w14:textId="78D8B2A4" w:rsidR="003B1DBA" w:rsidRPr="003B1DBA" w:rsidRDefault="003B1DBA" w:rsidP="00B655CE">
      <w:pPr>
        <w:spacing w:after="240"/>
        <w:jc w:val="both"/>
      </w:pPr>
      <w:hyperlink r:id="rId70" w:history="1">
        <w:r w:rsidRPr="003B1DBA">
          <w:rPr>
            <w:rStyle w:val="Hipervnculo"/>
          </w:rPr>
          <w:t>STS, Sala Primera, 587/2024, de 6 de mayo de 2024</w:t>
        </w:r>
      </w:hyperlink>
      <w:r>
        <w:t>. “</w:t>
      </w:r>
      <w:r w:rsidRPr="003B1DBA">
        <w:t>Ley 57/1968. No responde el banco receptor de los anticipos conforme al art. 1-2.ª por imposibilidad de controlar los pagos</w:t>
      </w:r>
      <w:r>
        <w:t xml:space="preserve">”. </w:t>
      </w:r>
    </w:p>
    <w:p w14:paraId="75EE692F" w14:textId="343F560A" w:rsidR="00EA30BA" w:rsidRPr="00EA30BA" w:rsidRDefault="00EA30BA" w:rsidP="00B655CE">
      <w:pPr>
        <w:spacing w:after="240"/>
        <w:jc w:val="both"/>
      </w:pPr>
      <w:hyperlink r:id="rId71" w:history="1">
        <w:r w:rsidRPr="00EA30BA">
          <w:rPr>
            <w:rStyle w:val="Hipervnculo"/>
          </w:rPr>
          <w:t>STS, Sala Primera, 655/2024, de 13 de mayo de 2024</w:t>
        </w:r>
      </w:hyperlink>
      <w:r>
        <w:t>. “</w:t>
      </w:r>
      <w:r w:rsidRPr="00EA30BA">
        <w:t>Ley 57/1968. Póliza colectiva para garantizar la devolución de las cantidades entregadas a cuenta. Falta de emisión de los certificados individuales. Responsabilidad de la entidad avalista</w:t>
      </w:r>
      <w:r>
        <w:t xml:space="preserve">”. </w:t>
      </w:r>
    </w:p>
    <w:p w14:paraId="3916ACC1" w14:textId="483CBEAC" w:rsidR="000F487E" w:rsidRPr="000F487E" w:rsidRDefault="000F487E" w:rsidP="00B655CE">
      <w:pPr>
        <w:spacing w:after="240"/>
        <w:jc w:val="both"/>
      </w:pPr>
      <w:hyperlink r:id="rId72" w:history="1">
        <w:r w:rsidRPr="000F487E">
          <w:rPr>
            <w:rStyle w:val="Hipervnculo"/>
          </w:rPr>
          <w:t>STS, Sala Primera, 716/2024, de 22 de mayo de 2024</w:t>
        </w:r>
      </w:hyperlink>
      <w:r>
        <w:t>. “</w:t>
      </w:r>
      <w:r w:rsidRPr="000F487E">
        <w:t>Ley 57/1968. Aportaciones a una cooperativa de viviendas: comienzo del devengo del interés legal; es remuneratorio de las cantidades anticipadas y, por tanto, exigible desde cada aportación. Improcedencia de apreciar retraso desleal</w:t>
      </w:r>
      <w:r>
        <w:t xml:space="preserve">”. </w:t>
      </w:r>
    </w:p>
    <w:p w14:paraId="476D3018" w14:textId="7E38D532" w:rsidR="008F3712" w:rsidRPr="008F3712" w:rsidRDefault="008F3712" w:rsidP="00B655CE">
      <w:pPr>
        <w:spacing w:after="240"/>
        <w:jc w:val="both"/>
      </w:pPr>
      <w:hyperlink r:id="rId73" w:history="1">
        <w:r w:rsidRPr="008F3712">
          <w:rPr>
            <w:rStyle w:val="Hipervnculo"/>
          </w:rPr>
          <w:t>STS, Sala Primera, 828/2024, de 10 de junio de 2024</w:t>
        </w:r>
      </w:hyperlink>
      <w:r>
        <w:t>. “</w:t>
      </w:r>
      <w:r w:rsidRPr="008F3712">
        <w:t>Ley 57/1968. No es aplicable a los compradores de un apartamento turístico en construcción, destinado, como el conjunto en el que se integraba, a una finalidad no residencial. Reiteración de la jurisprudencia</w:t>
      </w:r>
      <w:r>
        <w:t xml:space="preserve">”. </w:t>
      </w:r>
    </w:p>
    <w:p w14:paraId="0584CC90" w14:textId="732231A4" w:rsidR="00D838BF" w:rsidRPr="00D838BF" w:rsidRDefault="00D838BF" w:rsidP="00B655CE">
      <w:pPr>
        <w:spacing w:after="240"/>
        <w:jc w:val="both"/>
      </w:pPr>
      <w:hyperlink r:id="rId74" w:history="1">
        <w:r w:rsidRPr="00D838BF">
          <w:rPr>
            <w:rStyle w:val="Hipervnculo"/>
          </w:rPr>
          <w:t>STS, Sala Primera, 858/2024, de 17 de junio de 2024</w:t>
        </w:r>
      </w:hyperlink>
      <w:r>
        <w:t>. “</w:t>
      </w:r>
      <w:r w:rsidRPr="00D838BF">
        <w:t>Ley 57/1968. No aplicación de la ley en favor de la compradora de dos viviendas de la misma promoción por no constar una finalidad residencial. "DIRECCION000". Compra de dos viviendas y falta de verosimilitud de lo alegado en la demanda, ya que, siguió adelante con la compra de ambas pese a admitir que solo la segunda vivienda satisfacía las necesidades residenciales de la compradora y sus tres hijas. Cuestión no examinada expresamente por la sentencia recurrida, que desestimó la demanda por otras razones, pero planteada por el banco demandado como avalista colectivo desde su contestación a la demanda</w:t>
      </w:r>
      <w:r>
        <w:t xml:space="preserve">”. </w:t>
      </w:r>
    </w:p>
    <w:p w14:paraId="74B54C99" w14:textId="00D9E33F" w:rsidR="00E01210" w:rsidRDefault="00E01210" w:rsidP="00B655CE">
      <w:pPr>
        <w:spacing w:after="240"/>
        <w:jc w:val="both"/>
        <w:rPr>
          <w:b/>
          <w:bCs/>
        </w:rPr>
      </w:pPr>
      <w:r>
        <w:rPr>
          <w:b/>
          <w:bCs/>
        </w:rPr>
        <w:t>Contrato de arrendamiento de obra. Resultado defectuoso</w:t>
      </w:r>
    </w:p>
    <w:p w14:paraId="490F8A81" w14:textId="28861C74" w:rsidR="00E01210" w:rsidRDefault="00E01210" w:rsidP="00B655CE">
      <w:pPr>
        <w:spacing w:after="240"/>
        <w:jc w:val="both"/>
      </w:pPr>
      <w:hyperlink r:id="rId75" w:history="1">
        <w:r w:rsidRPr="00E01210">
          <w:rPr>
            <w:rStyle w:val="Hipervnculo"/>
          </w:rPr>
          <w:t>STS, Sala Primera, 905/2024, de 24 de junio de 2024</w:t>
        </w:r>
      </w:hyperlink>
      <w:r>
        <w:t>. “</w:t>
      </w:r>
      <w:r w:rsidRPr="00E01210">
        <w:t>Contrato de arrendamiento de obra entre un consumidor y un profesional. Resultado defectuoso. No infringe el principio de relatividad de los contratos (art. 1257 CC) la declaración de corresponsabilidad del instalador y el fabricante, cuando éste garantizaba el objeto de la obra (una piscina de fibra de vidrio)</w:t>
      </w:r>
      <w:r>
        <w:t xml:space="preserve">”. </w:t>
      </w:r>
    </w:p>
    <w:p w14:paraId="2A12F7EB" w14:textId="77777777" w:rsidR="005F49E5" w:rsidRDefault="005F49E5" w:rsidP="005F49E5">
      <w:pPr>
        <w:spacing w:after="240"/>
        <w:jc w:val="both"/>
        <w:rPr>
          <w:b/>
          <w:bCs/>
        </w:rPr>
      </w:pPr>
      <w:r>
        <w:rPr>
          <w:b/>
          <w:bCs/>
        </w:rPr>
        <w:t>Error judicial en procedimiento sobre usura</w:t>
      </w:r>
    </w:p>
    <w:p w14:paraId="34BDB44F" w14:textId="77777777" w:rsidR="005F49E5" w:rsidRPr="00841B55" w:rsidRDefault="005F49E5" w:rsidP="005F49E5">
      <w:pPr>
        <w:spacing w:after="240"/>
        <w:jc w:val="both"/>
      </w:pPr>
      <w:hyperlink r:id="rId76" w:history="1">
        <w:r w:rsidRPr="00841B55">
          <w:rPr>
            <w:rStyle w:val="Hipervnculo"/>
          </w:rPr>
          <w:t>STS, Sala Primera, 647/2024, de 13 de mayo de 2024</w:t>
        </w:r>
      </w:hyperlink>
      <w:r>
        <w:t>. “</w:t>
      </w:r>
      <w:r w:rsidRPr="00841B55">
        <w:t>Error judicial. Sentencia que, tras apreciar usura, al calcular la cantidad que debía devolver la prestamista solo descontó los intereses remuneratorios impagados</w:t>
      </w:r>
      <w:r>
        <w:t xml:space="preserve">”. </w:t>
      </w:r>
    </w:p>
    <w:p w14:paraId="27A37A41" w14:textId="1F33F1DB" w:rsidR="0090408B" w:rsidRDefault="005F49E5" w:rsidP="00B655CE">
      <w:pPr>
        <w:spacing w:after="240"/>
        <w:jc w:val="both"/>
        <w:rPr>
          <w:b/>
          <w:bCs/>
        </w:rPr>
      </w:pPr>
      <w:r>
        <w:rPr>
          <w:b/>
          <w:bCs/>
        </w:rPr>
        <w:t>Sanciones</w:t>
      </w:r>
      <w:r w:rsidR="0090408B" w:rsidRPr="0090408B">
        <w:rPr>
          <w:b/>
          <w:bCs/>
        </w:rPr>
        <w:t xml:space="preserve"> en materia de consumo</w:t>
      </w:r>
      <w:r w:rsidR="0090408B">
        <w:rPr>
          <w:b/>
          <w:bCs/>
        </w:rPr>
        <w:t xml:space="preserve"> </w:t>
      </w:r>
    </w:p>
    <w:p w14:paraId="26D22FEF" w14:textId="56C071D9" w:rsidR="005F49E5" w:rsidRPr="005F49E5" w:rsidRDefault="005F49E5" w:rsidP="00B655CE">
      <w:pPr>
        <w:spacing w:after="240"/>
        <w:jc w:val="both"/>
      </w:pPr>
      <w:hyperlink r:id="rId77" w:history="1">
        <w:r w:rsidRPr="005F49E5">
          <w:rPr>
            <w:rStyle w:val="Hipervnculo"/>
          </w:rPr>
          <w:t>STS, Sala Tercera, 576/2024, de 8 de abril de 2024</w:t>
        </w:r>
      </w:hyperlink>
      <w:r>
        <w:t>. “</w:t>
      </w:r>
      <w:r w:rsidRPr="005F49E5">
        <w:t>Potestad sancionadora en materia de defensa de consumidores y usuarios en sectores regulados. Competencia estatal y competencia autonómica</w:t>
      </w:r>
      <w:r>
        <w:t xml:space="preserve">”. </w:t>
      </w:r>
    </w:p>
    <w:p w14:paraId="1D44CDC2" w14:textId="29260F55" w:rsidR="0090408B" w:rsidRDefault="0090408B" w:rsidP="00B655CE">
      <w:pPr>
        <w:spacing w:after="240"/>
        <w:jc w:val="both"/>
      </w:pPr>
      <w:hyperlink r:id="rId78" w:history="1">
        <w:r w:rsidRPr="0090408B">
          <w:rPr>
            <w:rStyle w:val="Hipervnculo"/>
          </w:rPr>
          <w:t>STS, Sala Tercera, 722/2024, de 29 de abril de 2024</w:t>
        </w:r>
      </w:hyperlink>
      <w:r>
        <w:t>. “</w:t>
      </w:r>
      <w:r w:rsidRPr="0090408B">
        <w:t>Expediente sancionador en materia de consumo (</w:t>
      </w:r>
      <w:r w:rsidR="007027D5" w:rsidRPr="0090408B">
        <w:t>cláusulas</w:t>
      </w:r>
      <w:r w:rsidRPr="0090408B">
        <w:t xml:space="preserve"> abusivas). Validez del consentimiento expreso del consumidor para la emisión de factura vía electrónica</w:t>
      </w:r>
      <w:r>
        <w:t>”.</w:t>
      </w:r>
    </w:p>
    <w:p w14:paraId="44EE6806" w14:textId="77777777" w:rsidR="009A2B29" w:rsidRDefault="009A2B29" w:rsidP="00B655CE">
      <w:pPr>
        <w:spacing w:after="240"/>
        <w:jc w:val="both"/>
        <w:rPr>
          <w:b/>
          <w:bCs/>
        </w:rPr>
      </w:pPr>
    </w:p>
    <w:p w14:paraId="5E7E22BD" w14:textId="48C8DF4F" w:rsidR="00451AF4" w:rsidRPr="009A2B29" w:rsidRDefault="00F2000E" w:rsidP="009A2B29">
      <w:pPr>
        <w:spacing w:after="240"/>
        <w:jc w:val="center"/>
        <w:rPr>
          <w:b/>
          <w:bCs/>
          <w:sz w:val="28"/>
          <w:szCs w:val="28"/>
          <w:highlight w:val="yellow"/>
        </w:rPr>
      </w:pPr>
      <w:r>
        <w:rPr>
          <w:noProof/>
        </w:rPr>
        <w:pict w14:anchorId="1ACB10A5">
          <v:rect id="_x0000_i1026" alt="" style="width:425.2pt;height:.05pt;mso-width-percent:0;mso-height-percent:0;mso-width-percent:0;mso-height-percent:0" o:hralign="center" o:hrstd="t" o:hr="t" fillcolor="#a0a0a0" stroked="f"/>
        </w:pict>
      </w:r>
    </w:p>
    <w:p w14:paraId="139789F6" w14:textId="77777777" w:rsidR="0046122C" w:rsidRDefault="0046122C" w:rsidP="00CC503E">
      <w:pPr>
        <w:spacing w:after="240"/>
        <w:jc w:val="center"/>
        <w:rPr>
          <w:b/>
          <w:bCs/>
          <w:sz w:val="28"/>
          <w:szCs w:val="28"/>
        </w:rPr>
      </w:pPr>
    </w:p>
    <w:p w14:paraId="37EDA19E" w14:textId="6D8180E4" w:rsidR="00CC503E" w:rsidRDefault="007027D5" w:rsidP="007027D5">
      <w:pPr>
        <w:spacing w:after="240"/>
        <w:jc w:val="center"/>
        <w:rPr>
          <w:b/>
          <w:bCs/>
          <w:sz w:val="28"/>
          <w:szCs w:val="28"/>
        </w:rPr>
      </w:pPr>
      <w:r>
        <w:rPr>
          <w:b/>
          <w:bCs/>
          <w:sz w:val="28"/>
          <w:szCs w:val="28"/>
        </w:rPr>
        <w:t>RESOLUCIONES DE LA DIRECCIÓN GENERAL DE SEGURIDAD JURÍDICA Y FE PÚBLICA (DGSJFP)</w:t>
      </w:r>
    </w:p>
    <w:p w14:paraId="1C3A9441" w14:textId="0E564AF9" w:rsidR="007027D5" w:rsidRDefault="007027D5" w:rsidP="007027D5">
      <w:pPr>
        <w:spacing w:after="240"/>
        <w:jc w:val="center"/>
        <w:rPr>
          <w:b/>
          <w:bCs/>
          <w:sz w:val="28"/>
          <w:szCs w:val="28"/>
        </w:rPr>
      </w:pPr>
    </w:p>
    <w:p w14:paraId="073C1450" w14:textId="763D0508" w:rsidR="007027D5" w:rsidRPr="007027D5" w:rsidRDefault="007027D5" w:rsidP="007027D5">
      <w:pPr>
        <w:spacing w:after="240"/>
        <w:jc w:val="both"/>
      </w:pPr>
      <w:hyperlink r:id="rId79" w:history="1">
        <w:r w:rsidRPr="007027D5">
          <w:rPr>
            <w:rStyle w:val="Hipervnculo"/>
          </w:rPr>
          <w:t>Resolución de la DGSJFP, de 29 de febrero de 2024</w:t>
        </w:r>
      </w:hyperlink>
      <w:r>
        <w:t xml:space="preserve">, </w:t>
      </w:r>
      <w:r w:rsidRPr="007027D5">
        <w:t>en el recurso interpuesto contra la nota de calificación del registrador de la propiedad de Illescas n.º 1, por la que se califica negativamente una escritura de novación de préstamo hipotecario</w:t>
      </w:r>
      <w:r>
        <w:t xml:space="preserve"> (</w:t>
      </w:r>
      <w:hyperlink r:id="rId80" w:history="1">
        <w:r w:rsidRPr="007027D5">
          <w:rPr>
            <w:rStyle w:val="Hipervnculo"/>
          </w:rPr>
          <w:t>web N&amp;R</w:t>
        </w:r>
      </w:hyperlink>
      <w:r>
        <w:t>)</w:t>
      </w:r>
      <w:r w:rsidRPr="007027D5">
        <w:t>.</w:t>
      </w:r>
    </w:p>
    <w:p w14:paraId="1F86DF44" w14:textId="26E3F42A" w:rsidR="007027D5" w:rsidRPr="007027D5" w:rsidRDefault="007027D5" w:rsidP="007027D5">
      <w:pPr>
        <w:spacing w:after="240"/>
        <w:jc w:val="both"/>
      </w:pPr>
    </w:p>
    <w:p w14:paraId="1FC5A824" w14:textId="77777777" w:rsidR="007C7222" w:rsidRDefault="007C7222" w:rsidP="007C7222">
      <w:pPr>
        <w:ind w:right="-1"/>
        <w:rPr>
          <w:bCs/>
          <w:color w:val="000000" w:themeColor="text1"/>
        </w:rPr>
      </w:pPr>
    </w:p>
    <w:p w14:paraId="7FFB165D" w14:textId="1448BA70" w:rsidR="007A7EB8" w:rsidRPr="00470BF9" w:rsidRDefault="002C2DB9" w:rsidP="002C2DB9">
      <w:pPr>
        <w:ind w:right="-1"/>
        <w:jc w:val="both"/>
        <w:rPr>
          <w:bCs/>
          <w:color w:val="000000" w:themeColor="text1"/>
        </w:rPr>
      </w:pPr>
      <w:r>
        <w:rPr>
          <w:bCs/>
          <w:color w:val="000000" w:themeColor="text1"/>
        </w:rPr>
        <w:t xml:space="preserve"> </w:t>
      </w:r>
      <w:r w:rsidR="00F2000E">
        <w:rPr>
          <w:noProof/>
        </w:rPr>
        <w:pict w14:anchorId="45250446">
          <v:rect id="_x0000_i1025" alt="" style="width:425.2pt;height:.05pt;mso-width-percent:0;mso-height-percent:0;mso-width-percent:0;mso-height-percent:0" o:hralign="center" o:hrstd="t" o:hr="t" fillcolor="#a0a0a0" stroked="f"/>
        </w:pict>
      </w:r>
    </w:p>
    <w:sectPr w:rsidR="007A7EB8" w:rsidRPr="00470BF9" w:rsidSect="008348BF">
      <w:footerReference w:type="default" r:id="rId81"/>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FED41" w14:textId="77777777" w:rsidR="00F2000E" w:rsidRDefault="00F2000E" w:rsidP="000562B1">
      <w:r>
        <w:separator/>
      </w:r>
    </w:p>
  </w:endnote>
  <w:endnote w:type="continuationSeparator" w:id="0">
    <w:p w14:paraId="5E7677AC" w14:textId="77777777" w:rsidR="00F2000E" w:rsidRDefault="00F2000E" w:rsidP="00056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363187"/>
      <w:docPartObj>
        <w:docPartGallery w:val="Page Numbers (Bottom of Page)"/>
        <w:docPartUnique/>
      </w:docPartObj>
    </w:sdtPr>
    <w:sdtEndPr>
      <w:rPr>
        <w:rFonts w:ascii="Times New Roman" w:hAnsi="Times New Roman" w:cs="Times New Roman"/>
        <w:sz w:val="24"/>
        <w:szCs w:val="24"/>
      </w:rPr>
    </w:sdtEndPr>
    <w:sdtContent>
      <w:p w14:paraId="63290595" w14:textId="77777777" w:rsidR="00101C22" w:rsidRPr="001832F8" w:rsidRDefault="00101C22">
        <w:pPr>
          <w:pStyle w:val="Piedepgina"/>
          <w:jc w:val="right"/>
          <w:rPr>
            <w:rFonts w:ascii="Times New Roman" w:hAnsi="Times New Roman" w:cs="Times New Roman"/>
            <w:sz w:val="24"/>
            <w:szCs w:val="24"/>
          </w:rPr>
        </w:pPr>
        <w:r w:rsidRPr="001832F8">
          <w:rPr>
            <w:rFonts w:ascii="Times New Roman" w:hAnsi="Times New Roman" w:cs="Times New Roman"/>
            <w:sz w:val="24"/>
            <w:szCs w:val="24"/>
          </w:rPr>
          <w:fldChar w:fldCharType="begin"/>
        </w:r>
        <w:r w:rsidRPr="001832F8">
          <w:rPr>
            <w:rFonts w:ascii="Times New Roman" w:hAnsi="Times New Roman" w:cs="Times New Roman"/>
            <w:sz w:val="24"/>
            <w:szCs w:val="24"/>
          </w:rPr>
          <w:instrText>PAGE   \* MERGEFORMAT</w:instrText>
        </w:r>
        <w:r w:rsidRPr="001832F8">
          <w:rPr>
            <w:rFonts w:ascii="Times New Roman" w:hAnsi="Times New Roman" w:cs="Times New Roman"/>
            <w:sz w:val="24"/>
            <w:szCs w:val="24"/>
          </w:rPr>
          <w:fldChar w:fldCharType="separate"/>
        </w:r>
        <w:r w:rsidR="00F1056F">
          <w:rPr>
            <w:rFonts w:ascii="Times New Roman" w:hAnsi="Times New Roman" w:cs="Times New Roman"/>
            <w:noProof/>
            <w:sz w:val="24"/>
            <w:szCs w:val="24"/>
          </w:rPr>
          <w:t>9</w:t>
        </w:r>
        <w:r w:rsidRPr="001832F8">
          <w:rPr>
            <w:rFonts w:ascii="Times New Roman" w:hAnsi="Times New Roman" w:cs="Times New Roman"/>
            <w:sz w:val="24"/>
            <w:szCs w:val="24"/>
          </w:rPr>
          <w:fldChar w:fldCharType="end"/>
        </w:r>
      </w:p>
    </w:sdtContent>
  </w:sdt>
  <w:p w14:paraId="37C823B9" w14:textId="77777777" w:rsidR="00101C22" w:rsidRDefault="00101C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F9707" w14:textId="77777777" w:rsidR="00F2000E" w:rsidRDefault="00F2000E" w:rsidP="000562B1">
      <w:r>
        <w:separator/>
      </w:r>
    </w:p>
  </w:footnote>
  <w:footnote w:type="continuationSeparator" w:id="0">
    <w:p w14:paraId="0CDA0A3C" w14:textId="77777777" w:rsidR="00F2000E" w:rsidRDefault="00F2000E" w:rsidP="00056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A47CDC"/>
    <w:multiLevelType w:val="hybridMultilevel"/>
    <w:tmpl w:val="9CFE2A6E"/>
    <w:lvl w:ilvl="0" w:tplc="D750CB88">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795D65"/>
    <w:multiLevelType w:val="hybridMultilevel"/>
    <w:tmpl w:val="6CAED840"/>
    <w:lvl w:ilvl="0" w:tplc="2C8094C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F21AAF"/>
    <w:multiLevelType w:val="multilevel"/>
    <w:tmpl w:val="C2CC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82441CA"/>
    <w:multiLevelType w:val="hybridMultilevel"/>
    <w:tmpl w:val="7AC4537A"/>
    <w:lvl w:ilvl="0" w:tplc="471E95E2">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5861EC8"/>
    <w:multiLevelType w:val="hybridMultilevel"/>
    <w:tmpl w:val="B194020E"/>
    <w:lvl w:ilvl="0" w:tplc="8DF0A50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B2123B9"/>
    <w:multiLevelType w:val="hybridMultilevel"/>
    <w:tmpl w:val="B9C406EE"/>
    <w:lvl w:ilvl="0" w:tplc="471C8DA0">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6C1E0587"/>
    <w:multiLevelType w:val="hybridMultilevel"/>
    <w:tmpl w:val="E03A9884"/>
    <w:lvl w:ilvl="0" w:tplc="C1349A3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D145F24"/>
    <w:multiLevelType w:val="hybridMultilevel"/>
    <w:tmpl w:val="D308732C"/>
    <w:lvl w:ilvl="0" w:tplc="643E15FC">
      <w:start w:val="1"/>
      <w:numFmt w:val="bullet"/>
      <w:lvlText w:val=""/>
      <w:lvlJc w:val="left"/>
      <w:pPr>
        <w:ind w:left="720" w:hanging="360"/>
      </w:pPr>
      <w:rPr>
        <w:rFonts w:ascii="Wingdings" w:eastAsia="Times New Roman" w:hAnsi="Wingdings"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3CD4892"/>
    <w:multiLevelType w:val="hybridMultilevel"/>
    <w:tmpl w:val="31923E98"/>
    <w:lvl w:ilvl="0" w:tplc="459E2956">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CBC1C0F"/>
    <w:multiLevelType w:val="hybridMultilevel"/>
    <w:tmpl w:val="8B8E37E0"/>
    <w:lvl w:ilvl="0" w:tplc="23560D96">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350885556">
    <w:abstractNumId w:val="14"/>
  </w:num>
  <w:num w:numId="2" w16cid:durableId="161898188">
    <w:abstractNumId w:val="0"/>
  </w:num>
  <w:num w:numId="3" w16cid:durableId="438574505">
    <w:abstractNumId w:val="12"/>
  </w:num>
  <w:num w:numId="4" w16cid:durableId="1700349985">
    <w:abstractNumId w:val="6"/>
  </w:num>
  <w:num w:numId="5" w16cid:durableId="726418586">
    <w:abstractNumId w:val="2"/>
  </w:num>
  <w:num w:numId="6" w16cid:durableId="2101562868">
    <w:abstractNumId w:val="4"/>
  </w:num>
  <w:num w:numId="7" w16cid:durableId="55979577">
    <w:abstractNumId w:val="1"/>
  </w:num>
  <w:num w:numId="8" w16cid:durableId="774132843">
    <w:abstractNumId w:val="3"/>
  </w:num>
  <w:num w:numId="9" w16cid:durableId="995571696">
    <w:abstractNumId w:val="8"/>
  </w:num>
  <w:num w:numId="10" w16cid:durableId="537862301">
    <w:abstractNumId w:val="9"/>
  </w:num>
  <w:num w:numId="11" w16cid:durableId="681246970">
    <w:abstractNumId w:val="13"/>
  </w:num>
  <w:num w:numId="12" w16cid:durableId="1900821912">
    <w:abstractNumId w:val="5"/>
  </w:num>
  <w:num w:numId="13" w16cid:durableId="1992513075">
    <w:abstractNumId w:val="10"/>
  </w:num>
  <w:num w:numId="14" w16cid:durableId="826017279">
    <w:abstractNumId w:val="11"/>
  </w:num>
  <w:num w:numId="15" w16cid:durableId="625966765">
    <w:abstractNumId w:val="15"/>
  </w:num>
  <w:num w:numId="16" w16cid:durableId="8628604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8D6"/>
    <w:rsid w:val="00006585"/>
    <w:rsid w:val="0001261B"/>
    <w:rsid w:val="000132EC"/>
    <w:rsid w:val="000148EA"/>
    <w:rsid w:val="00020F4E"/>
    <w:rsid w:val="0002281F"/>
    <w:rsid w:val="00023371"/>
    <w:rsid w:val="00023D79"/>
    <w:rsid w:val="00025F28"/>
    <w:rsid w:val="000260EA"/>
    <w:rsid w:val="000261CD"/>
    <w:rsid w:val="00033A21"/>
    <w:rsid w:val="00033CB2"/>
    <w:rsid w:val="00036BBC"/>
    <w:rsid w:val="00036CB1"/>
    <w:rsid w:val="00037ECF"/>
    <w:rsid w:val="0004481A"/>
    <w:rsid w:val="00045895"/>
    <w:rsid w:val="0004700D"/>
    <w:rsid w:val="00047917"/>
    <w:rsid w:val="000503EC"/>
    <w:rsid w:val="000523A3"/>
    <w:rsid w:val="00054FB7"/>
    <w:rsid w:val="00055DCF"/>
    <w:rsid w:val="000562B1"/>
    <w:rsid w:val="00056D06"/>
    <w:rsid w:val="000630D2"/>
    <w:rsid w:val="00064ADC"/>
    <w:rsid w:val="0006715A"/>
    <w:rsid w:val="00080E3E"/>
    <w:rsid w:val="00087618"/>
    <w:rsid w:val="00091C1F"/>
    <w:rsid w:val="00092150"/>
    <w:rsid w:val="00092F2B"/>
    <w:rsid w:val="000A28D2"/>
    <w:rsid w:val="000B0A5D"/>
    <w:rsid w:val="000B5305"/>
    <w:rsid w:val="000C03B5"/>
    <w:rsid w:val="000C1C9A"/>
    <w:rsid w:val="000C29EB"/>
    <w:rsid w:val="000C5244"/>
    <w:rsid w:val="000D2B7E"/>
    <w:rsid w:val="000D30BF"/>
    <w:rsid w:val="000D7986"/>
    <w:rsid w:val="000E09B2"/>
    <w:rsid w:val="000E1594"/>
    <w:rsid w:val="000F1465"/>
    <w:rsid w:val="000F487E"/>
    <w:rsid w:val="000F7FE0"/>
    <w:rsid w:val="001003C3"/>
    <w:rsid w:val="00101146"/>
    <w:rsid w:val="001019C5"/>
    <w:rsid w:val="00101C22"/>
    <w:rsid w:val="00102EA3"/>
    <w:rsid w:val="00104F0A"/>
    <w:rsid w:val="001175FF"/>
    <w:rsid w:val="00120D0B"/>
    <w:rsid w:val="0012310A"/>
    <w:rsid w:val="001243F0"/>
    <w:rsid w:val="0012496D"/>
    <w:rsid w:val="001269ED"/>
    <w:rsid w:val="001315E9"/>
    <w:rsid w:val="00133E4A"/>
    <w:rsid w:val="00134193"/>
    <w:rsid w:val="001342BF"/>
    <w:rsid w:val="001355D9"/>
    <w:rsid w:val="00137D74"/>
    <w:rsid w:val="001426E9"/>
    <w:rsid w:val="001427D2"/>
    <w:rsid w:val="00146B56"/>
    <w:rsid w:val="0015251B"/>
    <w:rsid w:val="00152B3F"/>
    <w:rsid w:val="0016024A"/>
    <w:rsid w:val="001630E8"/>
    <w:rsid w:val="001661B9"/>
    <w:rsid w:val="0017035A"/>
    <w:rsid w:val="0017254F"/>
    <w:rsid w:val="00175C7E"/>
    <w:rsid w:val="00177205"/>
    <w:rsid w:val="00177AEC"/>
    <w:rsid w:val="00181687"/>
    <w:rsid w:val="001832F8"/>
    <w:rsid w:val="00193378"/>
    <w:rsid w:val="0019626A"/>
    <w:rsid w:val="00197F42"/>
    <w:rsid w:val="001A0218"/>
    <w:rsid w:val="001A34D0"/>
    <w:rsid w:val="001A5CEC"/>
    <w:rsid w:val="001A65B0"/>
    <w:rsid w:val="001B39D6"/>
    <w:rsid w:val="001B66EC"/>
    <w:rsid w:val="001C29AF"/>
    <w:rsid w:val="001C6BB5"/>
    <w:rsid w:val="001C7752"/>
    <w:rsid w:val="001D2A5A"/>
    <w:rsid w:val="001D599B"/>
    <w:rsid w:val="001E467C"/>
    <w:rsid w:val="001E50D5"/>
    <w:rsid w:val="001E705B"/>
    <w:rsid w:val="00205FBC"/>
    <w:rsid w:val="0021486E"/>
    <w:rsid w:val="00215B27"/>
    <w:rsid w:val="0022401C"/>
    <w:rsid w:val="00226C2F"/>
    <w:rsid w:val="002321F9"/>
    <w:rsid w:val="00234A10"/>
    <w:rsid w:val="00236E9B"/>
    <w:rsid w:val="0024550F"/>
    <w:rsid w:val="00250FE2"/>
    <w:rsid w:val="002523D3"/>
    <w:rsid w:val="00253626"/>
    <w:rsid w:val="002578B0"/>
    <w:rsid w:val="002664A5"/>
    <w:rsid w:val="00274E63"/>
    <w:rsid w:val="00277E42"/>
    <w:rsid w:val="0028255D"/>
    <w:rsid w:val="00282C9D"/>
    <w:rsid w:val="002831C1"/>
    <w:rsid w:val="00291147"/>
    <w:rsid w:val="002920B4"/>
    <w:rsid w:val="0029296C"/>
    <w:rsid w:val="0029421E"/>
    <w:rsid w:val="0029550E"/>
    <w:rsid w:val="00295F80"/>
    <w:rsid w:val="002968D2"/>
    <w:rsid w:val="002A11EF"/>
    <w:rsid w:val="002A1C6A"/>
    <w:rsid w:val="002B1E17"/>
    <w:rsid w:val="002B2E72"/>
    <w:rsid w:val="002B3E1B"/>
    <w:rsid w:val="002B7051"/>
    <w:rsid w:val="002B7203"/>
    <w:rsid w:val="002C1D4A"/>
    <w:rsid w:val="002C2DB9"/>
    <w:rsid w:val="002C300B"/>
    <w:rsid w:val="002C3D5D"/>
    <w:rsid w:val="002D39CF"/>
    <w:rsid w:val="002E4D27"/>
    <w:rsid w:val="003102CA"/>
    <w:rsid w:val="00311C89"/>
    <w:rsid w:val="0031312C"/>
    <w:rsid w:val="00320972"/>
    <w:rsid w:val="00324CCA"/>
    <w:rsid w:val="00326C94"/>
    <w:rsid w:val="00330ED4"/>
    <w:rsid w:val="00331A7A"/>
    <w:rsid w:val="00333940"/>
    <w:rsid w:val="00335937"/>
    <w:rsid w:val="00335C17"/>
    <w:rsid w:val="00350904"/>
    <w:rsid w:val="00354663"/>
    <w:rsid w:val="00361AE5"/>
    <w:rsid w:val="00361DBD"/>
    <w:rsid w:val="003662F8"/>
    <w:rsid w:val="00371B60"/>
    <w:rsid w:val="00374843"/>
    <w:rsid w:val="00375149"/>
    <w:rsid w:val="0038090B"/>
    <w:rsid w:val="003814E9"/>
    <w:rsid w:val="00382342"/>
    <w:rsid w:val="00390B60"/>
    <w:rsid w:val="00394B3C"/>
    <w:rsid w:val="0039501D"/>
    <w:rsid w:val="003A053C"/>
    <w:rsid w:val="003A75CE"/>
    <w:rsid w:val="003A7DD6"/>
    <w:rsid w:val="003B18F4"/>
    <w:rsid w:val="003B1DBA"/>
    <w:rsid w:val="003B5E26"/>
    <w:rsid w:val="003B64E6"/>
    <w:rsid w:val="003B6A79"/>
    <w:rsid w:val="003C10C7"/>
    <w:rsid w:val="003C3202"/>
    <w:rsid w:val="003C4F44"/>
    <w:rsid w:val="003C7E66"/>
    <w:rsid w:val="003D1215"/>
    <w:rsid w:val="003D146F"/>
    <w:rsid w:val="003D1768"/>
    <w:rsid w:val="003D2EB7"/>
    <w:rsid w:val="003D4582"/>
    <w:rsid w:val="003D575B"/>
    <w:rsid w:val="003D5808"/>
    <w:rsid w:val="003E0A54"/>
    <w:rsid w:val="003E0E19"/>
    <w:rsid w:val="003E66AA"/>
    <w:rsid w:val="003E79C6"/>
    <w:rsid w:val="003F3C4D"/>
    <w:rsid w:val="003F44BD"/>
    <w:rsid w:val="003F49BB"/>
    <w:rsid w:val="003F4BCA"/>
    <w:rsid w:val="003F5D08"/>
    <w:rsid w:val="003F5DB5"/>
    <w:rsid w:val="00401E34"/>
    <w:rsid w:val="00406207"/>
    <w:rsid w:val="00410FE1"/>
    <w:rsid w:val="004132F9"/>
    <w:rsid w:val="004154E4"/>
    <w:rsid w:val="004158D3"/>
    <w:rsid w:val="004165FA"/>
    <w:rsid w:val="00423257"/>
    <w:rsid w:val="00423FD0"/>
    <w:rsid w:val="00425F18"/>
    <w:rsid w:val="00426FB5"/>
    <w:rsid w:val="00427094"/>
    <w:rsid w:val="00432663"/>
    <w:rsid w:val="00440EC2"/>
    <w:rsid w:val="00445A7A"/>
    <w:rsid w:val="004501EC"/>
    <w:rsid w:val="00450241"/>
    <w:rsid w:val="00451AF4"/>
    <w:rsid w:val="0045575C"/>
    <w:rsid w:val="00460642"/>
    <w:rsid w:val="00460A2B"/>
    <w:rsid w:val="0046122C"/>
    <w:rsid w:val="0046521D"/>
    <w:rsid w:val="00470BF9"/>
    <w:rsid w:val="00474518"/>
    <w:rsid w:val="00474CF6"/>
    <w:rsid w:val="00480480"/>
    <w:rsid w:val="0048273A"/>
    <w:rsid w:val="00493DA0"/>
    <w:rsid w:val="00495CD3"/>
    <w:rsid w:val="00495F36"/>
    <w:rsid w:val="004A1086"/>
    <w:rsid w:val="004A2D44"/>
    <w:rsid w:val="004A67EC"/>
    <w:rsid w:val="004B17F0"/>
    <w:rsid w:val="004B2857"/>
    <w:rsid w:val="004C11CD"/>
    <w:rsid w:val="004C42FE"/>
    <w:rsid w:val="004C499E"/>
    <w:rsid w:val="004C7740"/>
    <w:rsid w:val="004D0941"/>
    <w:rsid w:val="004D3353"/>
    <w:rsid w:val="004D4FDA"/>
    <w:rsid w:val="004D794A"/>
    <w:rsid w:val="004E2966"/>
    <w:rsid w:val="004F09FF"/>
    <w:rsid w:val="004F1964"/>
    <w:rsid w:val="004F32B8"/>
    <w:rsid w:val="004F4ACF"/>
    <w:rsid w:val="004F749B"/>
    <w:rsid w:val="005054E9"/>
    <w:rsid w:val="005058C6"/>
    <w:rsid w:val="0051297C"/>
    <w:rsid w:val="00514DB2"/>
    <w:rsid w:val="00517B2D"/>
    <w:rsid w:val="0052180D"/>
    <w:rsid w:val="00537598"/>
    <w:rsid w:val="0055001F"/>
    <w:rsid w:val="0055152E"/>
    <w:rsid w:val="005524C4"/>
    <w:rsid w:val="005527B0"/>
    <w:rsid w:val="005527D4"/>
    <w:rsid w:val="00552F70"/>
    <w:rsid w:val="0055648D"/>
    <w:rsid w:val="005575A8"/>
    <w:rsid w:val="00571521"/>
    <w:rsid w:val="00582008"/>
    <w:rsid w:val="005912A7"/>
    <w:rsid w:val="005939BE"/>
    <w:rsid w:val="005B57B6"/>
    <w:rsid w:val="005B7019"/>
    <w:rsid w:val="005C04C5"/>
    <w:rsid w:val="005E322B"/>
    <w:rsid w:val="005E340F"/>
    <w:rsid w:val="005E3F4E"/>
    <w:rsid w:val="005F0DEC"/>
    <w:rsid w:val="005F1DFB"/>
    <w:rsid w:val="005F3600"/>
    <w:rsid w:val="005F3622"/>
    <w:rsid w:val="005F3752"/>
    <w:rsid w:val="005F49E5"/>
    <w:rsid w:val="005F54B3"/>
    <w:rsid w:val="005F7187"/>
    <w:rsid w:val="00610E3B"/>
    <w:rsid w:val="0061376A"/>
    <w:rsid w:val="00613A6D"/>
    <w:rsid w:val="00617D90"/>
    <w:rsid w:val="00621A2B"/>
    <w:rsid w:val="006240C0"/>
    <w:rsid w:val="00625298"/>
    <w:rsid w:val="00626300"/>
    <w:rsid w:val="00630753"/>
    <w:rsid w:val="00631205"/>
    <w:rsid w:val="00633110"/>
    <w:rsid w:val="00633D7E"/>
    <w:rsid w:val="006342AA"/>
    <w:rsid w:val="006355F8"/>
    <w:rsid w:val="00652A96"/>
    <w:rsid w:val="00653C35"/>
    <w:rsid w:val="00656A1A"/>
    <w:rsid w:val="00656CF1"/>
    <w:rsid w:val="00666C3C"/>
    <w:rsid w:val="00666C7B"/>
    <w:rsid w:val="00671FC1"/>
    <w:rsid w:val="006732D5"/>
    <w:rsid w:val="00673A7C"/>
    <w:rsid w:val="006A016D"/>
    <w:rsid w:val="006A2909"/>
    <w:rsid w:val="006A52C5"/>
    <w:rsid w:val="006A68C8"/>
    <w:rsid w:val="006B09DF"/>
    <w:rsid w:val="006B172C"/>
    <w:rsid w:val="006B54FE"/>
    <w:rsid w:val="006B6B86"/>
    <w:rsid w:val="006C0A0E"/>
    <w:rsid w:val="006C3083"/>
    <w:rsid w:val="006D40FF"/>
    <w:rsid w:val="006D500E"/>
    <w:rsid w:val="006D64C6"/>
    <w:rsid w:val="006E2037"/>
    <w:rsid w:val="006F0EA9"/>
    <w:rsid w:val="006F1548"/>
    <w:rsid w:val="006F1906"/>
    <w:rsid w:val="006F5993"/>
    <w:rsid w:val="006F5DF5"/>
    <w:rsid w:val="006F7400"/>
    <w:rsid w:val="007002AC"/>
    <w:rsid w:val="007027D5"/>
    <w:rsid w:val="00705FFE"/>
    <w:rsid w:val="00707164"/>
    <w:rsid w:val="00707BBB"/>
    <w:rsid w:val="00710790"/>
    <w:rsid w:val="00711297"/>
    <w:rsid w:val="00715756"/>
    <w:rsid w:val="00716BDF"/>
    <w:rsid w:val="00716C67"/>
    <w:rsid w:val="0071756E"/>
    <w:rsid w:val="00717DF7"/>
    <w:rsid w:val="00720DEF"/>
    <w:rsid w:val="0072347E"/>
    <w:rsid w:val="00723A17"/>
    <w:rsid w:val="007250AF"/>
    <w:rsid w:val="00726A56"/>
    <w:rsid w:val="00726EA9"/>
    <w:rsid w:val="0073215C"/>
    <w:rsid w:val="00743A28"/>
    <w:rsid w:val="00745159"/>
    <w:rsid w:val="00746864"/>
    <w:rsid w:val="00750159"/>
    <w:rsid w:val="00750189"/>
    <w:rsid w:val="00751E61"/>
    <w:rsid w:val="00766984"/>
    <w:rsid w:val="00773D8D"/>
    <w:rsid w:val="007757FA"/>
    <w:rsid w:val="00777769"/>
    <w:rsid w:val="00777A36"/>
    <w:rsid w:val="00782E3C"/>
    <w:rsid w:val="007831A3"/>
    <w:rsid w:val="00784F6E"/>
    <w:rsid w:val="007876F2"/>
    <w:rsid w:val="00791B67"/>
    <w:rsid w:val="00792BD1"/>
    <w:rsid w:val="00796680"/>
    <w:rsid w:val="007A3A07"/>
    <w:rsid w:val="007A3FFB"/>
    <w:rsid w:val="007A7EB8"/>
    <w:rsid w:val="007B0C81"/>
    <w:rsid w:val="007B235C"/>
    <w:rsid w:val="007C21CB"/>
    <w:rsid w:val="007C2FE3"/>
    <w:rsid w:val="007C6552"/>
    <w:rsid w:val="007C7222"/>
    <w:rsid w:val="007C7C81"/>
    <w:rsid w:val="007D6201"/>
    <w:rsid w:val="007D7C6E"/>
    <w:rsid w:val="007E0FAA"/>
    <w:rsid w:val="007F1BA6"/>
    <w:rsid w:val="008047D0"/>
    <w:rsid w:val="00805312"/>
    <w:rsid w:val="008059F7"/>
    <w:rsid w:val="00806B2B"/>
    <w:rsid w:val="00815A4D"/>
    <w:rsid w:val="0081601A"/>
    <w:rsid w:val="00823AEA"/>
    <w:rsid w:val="008251E3"/>
    <w:rsid w:val="00825E3F"/>
    <w:rsid w:val="00827C04"/>
    <w:rsid w:val="008348BF"/>
    <w:rsid w:val="00841B55"/>
    <w:rsid w:val="00846866"/>
    <w:rsid w:val="00847269"/>
    <w:rsid w:val="008502A5"/>
    <w:rsid w:val="00851A41"/>
    <w:rsid w:val="00852BC2"/>
    <w:rsid w:val="0085768E"/>
    <w:rsid w:val="008613A0"/>
    <w:rsid w:val="00861C62"/>
    <w:rsid w:val="00864A76"/>
    <w:rsid w:val="00864B11"/>
    <w:rsid w:val="00880188"/>
    <w:rsid w:val="008866B3"/>
    <w:rsid w:val="00891EF7"/>
    <w:rsid w:val="00892A47"/>
    <w:rsid w:val="00896B39"/>
    <w:rsid w:val="008A254E"/>
    <w:rsid w:val="008B032C"/>
    <w:rsid w:val="008B05FC"/>
    <w:rsid w:val="008B3BC5"/>
    <w:rsid w:val="008B5F7C"/>
    <w:rsid w:val="008C279F"/>
    <w:rsid w:val="008C42B1"/>
    <w:rsid w:val="008D2AC3"/>
    <w:rsid w:val="008D423F"/>
    <w:rsid w:val="008D4ACD"/>
    <w:rsid w:val="008D6849"/>
    <w:rsid w:val="008E6492"/>
    <w:rsid w:val="008E7FE1"/>
    <w:rsid w:val="008F0C15"/>
    <w:rsid w:val="008F2744"/>
    <w:rsid w:val="008F2A25"/>
    <w:rsid w:val="008F3712"/>
    <w:rsid w:val="008F5D80"/>
    <w:rsid w:val="008F7E17"/>
    <w:rsid w:val="0090408B"/>
    <w:rsid w:val="00904AD1"/>
    <w:rsid w:val="009059BB"/>
    <w:rsid w:val="0090638A"/>
    <w:rsid w:val="00913265"/>
    <w:rsid w:val="00914F9E"/>
    <w:rsid w:val="00916F83"/>
    <w:rsid w:val="009226D2"/>
    <w:rsid w:val="00923CBC"/>
    <w:rsid w:val="00927005"/>
    <w:rsid w:val="00930248"/>
    <w:rsid w:val="00931802"/>
    <w:rsid w:val="0093649B"/>
    <w:rsid w:val="009432D4"/>
    <w:rsid w:val="009443FB"/>
    <w:rsid w:val="00944EC3"/>
    <w:rsid w:val="009479F9"/>
    <w:rsid w:val="00952BF5"/>
    <w:rsid w:val="00964889"/>
    <w:rsid w:val="009728E7"/>
    <w:rsid w:val="00974521"/>
    <w:rsid w:val="00974842"/>
    <w:rsid w:val="00982BD1"/>
    <w:rsid w:val="009868A9"/>
    <w:rsid w:val="00992538"/>
    <w:rsid w:val="00992FE4"/>
    <w:rsid w:val="0099684C"/>
    <w:rsid w:val="0099775E"/>
    <w:rsid w:val="009A0FDF"/>
    <w:rsid w:val="009A2B29"/>
    <w:rsid w:val="009A3417"/>
    <w:rsid w:val="009A4659"/>
    <w:rsid w:val="009A4EB9"/>
    <w:rsid w:val="009B102D"/>
    <w:rsid w:val="009B105B"/>
    <w:rsid w:val="009B29A8"/>
    <w:rsid w:val="009B2F45"/>
    <w:rsid w:val="009B7B00"/>
    <w:rsid w:val="009B7D1C"/>
    <w:rsid w:val="009C21C2"/>
    <w:rsid w:val="009C3A9F"/>
    <w:rsid w:val="009C6AF6"/>
    <w:rsid w:val="009D0E82"/>
    <w:rsid w:val="009D7CA7"/>
    <w:rsid w:val="009E6308"/>
    <w:rsid w:val="009E7373"/>
    <w:rsid w:val="009E7932"/>
    <w:rsid w:val="009E7F1B"/>
    <w:rsid w:val="009F6D54"/>
    <w:rsid w:val="009F7D57"/>
    <w:rsid w:val="00A00862"/>
    <w:rsid w:val="00A02EDB"/>
    <w:rsid w:val="00A0441B"/>
    <w:rsid w:val="00A178D6"/>
    <w:rsid w:val="00A21DDE"/>
    <w:rsid w:val="00A41E9E"/>
    <w:rsid w:val="00A535EC"/>
    <w:rsid w:val="00A5491D"/>
    <w:rsid w:val="00A61FD1"/>
    <w:rsid w:val="00A63896"/>
    <w:rsid w:val="00A66B5E"/>
    <w:rsid w:val="00A74B3B"/>
    <w:rsid w:val="00A7569C"/>
    <w:rsid w:val="00A8324B"/>
    <w:rsid w:val="00A91B03"/>
    <w:rsid w:val="00A95CE0"/>
    <w:rsid w:val="00A970C5"/>
    <w:rsid w:val="00AA150A"/>
    <w:rsid w:val="00AA4CA8"/>
    <w:rsid w:val="00AB31D0"/>
    <w:rsid w:val="00AC6F75"/>
    <w:rsid w:val="00AD11D1"/>
    <w:rsid w:val="00AD5FB9"/>
    <w:rsid w:val="00AE39AA"/>
    <w:rsid w:val="00AF138B"/>
    <w:rsid w:val="00AF371A"/>
    <w:rsid w:val="00AF4237"/>
    <w:rsid w:val="00AF4B65"/>
    <w:rsid w:val="00B00158"/>
    <w:rsid w:val="00B003A6"/>
    <w:rsid w:val="00B01124"/>
    <w:rsid w:val="00B03532"/>
    <w:rsid w:val="00B0403C"/>
    <w:rsid w:val="00B065EF"/>
    <w:rsid w:val="00B100A1"/>
    <w:rsid w:val="00B102CE"/>
    <w:rsid w:val="00B10541"/>
    <w:rsid w:val="00B1119A"/>
    <w:rsid w:val="00B14838"/>
    <w:rsid w:val="00B25732"/>
    <w:rsid w:val="00B2676E"/>
    <w:rsid w:val="00B270D8"/>
    <w:rsid w:val="00B32AD3"/>
    <w:rsid w:val="00B3342E"/>
    <w:rsid w:val="00B355FC"/>
    <w:rsid w:val="00B40032"/>
    <w:rsid w:val="00B41377"/>
    <w:rsid w:val="00B41899"/>
    <w:rsid w:val="00B42623"/>
    <w:rsid w:val="00B44604"/>
    <w:rsid w:val="00B46ED6"/>
    <w:rsid w:val="00B51238"/>
    <w:rsid w:val="00B532F6"/>
    <w:rsid w:val="00B55B74"/>
    <w:rsid w:val="00B56F8B"/>
    <w:rsid w:val="00B60EA5"/>
    <w:rsid w:val="00B655CE"/>
    <w:rsid w:val="00B670BA"/>
    <w:rsid w:val="00B71B6E"/>
    <w:rsid w:val="00B74082"/>
    <w:rsid w:val="00B74839"/>
    <w:rsid w:val="00B778A0"/>
    <w:rsid w:val="00B917BF"/>
    <w:rsid w:val="00B94B24"/>
    <w:rsid w:val="00BA563E"/>
    <w:rsid w:val="00BA5D21"/>
    <w:rsid w:val="00BB262E"/>
    <w:rsid w:val="00BC455E"/>
    <w:rsid w:val="00BC7926"/>
    <w:rsid w:val="00BD0FDC"/>
    <w:rsid w:val="00BD3643"/>
    <w:rsid w:val="00BD53FF"/>
    <w:rsid w:val="00BD73B0"/>
    <w:rsid w:val="00BE313B"/>
    <w:rsid w:val="00BE3615"/>
    <w:rsid w:val="00BE5D7E"/>
    <w:rsid w:val="00BE5DD5"/>
    <w:rsid w:val="00BE706F"/>
    <w:rsid w:val="00BF1769"/>
    <w:rsid w:val="00BF4969"/>
    <w:rsid w:val="00BF6852"/>
    <w:rsid w:val="00C03537"/>
    <w:rsid w:val="00C07046"/>
    <w:rsid w:val="00C076BB"/>
    <w:rsid w:val="00C078C5"/>
    <w:rsid w:val="00C12370"/>
    <w:rsid w:val="00C16506"/>
    <w:rsid w:val="00C172A2"/>
    <w:rsid w:val="00C2237F"/>
    <w:rsid w:val="00C23D6B"/>
    <w:rsid w:val="00C26685"/>
    <w:rsid w:val="00C275BB"/>
    <w:rsid w:val="00C32AE8"/>
    <w:rsid w:val="00C37702"/>
    <w:rsid w:val="00C37DE5"/>
    <w:rsid w:val="00C418AB"/>
    <w:rsid w:val="00C41A52"/>
    <w:rsid w:val="00C426D9"/>
    <w:rsid w:val="00C44259"/>
    <w:rsid w:val="00C44460"/>
    <w:rsid w:val="00C455E0"/>
    <w:rsid w:val="00C45C39"/>
    <w:rsid w:val="00C476C0"/>
    <w:rsid w:val="00C47765"/>
    <w:rsid w:val="00C51E9F"/>
    <w:rsid w:val="00C5425C"/>
    <w:rsid w:val="00C5496E"/>
    <w:rsid w:val="00C57D67"/>
    <w:rsid w:val="00C6473C"/>
    <w:rsid w:val="00C660D0"/>
    <w:rsid w:val="00C67BF4"/>
    <w:rsid w:val="00C70151"/>
    <w:rsid w:val="00C7021A"/>
    <w:rsid w:val="00C70BDE"/>
    <w:rsid w:val="00C73F06"/>
    <w:rsid w:val="00C755BB"/>
    <w:rsid w:val="00C76461"/>
    <w:rsid w:val="00C77C3C"/>
    <w:rsid w:val="00C85983"/>
    <w:rsid w:val="00C87AA6"/>
    <w:rsid w:val="00C943B2"/>
    <w:rsid w:val="00C967BA"/>
    <w:rsid w:val="00C972C4"/>
    <w:rsid w:val="00C97402"/>
    <w:rsid w:val="00C97832"/>
    <w:rsid w:val="00CA2167"/>
    <w:rsid w:val="00CA6B57"/>
    <w:rsid w:val="00CA73CC"/>
    <w:rsid w:val="00CA7C2A"/>
    <w:rsid w:val="00CB0586"/>
    <w:rsid w:val="00CB1A93"/>
    <w:rsid w:val="00CB6624"/>
    <w:rsid w:val="00CB6B3B"/>
    <w:rsid w:val="00CB7F0D"/>
    <w:rsid w:val="00CC503E"/>
    <w:rsid w:val="00CC7512"/>
    <w:rsid w:val="00CD3213"/>
    <w:rsid w:val="00CD66C6"/>
    <w:rsid w:val="00CE63DC"/>
    <w:rsid w:val="00CE70D4"/>
    <w:rsid w:val="00CF3866"/>
    <w:rsid w:val="00D03066"/>
    <w:rsid w:val="00D10448"/>
    <w:rsid w:val="00D22E2A"/>
    <w:rsid w:val="00D26B86"/>
    <w:rsid w:val="00D33275"/>
    <w:rsid w:val="00D332A9"/>
    <w:rsid w:val="00D34672"/>
    <w:rsid w:val="00D35C4A"/>
    <w:rsid w:val="00D364FB"/>
    <w:rsid w:val="00D36C84"/>
    <w:rsid w:val="00D37249"/>
    <w:rsid w:val="00D41835"/>
    <w:rsid w:val="00D42581"/>
    <w:rsid w:val="00D42EAD"/>
    <w:rsid w:val="00D43ECE"/>
    <w:rsid w:val="00D464E6"/>
    <w:rsid w:val="00D46DF1"/>
    <w:rsid w:val="00D47695"/>
    <w:rsid w:val="00D51BFF"/>
    <w:rsid w:val="00D51C35"/>
    <w:rsid w:val="00D637F0"/>
    <w:rsid w:val="00D65C32"/>
    <w:rsid w:val="00D730B6"/>
    <w:rsid w:val="00D74241"/>
    <w:rsid w:val="00D825DF"/>
    <w:rsid w:val="00D827B7"/>
    <w:rsid w:val="00D82DD4"/>
    <w:rsid w:val="00D835ED"/>
    <w:rsid w:val="00D838BF"/>
    <w:rsid w:val="00D864C6"/>
    <w:rsid w:val="00D86C9D"/>
    <w:rsid w:val="00D90A21"/>
    <w:rsid w:val="00DA30E6"/>
    <w:rsid w:val="00DA793D"/>
    <w:rsid w:val="00DB24F9"/>
    <w:rsid w:val="00DC14E7"/>
    <w:rsid w:val="00DC326F"/>
    <w:rsid w:val="00DD5D6D"/>
    <w:rsid w:val="00DD73EB"/>
    <w:rsid w:val="00DD7428"/>
    <w:rsid w:val="00DE6AA5"/>
    <w:rsid w:val="00DF5469"/>
    <w:rsid w:val="00E01210"/>
    <w:rsid w:val="00E017A7"/>
    <w:rsid w:val="00E14F4D"/>
    <w:rsid w:val="00E26FAD"/>
    <w:rsid w:val="00E3031C"/>
    <w:rsid w:val="00E34339"/>
    <w:rsid w:val="00E35225"/>
    <w:rsid w:val="00E37172"/>
    <w:rsid w:val="00E417BF"/>
    <w:rsid w:val="00E41CFF"/>
    <w:rsid w:val="00E42D53"/>
    <w:rsid w:val="00E500AF"/>
    <w:rsid w:val="00E570EA"/>
    <w:rsid w:val="00E612C0"/>
    <w:rsid w:val="00E618E3"/>
    <w:rsid w:val="00E66B8F"/>
    <w:rsid w:val="00E67C54"/>
    <w:rsid w:val="00E733D8"/>
    <w:rsid w:val="00E73D4B"/>
    <w:rsid w:val="00E743C1"/>
    <w:rsid w:val="00E74AD9"/>
    <w:rsid w:val="00E750F2"/>
    <w:rsid w:val="00E7533D"/>
    <w:rsid w:val="00E75818"/>
    <w:rsid w:val="00E76D1E"/>
    <w:rsid w:val="00E77B8A"/>
    <w:rsid w:val="00E80417"/>
    <w:rsid w:val="00E82D08"/>
    <w:rsid w:val="00E843AB"/>
    <w:rsid w:val="00E84781"/>
    <w:rsid w:val="00E86324"/>
    <w:rsid w:val="00E93BC5"/>
    <w:rsid w:val="00E947D1"/>
    <w:rsid w:val="00EA30BA"/>
    <w:rsid w:val="00EB2590"/>
    <w:rsid w:val="00EC0375"/>
    <w:rsid w:val="00EC1131"/>
    <w:rsid w:val="00EC25EC"/>
    <w:rsid w:val="00EC2CA3"/>
    <w:rsid w:val="00ED0DDE"/>
    <w:rsid w:val="00ED1B85"/>
    <w:rsid w:val="00ED414B"/>
    <w:rsid w:val="00ED63FB"/>
    <w:rsid w:val="00EE05FD"/>
    <w:rsid w:val="00EE3418"/>
    <w:rsid w:val="00EF0B8C"/>
    <w:rsid w:val="00EF0F88"/>
    <w:rsid w:val="00EF1BE0"/>
    <w:rsid w:val="00F01CAD"/>
    <w:rsid w:val="00F1056F"/>
    <w:rsid w:val="00F12096"/>
    <w:rsid w:val="00F2000E"/>
    <w:rsid w:val="00F2361C"/>
    <w:rsid w:val="00F267FE"/>
    <w:rsid w:val="00F314D1"/>
    <w:rsid w:val="00F334A1"/>
    <w:rsid w:val="00F53917"/>
    <w:rsid w:val="00F5658C"/>
    <w:rsid w:val="00F60701"/>
    <w:rsid w:val="00F63687"/>
    <w:rsid w:val="00F706AC"/>
    <w:rsid w:val="00F7142B"/>
    <w:rsid w:val="00F722CD"/>
    <w:rsid w:val="00F732B7"/>
    <w:rsid w:val="00F767C8"/>
    <w:rsid w:val="00F817A4"/>
    <w:rsid w:val="00F827FD"/>
    <w:rsid w:val="00F864A8"/>
    <w:rsid w:val="00F90AAE"/>
    <w:rsid w:val="00F9146F"/>
    <w:rsid w:val="00F94598"/>
    <w:rsid w:val="00F9647C"/>
    <w:rsid w:val="00F9663B"/>
    <w:rsid w:val="00F96DCE"/>
    <w:rsid w:val="00FA3DA2"/>
    <w:rsid w:val="00FA5B37"/>
    <w:rsid w:val="00FA6A80"/>
    <w:rsid w:val="00FA6DED"/>
    <w:rsid w:val="00FB58B2"/>
    <w:rsid w:val="00FC1DFB"/>
    <w:rsid w:val="00FC250F"/>
    <w:rsid w:val="00FD27A5"/>
    <w:rsid w:val="00FD2D7E"/>
    <w:rsid w:val="00FD3527"/>
    <w:rsid w:val="00FD62D1"/>
    <w:rsid w:val="00FD6383"/>
    <w:rsid w:val="00FE1C16"/>
    <w:rsid w:val="00FE1D5C"/>
    <w:rsid w:val="00FE5F96"/>
    <w:rsid w:val="00FF006E"/>
    <w:rsid w:val="00FF618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F9BF5"/>
  <w15:docId w15:val="{4EB8BDB1-8A81-554C-B439-5679433F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5ED"/>
    <w:pPr>
      <w:spacing w:after="0" w:line="240" w:lineRule="auto"/>
    </w:pPr>
    <w:rPr>
      <w:rFonts w:ascii="Times New Roman" w:eastAsia="Times New Roman" w:hAnsi="Times New Roman" w:cs="Times New Roman"/>
      <w:sz w:val="24"/>
      <w:szCs w:val="24"/>
      <w:lang w:eastAsia="es-ES_tradnl"/>
    </w:rPr>
  </w:style>
  <w:style w:type="paragraph" w:styleId="Ttulo3">
    <w:name w:val="heading 3"/>
    <w:basedOn w:val="Normal"/>
    <w:next w:val="Normal"/>
    <w:link w:val="Ttulo3Car"/>
    <w:uiPriority w:val="9"/>
    <w:semiHidden/>
    <w:unhideWhenUsed/>
    <w:qFormat/>
    <w:rsid w:val="00E017A7"/>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spacing w:after="200" w:line="276"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C660D0"/>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562B1"/>
  </w:style>
  <w:style w:type="character" w:styleId="Hipervnculo">
    <w:name w:val="Hyperlink"/>
    <w:basedOn w:val="Fuentedeprrafopredeter"/>
    <w:uiPriority w:val="99"/>
    <w:unhideWhenUsed/>
    <w:rsid w:val="002B1E17"/>
    <w:rPr>
      <w:color w:val="0000FF" w:themeColor="hyperlink"/>
      <w:u w:val="single"/>
    </w:rPr>
  </w:style>
  <w:style w:type="character" w:customStyle="1" w:styleId="Mencinsinresolver1">
    <w:name w:val="Mención sin resolver1"/>
    <w:basedOn w:val="Fuentedeprrafopredeter"/>
    <w:uiPriority w:val="99"/>
    <w:semiHidden/>
    <w:unhideWhenUsed/>
    <w:rsid w:val="00C47765"/>
    <w:rPr>
      <w:color w:val="605E5C"/>
      <w:shd w:val="clear" w:color="auto" w:fill="E1DFDD"/>
    </w:rPr>
  </w:style>
  <w:style w:type="character" w:styleId="Hipervnculovisitado">
    <w:name w:val="FollowedHyperlink"/>
    <w:basedOn w:val="Fuentedeprrafopredeter"/>
    <w:uiPriority w:val="99"/>
    <w:semiHidden/>
    <w:unhideWhenUsed/>
    <w:rsid w:val="00F334A1"/>
    <w:rPr>
      <w:color w:val="800080" w:themeColor="followedHyperlink"/>
      <w:u w:val="single"/>
    </w:rPr>
  </w:style>
  <w:style w:type="character" w:customStyle="1" w:styleId="Mencinsinresolver2">
    <w:name w:val="Mención sin resolver2"/>
    <w:basedOn w:val="Fuentedeprrafopredeter"/>
    <w:uiPriority w:val="99"/>
    <w:semiHidden/>
    <w:unhideWhenUsed/>
    <w:rsid w:val="00C5425C"/>
    <w:rPr>
      <w:color w:val="605E5C"/>
      <w:shd w:val="clear" w:color="auto" w:fill="E1DFDD"/>
    </w:rPr>
  </w:style>
  <w:style w:type="paragraph" w:styleId="Textonotapie">
    <w:name w:val="footnote text"/>
    <w:basedOn w:val="Normal"/>
    <w:link w:val="TextonotapieCar"/>
    <w:uiPriority w:val="99"/>
    <w:semiHidden/>
    <w:unhideWhenUsed/>
    <w:rsid w:val="00C5425C"/>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C5425C"/>
    <w:rPr>
      <w:sz w:val="20"/>
      <w:szCs w:val="20"/>
    </w:rPr>
  </w:style>
  <w:style w:type="character" w:styleId="Refdenotaalpie">
    <w:name w:val="footnote reference"/>
    <w:basedOn w:val="Fuentedeprrafopredeter"/>
    <w:uiPriority w:val="99"/>
    <w:semiHidden/>
    <w:unhideWhenUsed/>
    <w:rsid w:val="00C5425C"/>
    <w:rPr>
      <w:vertAlign w:val="superscript"/>
    </w:rPr>
  </w:style>
  <w:style w:type="character" w:styleId="Mencinsinresolver">
    <w:name w:val="Unresolved Mention"/>
    <w:basedOn w:val="Fuentedeprrafopredeter"/>
    <w:uiPriority w:val="99"/>
    <w:semiHidden/>
    <w:unhideWhenUsed/>
    <w:rsid w:val="006240C0"/>
    <w:rPr>
      <w:color w:val="605E5C"/>
      <w:shd w:val="clear" w:color="auto" w:fill="E1DFDD"/>
    </w:rPr>
  </w:style>
  <w:style w:type="character" w:customStyle="1" w:styleId="Ttulo3Car">
    <w:name w:val="Título 3 Car"/>
    <w:basedOn w:val="Fuentedeprrafopredeter"/>
    <w:link w:val="Ttulo3"/>
    <w:uiPriority w:val="9"/>
    <w:semiHidden/>
    <w:rsid w:val="00E017A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131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198">
      <w:bodyDiv w:val="1"/>
      <w:marLeft w:val="0"/>
      <w:marRight w:val="0"/>
      <w:marTop w:val="0"/>
      <w:marBottom w:val="0"/>
      <w:divBdr>
        <w:top w:val="none" w:sz="0" w:space="0" w:color="auto"/>
        <w:left w:val="none" w:sz="0" w:space="0" w:color="auto"/>
        <w:bottom w:val="none" w:sz="0" w:space="0" w:color="auto"/>
        <w:right w:val="none" w:sz="0" w:space="0" w:color="auto"/>
      </w:divBdr>
    </w:div>
    <w:div w:id="12079837">
      <w:bodyDiv w:val="1"/>
      <w:marLeft w:val="0"/>
      <w:marRight w:val="0"/>
      <w:marTop w:val="0"/>
      <w:marBottom w:val="0"/>
      <w:divBdr>
        <w:top w:val="none" w:sz="0" w:space="0" w:color="auto"/>
        <w:left w:val="none" w:sz="0" w:space="0" w:color="auto"/>
        <w:bottom w:val="none" w:sz="0" w:space="0" w:color="auto"/>
        <w:right w:val="none" w:sz="0" w:space="0" w:color="auto"/>
      </w:divBdr>
    </w:div>
    <w:div w:id="23865775">
      <w:bodyDiv w:val="1"/>
      <w:marLeft w:val="0"/>
      <w:marRight w:val="0"/>
      <w:marTop w:val="0"/>
      <w:marBottom w:val="0"/>
      <w:divBdr>
        <w:top w:val="none" w:sz="0" w:space="0" w:color="auto"/>
        <w:left w:val="none" w:sz="0" w:space="0" w:color="auto"/>
        <w:bottom w:val="none" w:sz="0" w:space="0" w:color="auto"/>
        <w:right w:val="none" w:sz="0" w:space="0" w:color="auto"/>
      </w:divBdr>
    </w:div>
    <w:div w:id="25059497">
      <w:bodyDiv w:val="1"/>
      <w:marLeft w:val="0"/>
      <w:marRight w:val="0"/>
      <w:marTop w:val="0"/>
      <w:marBottom w:val="0"/>
      <w:divBdr>
        <w:top w:val="none" w:sz="0" w:space="0" w:color="auto"/>
        <w:left w:val="none" w:sz="0" w:space="0" w:color="auto"/>
        <w:bottom w:val="none" w:sz="0" w:space="0" w:color="auto"/>
        <w:right w:val="none" w:sz="0" w:space="0" w:color="auto"/>
      </w:divBdr>
    </w:div>
    <w:div w:id="29691072">
      <w:bodyDiv w:val="1"/>
      <w:marLeft w:val="0"/>
      <w:marRight w:val="0"/>
      <w:marTop w:val="0"/>
      <w:marBottom w:val="0"/>
      <w:divBdr>
        <w:top w:val="none" w:sz="0" w:space="0" w:color="auto"/>
        <w:left w:val="none" w:sz="0" w:space="0" w:color="auto"/>
        <w:bottom w:val="none" w:sz="0" w:space="0" w:color="auto"/>
        <w:right w:val="none" w:sz="0" w:space="0" w:color="auto"/>
      </w:divBdr>
    </w:div>
    <w:div w:id="35013825">
      <w:bodyDiv w:val="1"/>
      <w:marLeft w:val="0"/>
      <w:marRight w:val="0"/>
      <w:marTop w:val="0"/>
      <w:marBottom w:val="0"/>
      <w:divBdr>
        <w:top w:val="none" w:sz="0" w:space="0" w:color="auto"/>
        <w:left w:val="none" w:sz="0" w:space="0" w:color="auto"/>
        <w:bottom w:val="none" w:sz="0" w:space="0" w:color="auto"/>
        <w:right w:val="none" w:sz="0" w:space="0" w:color="auto"/>
      </w:divBdr>
    </w:div>
    <w:div w:id="41099239">
      <w:bodyDiv w:val="1"/>
      <w:marLeft w:val="0"/>
      <w:marRight w:val="0"/>
      <w:marTop w:val="0"/>
      <w:marBottom w:val="0"/>
      <w:divBdr>
        <w:top w:val="none" w:sz="0" w:space="0" w:color="auto"/>
        <w:left w:val="none" w:sz="0" w:space="0" w:color="auto"/>
        <w:bottom w:val="none" w:sz="0" w:space="0" w:color="auto"/>
        <w:right w:val="none" w:sz="0" w:space="0" w:color="auto"/>
      </w:divBdr>
    </w:div>
    <w:div w:id="41904112">
      <w:bodyDiv w:val="1"/>
      <w:marLeft w:val="0"/>
      <w:marRight w:val="0"/>
      <w:marTop w:val="0"/>
      <w:marBottom w:val="0"/>
      <w:divBdr>
        <w:top w:val="none" w:sz="0" w:space="0" w:color="auto"/>
        <w:left w:val="none" w:sz="0" w:space="0" w:color="auto"/>
        <w:bottom w:val="none" w:sz="0" w:space="0" w:color="auto"/>
        <w:right w:val="none" w:sz="0" w:space="0" w:color="auto"/>
      </w:divBdr>
      <w:divsChild>
        <w:div w:id="1677994020">
          <w:marLeft w:val="0"/>
          <w:marRight w:val="0"/>
          <w:marTop w:val="0"/>
          <w:marBottom w:val="0"/>
          <w:divBdr>
            <w:top w:val="none" w:sz="0" w:space="0" w:color="auto"/>
            <w:left w:val="none" w:sz="0" w:space="0" w:color="auto"/>
            <w:bottom w:val="none" w:sz="0" w:space="0" w:color="auto"/>
            <w:right w:val="none" w:sz="0" w:space="0" w:color="auto"/>
          </w:divBdr>
          <w:divsChild>
            <w:div w:id="1142387205">
              <w:marLeft w:val="0"/>
              <w:marRight w:val="0"/>
              <w:marTop w:val="0"/>
              <w:marBottom w:val="0"/>
              <w:divBdr>
                <w:top w:val="none" w:sz="0" w:space="0" w:color="auto"/>
                <w:left w:val="none" w:sz="0" w:space="0" w:color="auto"/>
                <w:bottom w:val="none" w:sz="0" w:space="0" w:color="auto"/>
                <w:right w:val="none" w:sz="0" w:space="0" w:color="auto"/>
              </w:divBdr>
              <w:divsChild>
                <w:div w:id="1794904544">
                  <w:marLeft w:val="0"/>
                  <w:marRight w:val="0"/>
                  <w:marTop w:val="0"/>
                  <w:marBottom w:val="0"/>
                  <w:divBdr>
                    <w:top w:val="none" w:sz="0" w:space="0" w:color="auto"/>
                    <w:left w:val="none" w:sz="0" w:space="0" w:color="auto"/>
                    <w:bottom w:val="none" w:sz="0" w:space="0" w:color="auto"/>
                    <w:right w:val="none" w:sz="0" w:space="0" w:color="auto"/>
                  </w:divBdr>
                  <w:divsChild>
                    <w:div w:id="510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1527">
      <w:bodyDiv w:val="1"/>
      <w:marLeft w:val="0"/>
      <w:marRight w:val="0"/>
      <w:marTop w:val="0"/>
      <w:marBottom w:val="0"/>
      <w:divBdr>
        <w:top w:val="none" w:sz="0" w:space="0" w:color="auto"/>
        <w:left w:val="none" w:sz="0" w:space="0" w:color="auto"/>
        <w:bottom w:val="none" w:sz="0" w:space="0" w:color="auto"/>
        <w:right w:val="none" w:sz="0" w:space="0" w:color="auto"/>
      </w:divBdr>
    </w:div>
    <w:div w:id="50154982">
      <w:bodyDiv w:val="1"/>
      <w:marLeft w:val="0"/>
      <w:marRight w:val="0"/>
      <w:marTop w:val="0"/>
      <w:marBottom w:val="0"/>
      <w:divBdr>
        <w:top w:val="none" w:sz="0" w:space="0" w:color="auto"/>
        <w:left w:val="none" w:sz="0" w:space="0" w:color="auto"/>
        <w:bottom w:val="none" w:sz="0" w:space="0" w:color="auto"/>
        <w:right w:val="none" w:sz="0" w:space="0" w:color="auto"/>
      </w:divBdr>
    </w:div>
    <w:div w:id="53894008">
      <w:bodyDiv w:val="1"/>
      <w:marLeft w:val="0"/>
      <w:marRight w:val="0"/>
      <w:marTop w:val="0"/>
      <w:marBottom w:val="0"/>
      <w:divBdr>
        <w:top w:val="none" w:sz="0" w:space="0" w:color="auto"/>
        <w:left w:val="none" w:sz="0" w:space="0" w:color="auto"/>
        <w:bottom w:val="none" w:sz="0" w:space="0" w:color="auto"/>
        <w:right w:val="none" w:sz="0" w:space="0" w:color="auto"/>
      </w:divBdr>
      <w:divsChild>
        <w:div w:id="747382009">
          <w:marLeft w:val="0"/>
          <w:marRight w:val="0"/>
          <w:marTop w:val="0"/>
          <w:marBottom w:val="0"/>
          <w:divBdr>
            <w:top w:val="none" w:sz="0" w:space="0" w:color="auto"/>
            <w:left w:val="none" w:sz="0" w:space="0" w:color="auto"/>
            <w:bottom w:val="none" w:sz="0" w:space="0" w:color="auto"/>
            <w:right w:val="none" w:sz="0" w:space="0" w:color="auto"/>
          </w:divBdr>
        </w:div>
      </w:divsChild>
    </w:div>
    <w:div w:id="60105869">
      <w:bodyDiv w:val="1"/>
      <w:marLeft w:val="0"/>
      <w:marRight w:val="0"/>
      <w:marTop w:val="0"/>
      <w:marBottom w:val="0"/>
      <w:divBdr>
        <w:top w:val="none" w:sz="0" w:space="0" w:color="auto"/>
        <w:left w:val="none" w:sz="0" w:space="0" w:color="auto"/>
        <w:bottom w:val="none" w:sz="0" w:space="0" w:color="auto"/>
        <w:right w:val="none" w:sz="0" w:space="0" w:color="auto"/>
      </w:divBdr>
    </w:div>
    <w:div w:id="66651212">
      <w:bodyDiv w:val="1"/>
      <w:marLeft w:val="0"/>
      <w:marRight w:val="0"/>
      <w:marTop w:val="0"/>
      <w:marBottom w:val="0"/>
      <w:divBdr>
        <w:top w:val="none" w:sz="0" w:space="0" w:color="auto"/>
        <w:left w:val="none" w:sz="0" w:space="0" w:color="auto"/>
        <w:bottom w:val="none" w:sz="0" w:space="0" w:color="auto"/>
        <w:right w:val="none" w:sz="0" w:space="0" w:color="auto"/>
      </w:divBdr>
    </w:div>
    <w:div w:id="73403755">
      <w:bodyDiv w:val="1"/>
      <w:marLeft w:val="0"/>
      <w:marRight w:val="0"/>
      <w:marTop w:val="0"/>
      <w:marBottom w:val="0"/>
      <w:divBdr>
        <w:top w:val="none" w:sz="0" w:space="0" w:color="auto"/>
        <w:left w:val="none" w:sz="0" w:space="0" w:color="auto"/>
        <w:bottom w:val="none" w:sz="0" w:space="0" w:color="auto"/>
        <w:right w:val="none" w:sz="0" w:space="0" w:color="auto"/>
      </w:divBdr>
    </w:div>
    <w:div w:id="76289904">
      <w:bodyDiv w:val="1"/>
      <w:marLeft w:val="0"/>
      <w:marRight w:val="0"/>
      <w:marTop w:val="0"/>
      <w:marBottom w:val="0"/>
      <w:divBdr>
        <w:top w:val="none" w:sz="0" w:space="0" w:color="auto"/>
        <w:left w:val="none" w:sz="0" w:space="0" w:color="auto"/>
        <w:bottom w:val="none" w:sz="0" w:space="0" w:color="auto"/>
        <w:right w:val="none" w:sz="0" w:space="0" w:color="auto"/>
      </w:divBdr>
    </w:div>
    <w:div w:id="93940625">
      <w:bodyDiv w:val="1"/>
      <w:marLeft w:val="0"/>
      <w:marRight w:val="0"/>
      <w:marTop w:val="0"/>
      <w:marBottom w:val="0"/>
      <w:divBdr>
        <w:top w:val="none" w:sz="0" w:space="0" w:color="auto"/>
        <w:left w:val="none" w:sz="0" w:space="0" w:color="auto"/>
        <w:bottom w:val="none" w:sz="0" w:space="0" w:color="auto"/>
        <w:right w:val="none" w:sz="0" w:space="0" w:color="auto"/>
      </w:divBdr>
      <w:divsChild>
        <w:div w:id="1430078842">
          <w:marLeft w:val="0"/>
          <w:marRight w:val="0"/>
          <w:marTop w:val="0"/>
          <w:marBottom w:val="0"/>
          <w:divBdr>
            <w:top w:val="none" w:sz="0" w:space="0" w:color="auto"/>
            <w:left w:val="none" w:sz="0" w:space="0" w:color="auto"/>
            <w:bottom w:val="none" w:sz="0" w:space="0" w:color="auto"/>
            <w:right w:val="none" w:sz="0" w:space="0" w:color="auto"/>
          </w:divBdr>
          <w:divsChild>
            <w:div w:id="65299148">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 w:id="106824522">
      <w:bodyDiv w:val="1"/>
      <w:marLeft w:val="0"/>
      <w:marRight w:val="0"/>
      <w:marTop w:val="0"/>
      <w:marBottom w:val="0"/>
      <w:divBdr>
        <w:top w:val="none" w:sz="0" w:space="0" w:color="auto"/>
        <w:left w:val="none" w:sz="0" w:space="0" w:color="auto"/>
        <w:bottom w:val="none" w:sz="0" w:space="0" w:color="auto"/>
        <w:right w:val="none" w:sz="0" w:space="0" w:color="auto"/>
      </w:divBdr>
    </w:div>
    <w:div w:id="111287261">
      <w:bodyDiv w:val="1"/>
      <w:marLeft w:val="0"/>
      <w:marRight w:val="0"/>
      <w:marTop w:val="0"/>
      <w:marBottom w:val="0"/>
      <w:divBdr>
        <w:top w:val="none" w:sz="0" w:space="0" w:color="auto"/>
        <w:left w:val="none" w:sz="0" w:space="0" w:color="auto"/>
        <w:bottom w:val="none" w:sz="0" w:space="0" w:color="auto"/>
        <w:right w:val="none" w:sz="0" w:space="0" w:color="auto"/>
      </w:divBdr>
    </w:div>
    <w:div w:id="120390313">
      <w:bodyDiv w:val="1"/>
      <w:marLeft w:val="0"/>
      <w:marRight w:val="0"/>
      <w:marTop w:val="0"/>
      <w:marBottom w:val="0"/>
      <w:divBdr>
        <w:top w:val="none" w:sz="0" w:space="0" w:color="auto"/>
        <w:left w:val="none" w:sz="0" w:space="0" w:color="auto"/>
        <w:bottom w:val="none" w:sz="0" w:space="0" w:color="auto"/>
        <w:right w:val="none" w:sz="0" w:space="0" w:color="auto"/>
      </w:divBdr>
    </w:div>
    <w:div w:id="128398917">
      <w:bodyDiv w:val="1"/>
      <w:marLeft w:val="0"/>
      <w:marRight w:val="0"/>
      <w:marTop w:val="0"/>
      <w:marBottom w:val="0"/>
      <w:divBdr>
        <w:top w:val="none" w:sz="0" w:space="0" w:color="auto"/>
        <w:left w:val="none" w:sz="0" w:space="0" w:color="auto"/>
        <w:bottom w:val="none" w:sz="0" w:space="0" w:color="auto"/>
        <w:right w:val="none" w:sz="0" w:space="0" w:color="auto"/>
      </w:divBdr>
    </w:div>
    <w:div w:id="137114601">
      <w:bodyDiv w:val="1"/>
      <w:marLeft w:val="0"/>
      <w:marRight w:val="0"/>
      <w:marTop w:val="0"/>
      <w:marBottom w:val="0"/>
      <w:divBdr>
        <w:top w:val="none" w:sz="0" w:space="0" w:color="auto"/>
        <w:left w:val="none" w:sz="0" w:space="0" w:color="auto"/>
        <w:bottom w:val="none" w:sz="0" w:space="0" w:color="auto"/>
        <w:right w:val="none" w:sz="0" w:space="0" w:color="auto"/>
      </w:divBdr>
    </w:div>
    <w:div w:id="156462706">
      <w:bodyDiv w:val="1"/>
      <w:marLeft w:val="0"/>
      <w:marRight w:val="0"/>
      <w:marTop w:val="0"/>
      <w:marBottom w:val="0"/>
      <w:divBdr>
        <w:top w:val="none" w:sz="0" w:space="0" w:color="auto"/>
        <w:left w:val="none" w:sz="0" w:space="0" w:color="auto"/>
        <w:bottom w:val="none" w:sz="0" w:space="0" w:color="auto"/>
        <w:right w:val="none" w:sz="0" w:space="0" w:color="auto"/>
      </w:divBdr>
    </w:div>
    <w:div w:id="183905336">
      <w:bodyDiv w:val="1"/>
      <w:marLeft w:val="0"/>
      <w:marRight w:val="0"/>
      <w:marTop w:val="0"/>
      <w:marBottom w:val="0"/>
      <w:divBdr>
        <w:top w:val="none" w:sz="0" w:space="0" w:color="auto"/>
        <w:left w:val="none" w:sz="0" w:space="0" w:color="auto"/>
        <w:bottom w:val="none" w:sz="0" w:space="0" w:color="auto"/>
        <w:right w:val="none" w:sz="0" w:space="0" w:color="auto"/>
      </w:divBdr>
    </w:div>
    <w:div w:id="185752207">
      <w:bodyDiv w:val="1"/>
      <w:marLeft w:val="0"/>
      <w:marRight w:val="0"/>
      <w:marTop w:val="0"/>
      <w:marBottom w:val="0"/>
      <w:divBdr>
        <w:top w:val="none" w:sz="0" w:space="0" w:color="auto"/>
        <w:left w:val="none" w:sz="0" w:space="0" w:color="auto"/>
        <w:bottom w:val="none" w:sz="0" w:space="0" w:color="auto"/>
        <w:right w:val="none" w:sz="0" w:space="0" w:color="auto"/>
      </w:divBdr>
    </w:div>
    <w:div w:id="200828647">
      <w:bodyDiv w:val="1"/>
      <w:marLeft w:val="0"/>
      <w:marRight w:val="0"/>
      <w:marTop w:val="0"/>
      <w:marBottom w:val="0"/>
      <w:divBdr>
        <w:top w:val="none" w:sz="0" w:space="0" w:color="auto"/>
        <w:left w:val="none" w:sz="0" w:space="0" w:color="auto"/>
        <w:bottom w:val="none" w:sz="0" w:space="0" w:color="auto"/>
        <w:right w:val="none" w:sz="0" w:space="0" w:color="auto"/>
      </w:divBdr>
    </w:div>
    <w:div w:id="201137454">
      <w:bodyDiv w:val="1"/>
      <w:marLeft w:val="0"/>
      <w:marRight w:val="0"/>
      <w:marTop w:val="0"/>
      <w:marBottom w:val="0"/>
      <w:divBdr>
        <w:top w:val="none" w:sz="0" w:space="0" w:color="auto"/>
        <w:left w:val="none" w:sz="0" w:space="0" w:color="auto"/>
        <w:bottom w:val="none" w:sz="0" w:space="0" w:color="auto"/>
        <w:right w:val="none" w:sz="0" w:space="0" w:color="auto"/>
      </w:divBdr>
    </w:div>
    <w:div w:id="203367826">
      <w:bodyDiv w:val="1"/>
      <w:marLeft w:val="0"/>
      <w:marRight w:val="0"/>
      <w:marTop w:val="0"/>
      <w:marBottom w:val="0"/>
      <w:divBdr>
        <w:top w:val="none" w:sz="0" w:space="0" w:color="auto"/>
        <w:left w:val="none" w:sz="0" w:space="0" w:color="auto"/>
        <w:bottom w:val="none" w:sz="0" w:space="0" w:color="auto"/>
        <w:right w:val="none" w:sz="0" w:space="0" w:color="auto"/>
      </w:divBdr>
    </w:div>
    <w:div w:id="208344502">
      <w:bodyDiv w:val="1"/>
      <w:marLeft w:val="0"/>
      <w:marRight w:val="0"/>
      <w:marTop w:val="0"/>
      <w:marBottom w:val="0"/>
      <w:divBdr>
        <w:top w:val="none" w:sz="0" w:space="0" w:color="auto"/>
        <w:left w:val="none" w:sz="0" w:space="0" w:color="auto"/>
        <w:bottom w:val="none" w:sz="0" w:space="0" w:color="auto"/>
        <w:right w:val="none" w:sz="0" w:space="0" w:color="auto"/>
      </w:divBdr>
    </w:div>
    <w:div w:id="210269313">
      <w:bodyDiv w:val="1"/>
      <w:marLeft w:val="0"/>
      <w:marRight w:val="0"/>
      <w:marTop w:val="0"/>
      <w:marBottom w:val="0"/>
      <w:divBdr>
        <w:top w:val="none" w:sz="0" w:space="0" w:color="auto"/>
        <w:left w:val="none" w:sz="0" w:space="0" w:color="auto"/>
        <w:bottom w:val="none" w:sz="0" w:space="0" w:color="auto"/>
        <w:right w:val="none" w:sz="0" w:space="0" w:color="auto"/>
      </w:divBdr>
    </w:div>
    <w:div w:id="212037633">
      <w:bodyDiv w:val="1"/>
      <w:marLeft w:val="0"/>
      <w:marRight w:val="0"/>
      <w:marTop w:val="0"/>
      <w:marBottom w:val="0"/>
      <w:divBdr>
        <w:top w:val="none" w:sz="0" w:space="0" w:color="auto"/>
        <w:left w:val="none" w:sz="0" w:space="0" w:color="auto"/>
        <w:bottom w:val="none" w:sz="0" w:space="0" w:color="auto"/>
        <w:right w:val="none" w:sz="0" w:space="0" w:color="auto"/>
      </w:divBdr>
    </w:div>
    <w:div w:id="214464490">
      <w:bodyDiv w:val="1"/>
      <w:marLeft w:val="0"/>
      <w:marRight w:val="0"/>
      <w:marTop w:val="0"/>
      <w:marBottom w:val="0"/>
      <w:divBdr>
        <w:top w:val="none" w:sz="0" w:space="0" w:color="auto"/>
        <w:left w:val="none" w:sz="0" w:space="0" w:color="auto"/>
        <w:bottom w:val="none" w:sz="0" w:space="0" w:color="auto"/>
        <w:right w:val="none" w:sz="0" w:space="0" w:color="auto"/>
      </w:divBdr>
    </w:div>
    <w:div w:id="217129846">
      <w:bodyDiv w:val="1"/>
      <w:marLeft w:val="0"/>
      <w:marRight w:val="0"/>
      <w:marTop w:val="0"/>
      <w:marBottom w:val="0"/>
      <w:divBdr>
        <w:top w:val="none" w:sz="0" w:space="0" w:color="auto"/>
        <w:left w:val="none" w:sz="0" w:space="0" w:color="auto"/>
        <w:bottom w:val="none" w:sz="0" w:space="0" w:color="auto"/>
        <w:right w:val="none" w:sz="0" w:space="0" w:color="auto"/>
      </w:divBdr>
    </w:div>
    <w:div w:id="222638825">
      <w:bodyDiv w:val="1"/>
      <w:marLeft w:val="0"/>
      <w:marRight w:val="0"/>
      <w:marTop w:val="0"/>
      <w:marBottom w:val="0"/>
      <w:divBdr>
        <w:top w:val="none" w:sz="0" w:space="0" w:color="auto"/>
        <w:left w:val="none" w:sz="0" w:space="0" w:color="auto"/>
        <w:bottom w:val="none" w:sz="0" w:space="0" w:color="auto"/>
        <w:right w:val="none" w:sz="0" w:space="0" w:color="auto"/>
      </w:divBdr>
    </w:div>
    <w:div w:id="227495142">
      <w:bodyDiv w:val="1"/>
      <w:marLeft w:val="0"/>
      <w:marRight w:val="0"/>
      <w:marTop w:val="0"/>
      <w:marBottom w:val="0"/>
      <w:divBdr>
        <w:top w:val="none" w:sz="0" w:space="0" w:color="auto"/>
        <w:left w:val="none" w:sz="0" w:space="0" w:color="auto"/>
        <w:bottom w:val="none" w:sz="0" w:space="0" w:color="auto"/>
        <w:right w:val="none" w:sz="0" w:space="0" w:color="auto"/>
      </w:divBdr>
    </w:div>
    <w:div w:id="234780553">
      <w:bodyDiv w:val="1"/>
      <w:marLeft w:val="0"/>
      <w:marRight w:val="0"/>
      <w:marTop w:val="0"/>
      <w:marBottom w:val="0"/>
      <w:divBdr>
        <w:top w:val="none" w:sz="0" w:space="0" w:color="auto"/>
        <w:left w:val="none" w:sz="0" w:space="0" w:color="auto"/>
        <w:bottom w:val="none" w:sz="0" w:space="0" w:color="auto"/>
        <w:right w:val="none" w:sz="0" w:space="0" w:color="auto"/>
      </w:divBdr>
    </w:div>
    <w:div w:id="235210723">
      <w:bodyDiv w:val="1"/>
      <w:marLeft w:val="0"/>
      <w:marRight w:val="0"/>
      <w:marTop w:val="0"/>
      <w:marBottom w:val="0"/>
      <w:divBdr>
        <w:top w:val="none" w:sz="0" w:space="0" w:color="auto"/>
        <w:left w:val="none" w:sz="0" w:space="0" w:color="auto"/>
        <w:bottom w:val="none" w:sz="0" w:space="0" w:color="auto"/>
        <w:right w:val="none" w:sz="0" w:space="0" w:color="auto"/>
      </w:divBdr>
    </w:div>
    <w:div w:id="237640859">
      <w:bodyDiv w:val="1"/>
      <w:marLeft w:val="0"/>
      <w:marRight w:val="0"/>
      <w:marTop w:val="0"/>
      <w:marBottom w:val="0"/>
      <w:divBdr>
        <w:top w:val="none" w:sz="0" w:space="0" w:color="auto"/>
        <w:left w:val="none" w:sz="0" w:space="0" w:color="auto"/>
        <w:bottom w:val="none" w:sz="0" w:space="0" w:color="auto"/>
        <w:right w:val="none" w:sz="0" w:space="0" w:color="auto"/>
      </w:divBdr>
    </w:div>
    <w:div w:id="246695220">
      <w:bodyDiv w:val="1"/>
      <w:marLeft w:val="0"/>
      <w:marRight w:val="0"/>
      <w:marTop w:val="0"/>
      <w:marBottom w:val="0"/>
      <w:divBdr>
        <w:top w:val="none" w:sz="0" w:space="0" w:color="auto"/>
        <w:left w:val="none" w:sz="0" w:space="0" w:color="auto"/>
        <w:bottom w:val="none" w:sz="0" w:space="0" w:color="auto"/>
        <w:right w:val="none" w:sz="0" w:space="0" w:color="auto"/>
      </w:divBdr>
    </w:div>
    <w:div w:id="250630130">
      <w:bodyDiv w:val="1"/>
      <w:marLeft w:val="0"/>
      <w:marRight w:val="0"/>
      <w:marTop w:val="0"/>
      <w:marBottom w:val="0"/>
      <w:divBdr>
        <w:top w:val="none" w:sz="0" w:space="0" w:color="auto"/>
        <w:left w:val="none" w:sz="0" w:space="0" w:color="auto"/>
        <w:bottom w:val="none" w:sz="0" w:space="0" w:color="auto"/>
        <w:right w:val="none" w:sz="0" w:space="0" w:color="auto"/>
      </w:divBdr>
    </w:div>
    <w:div w:id="261190098">
      <w:bodyDiv w:val="1"/>
      <w:marLeft w:val="0"/>
      <w:marRight w:val="0"/>
      <w:marTop w:val="0"/>
      <w:marBottom w:val="0"/>
      <w:divBdr>
        <w:top w:val="none" w:sz="0" w:space="0" w:color="auto"/>
        <w:left w:val="none" w:sz="0" w:space="0" w:color="auto"/>
        <w:bottom w:val="none" w:sz="0" w:space="0" w:color="auto"/>
        <w:right w:val="none" w:sz="0" w:space="0" w:color="auto"/>
      </w:divBdr>
    </w:div>
    <w:div w:id="269287930">
      <w:bodyDiv w:val="1"/>
      <w:marLeft w:val="0"/>
      <w:marRight w:val="0"/>
      <w:marTop w:val="0"/>
      <w:marBottom w:val="0"/>
      <w:divBdr>
        <w:top w:val="none" w:sz="0" w:space="0" w:color="auto"/>
        <w:left w:val="none" w:sz="0" w:space="0" w:color="auto"/>
        <w:bottom w:val="none" w:sz="0" w:space="0" w:color="auto"/>
        <w:right w:val="none" w:sz="0" w:space="0" w:color="auto"/>
      </w:divBdr>
    </w:div>
    <w:div w:id="272640276">
      <w:bodyDiv w:val="1"/>
      <w:marLeft w:val="0"/>
      <w:marRight w:val="0"/>
      <w:marTop w:val="0"/>
      <w:marBottom w:val="0"/>
      <w:divBdr>
        <w:top w:val="none" w:sz="0" w:space="0" w:color="auto"/>
        <w:left w:val="none" w:sz="0" w:space="0" w:color="auto"/>
        <w:bottom w:val="none" w:sz="0" w:space="0" w:color="auto"/>
        <w:right w:val="none" w:sz="0" w:space="0" w:color="auto"/>
      </w:divBdr>
    </w:div>
    <w:div w:id="284360772">
      <w:bodyDiv w:val="1"/>
      <w:marLeft w:val="0"/>
      <w:marRight w:val="0"/>
      <w:marTop w:val="0"/>
      <w:marBottom w:val="0"/>
      <w:divBdr>
        <w:top w:val="none" w:sz="0" w:space="0" w:color="auto"/>
        <w:left w:val="none" w:sz="0" w:space="0" w:color="auto"/>
        <w:bottom w:val="none" w:sz="0" w:space="0" w:color="auto"/>
        <w:right w:val="none" w:sz="0" w:space="0" w:color="auto"/>
      </w:divBdr>
    </w:div>
    <w:div w:id="286546241">
      <w:bodyDiv w:val="1"/>
      <w:marLeft w:val="0"/>
      <w:marRight w:val="0"/>
      <w:marTop w:val="0"/>
      <w:marBottom w:val="0"/>
      <w:divBdr>
        <w:top w:val="none" w:sz="0" w:space="0" w:color="auto"/>
        <w:left w:val="none" w:sz="0" w:space="0" w:color="auto"/>
        <w:bottom w:val="none" w:sz="0" w:space="0" w:color="auto"/>
        <w:right w:val="none" w:sz="0" w:space="0" w:color="auto"/>
      </w:divBdr>
    </w:div>
    <w:div w:id="301083214">
      <w:bodyDiv w:val="1"/>
      <w:marLeft w:val="0"/>
      <w:marRight w:val="0"/>
      <w:marTop w:val="0"/>
      <w:marBottom w:val="0"/>
      <w:divBdr>
        <w:top w:val="none" w:sz="0" w:space="0" w:color="auto"/>
        <w:left w:val="none" w:sz="0" w:space="0" w:color="auto"/>
        <w:bottom w:val="none" w:sz="0" w:space="0" w:color="auto"/>
        <w:right w:val="none" w:sz="0" w:space="0" w:color="auto"/>
      </w:divBdr>
    </w:div>
    <w:div w:id="305939843">
      <w:bodyDiv w:val="1"/>
      <w:marLeft w:val="0"/>
      <w:marRight w:val="0"/>
      <w:marTop w:val="0"/>
      <w:marBottom w:val="0"/>
      <w:divBdr>
        <w:top w:val="none" w:sz="0" w:space="0" w:color="auto"/>
        <w:left w:val="none" w:sz="0" w:space="0" w:color="auto"/>
        <w:bottom w:val="none" w:sz="0" w:space="0" w:color="auto"/>
        <w:right w:val="none" w:sz="0" w:space="0" w:color="auto"/>
      </w:divBdr>
    </w:div>
    <w:div w:id="312680325">
      <w:bodyDiv w:val="1"/>
      <w:marLeft w:val="0"/>
      <w:marRight w:val="0"/>
      <w:marTop w:val="0"/>
      <w:marBottom w:val="0"/>
      <w:divBdr>
        <w:top w:val="none" w:sz="0" w:space="0" w:color="auto"/>
        <w:left w:val="none" w:sz="0" w:space="0" w:color="auto"/>
        <w:bottom w:val="none" w:sz="0" w:space="0" w:color="auto"/>
        <w:right w:val="none" w:sz="0" w:space="0" w:color="auto"/>
      </w:divBdr>
    </w:div>
    <w:div w:id="314333705">
      <w:bodyDiv w:val="1"/>
      <w:marLeft w:val="0"/>
      <w:marRight w:val="0"/>
      <w:marTop w:val="0"/>
      <w:marBottom w:val="0"/>
      <w:divBdr>
        <w:top w:val="none" w:sz="0" w:space="0" w:color="auto"/>
        <w:left w:val="none" w:sz="0" w:space="0" w:color="auto"/>
        <w:bottom w:val="none" w:sz="0" w:space="0" w:color="auto"/>
        <w:right w:val="none" w:sz="0" w:space="0" w:color="auto"/>
      </w:divBdr>
    </w:div>
    <w:div w:id="319240745">
      <w:bodyDiv w:val="1"/>
      <w:marLeft w:val="0"/>
      <w:marRight w:val="0"/>
      <w:marTop w:val="0"/>
      <w:marBottom w:val="0"/>
      <w:divBdr>
        <w:top w:val="none" w:sz="0" w:space="0" w:color="auto"/>
        <w:left w:val="none" w:sz="0" w:space="0" w:color="auto"/>
        <w:bottom w:val="none" w:sz="0" w:space="0" w:color="auto"/>
        <w:right w:val="none" w:sz="0" w:space="0" w:color="auto"/>
      </w:divBdr>
    </w:div>
    <w:div w:id="322855856">
      <w:bodyDiv w:val="1"/>
      <w:marLeft w:val="0"/>
      <w:marRight w:val="0"/>
      <w:marTop w:val="0"/>
      <w:marBottom w:val="0"/>
      <w:divBdr>
        <w:top w:val="none" w:sz="0" w:space="0" w:color="auto"/>
        <w:left w:val="none" w:sz="0" w:space="0" w:color="auto"/>
        <w:bottom w:val="none" w:sz="0" w:space="0" w:color="auto"/>
        <w:right w:val="none" w:sz="0" w:space="0" w:color="auto"/>
      </w:divBdr>
    </w:div>
    <w:div w:id="346449984">
      <w:bodyDiv w:val="1"/>
      <w:marLeft w:val="0"/>
      <w:marRight w:val="0"/>
      <w:marTop w:val="0"/>
      <w:marBottom w:val="0"/>
      <w:divBdr>
        <w:top w:val="none" w:sz="0" w:space="0" w:color="auto"/>
        <w:left w:val="none" w:sz="0" w:space="0" w:color="auto"/>
        <w:bottom w:val="none" w:sz="0" w:space="0" w:color="auto"/>
        <w:right w:val="none" w:sz="0" w:space="0" w:color="auto"/>
      </w:divBdr>
    </w:div>
    <w:div w:id="348407526">
      <w:bodyDiv w:val="1"/>
      <w:marLeft w:val="0"/>
      <w:marRight w:val="0"/>
      <w:marTop w:val="0"/>
      <w:marBottom w:val="0"/>
      <w:divBdr>
        <w:top w:val="none" w:sz="0" w:space="0" w:color="auto"/>
        <w:left w:val="none" w:sz="0" w:space="0" w:color="auto"/>
        <w:bottom w:val="none" w:sz="0" w:space="0" w:color="auto"/>
        <w:right w:val="none" w:sz="0" w:space="0" w:color="auto"/>
      </w:divBdr>
    </w:div>
    <w:div w:id="352345229">
      <w:bodyDiv w:val="1"/>
      <w:marLeft w:val="0"/>
      <w:marRight w:val="0"/>
      <w:marTop w:val="0"/>
      <w:marBottom w:val="0"/>
      <w:divBdr>
        <w:top w:val="none" w:sz="0" w:space="0" w:color="auto"/>
        <w:left w:val="none" w:sz="0" w:space="0" w:color="auto"/>
        <w:bottom w:val="none" w:sz="0" w:space="0" w:color="auto"/>
        <w:right w:val="none" w:sz="0" w:space="0" w:color="auto"/>
      </w:divBdr>
    </w:div>
    <w:div w:id="354042945">
      <w:bodyDiv w:val="1"/>
      <w:marLeft w:val="0"/>
      <w:marRight w:val="0"/>
      <w:marTop w:val="0"/>
      <w:marBottom w:val="0"/>
      <w:divBdr>
        <w:top w:val="none" w:sz="0" w:space="0" w:color="auto"/>
        <w:left w:val="none" w:sz="0" w:space="0" w:color="auto"/>
        <w:bottom w:val="none" w:sz="0" w:space="0" w:color="auto"/>
        <w:right w:val="none" w:sz="0" w:space="0" w:color="auto"/>
      </w:divBdr>
    </w:div>
    <w:div w:id="357924753">
      <w:bodyDiv w:val="1"/>
      <w:marLeft w:val="0"/>
      <w:marRight w:val="0"/>
      <w:marTop w:val="0"/>
      <w:marBottom w:val="0"/>
      <w:divBdr>
        <w:top w:val="none" w:sz="0" w:space="0" w:color="auto"/>
        <w:left w:val="none" w:sz="0" w:space="0" w:color="auto"/>
        <w:bottom w:val="none" w:sz="0" w:space="0" w:color="auto"/>
        <w:right w:val="none" w:sz="0" w:space="0" w:color="auto"/>
      </w:divBdr>
    </w:div>
    <w:div w:id="372538936">
      <w:bodyDiv w:val="1"/>
      <w:marLeft w:val="0"/>
      <w:marRight w:val="0"/>
      <w:marTop w:val="0"/>
      <w:marBottom w:val="0"/>
      <w:divBdr>
        <w:top w:val="none" w:sz="0" w:space="0" w:color="auto"/>
        <w:left w:val="none" w:sz="0" w:space="0" w:color="auto"/>
        <w:bottom w:val="none" w:sz="0" w:space="0" w:color="auto"/>
        <w:right w:val="none" w:sz="0" w:space="0" w:color="auto"/>
      </w:divBdr>
    </w:div>
    <w:div w:id="372584685">
      <w:bodyDiv w:val="1"/>
      <w:marLeft w:val="0"/>
      <w:marRight w:val="0"/>
      <w:marTop w:val="0"/>
      <w:marBottom w:val="0"/>
      <w:divBdr>
        <w:top w:val="none" w:sz="0" w:space="0" w:color="auto"/>
        <w:left w:val="none" w:sz="0" w:space="0" w:color="auto"/>
        <w:bottom w:val="none" w:sz="0" w:space="0" w:color="auto"/>
        <w:right w:val="none" w:sz="0" w:space="0" w:color="auto"/>
      </w:divBdr>
    </w:div>
    <w:div w:id="380515919">
      <w:bodyDiv w:val="1"/>
      <w:marLeft w:val="0"/>
      <w:marRight w:val="0"/>
      <w:marTop w:val="0"/>
      <w:marBottom w:val="0"/>
      <w:divBdr>
        <w:top w:val="none" w:sz="0" w:space="0" w:color="auto"/>
        <w:left w:val="none" w:sz="0" w:space="0" w:color="auto"/>
        <w:bottom w:val="none" w:sz="0" w:space="0" w:color="auto"/>
        <w:right w:val="none" w:sz="0" w:space="0" w:color="auto"/>
      </w:divBdr>
    </w:div>
    <w:div w:id="388770568">
      <w:bodyDiv w:val="1"/>
      <w:marLeft w:val="0"/>
      <w:marRight w:val="0"/>
      <w:marTop w:val="0"/>
      <w:marBottom w:val="0"/>
      <w:divBdr>
        <w:top w:val="none" w:sz="0" w:space="0" w:color="auto"/>
        <w:left w:val="none" w:sz="0" w:space="0" w:color="auto"/>
        <w:bottom w:val="none" w:sz="0" w:space="0" w:color="auto"/>
        <w:right w:val="none" w:sz="0" w:space="0" w:color="auto"/>
      </w:divBdr>
    </w:div>
    <w:div w:id="394554175">
      <w:bodyDiv w:val="1"/>
      <w:marLeft w:val="0"/>
      <w:marRight w:val="0"/>
      <w:marTop w:val="0"/>
      <w:marBottom w:val="0"/>
      <w:divBdr>
        <w:top w:val="none" w:sz="0" w:space="0" w:color="auto"/>
        <w:left w:val="none" w:sz="0" w:space="0" w:color="auto"/>
        <w:bottom w:val="none" w:sz="0" w:space="0" w:color="auto"/>
        <w:right w:val="none" w:sz="0" w:space="0" w:color="auto"/>
      </w:divBdr>
    </w:div>
    <w:div w:id="398404158">
      <w:bodyDiv w:val="1"/>
      <w:marLeft w:val="0"/>
      <w:marRight w:val="0"/>
      <w:marTop w:val="0"/>
      <w:marBottom w:val="0"/>
      <w:divBdr>
        <w:top w:val="none" w:sz="0" w:space="0" w:color="auto"/>
        <w:left w:val="none" w:sz="0" w:space="0" w:color="auto"/>
        <w:bottom w:val="none" w:sz="0" w:space="0" w:color="auto"/>
        <w:right w:val="none" w:sz="0" w:space="0" w:color="auto"/>
      </w:divBdr>
    </w:div>
    <w:div w:id="399913643">
      <w:bodyDiv w:val="1"/>
      <w:marLeft w:val="0"/>
      <w:marRight w:val="0"/>
      <w:marTop w:val="0"/>
      <w:marBottom w:val="0"/>
      <w:divBdr>
        <w:top w:val="none" w:sz="0" w:space="0" w:color="auto"/>
        <w:left w:val="none" w:sz="0" w:space="0" w:color="auto"/>
        <w:bottom w:val="none" w:sz="0" w:space="0" w:color="auto"/>
        <w:right w:val="none" w:sz="0" w:space="0" w:color="auto"/>
      </w:divBdr>
    </w:div>
    <w:div w:id="402529793">
      <w:bodyDiv w:val="1"/>
      <w:marLeft w:val="0"/>
      <w:marRight w:val="0"/>
      <w:marTop w:val="0"/>
      <w:marBottom w:val="0"/>
      <w:divBdr>
        <w:top w:val="none" w:sz="0" w:space="0" w:color="auto"/>
        <w:left w:val="none" w:sz="0" w:space="0" w:color="auto"/>
        <w:bottom w:val="none" w:sz="0" w:space="0" w:color="auto"/>
        <w:right w:val="none" w:sz="0" w:space="0" w:color="auto"/>
      </w:divBdr>
    </w:div>
    <w:div w:id="402991037">
      <w:bodyDiv w:val="1"/>
      <w:marLeft w:val="0"/>
      <w:marRight w:val="0"/>
      <w:marTop w:val="0"/>
      <w:marBottom w:val="0"/>
      <w:divBdr>
        <w:top w:val="none" w:sz="0" w:space="0" w:color="auto"/>
        <w:left w:val="none" w:sz="0" w:space="0" w:color="auto"/>
        <w:bottom w:val="none" w:sz="0" w:space="0" w:color="auto"/>
        <w:right w:val="none" w:sz="0" w:space="0" w:color="auto"/>
      </w:divBdr>
      <w:divsChild>
        <w:div w:id="1193611699">
          <w:marLeft w:val="0"/>
          <w:marRight w:val="0"/>
          <w:marTop w:val="0"/>
          <w:marBottom w:val="0"/>
          <w:divBdr>
            <w:top w:val="none" w:sz="0" w:space="0" w:color="auto"/>
            <w:left w:val="none" w:sz="0" w:space="0" w:color="auto"/>
            <w:bottom w:val="none" w:sz="0" w:space="0" w:color="auto"/>
            <w:right w:val="none" w:sz="0" w:space="0" w:color="auto"/>
          </w:divBdr>
          <w:divsChild>
            <w:div w:id="1903442156">
              <w:marLeft w:val="0"/>
              <w:marRight w:val="0"/>
              <w:marTop w:val="0"/>
              <w:marBottom w:val="0"/>
              <w:divBdr>
                <w:top w:val="none" w:sz="0" w:space="0" w:color="auto"/>
                <w:left w:val="none" w:sz="0" w:space="0" w:color="auto"/>
                <w:bottom w:val="none" w:sz="0" w:space="0" w:color="auto"/>
                <w:right w:val="none" w:sz="0" w:space="0" w:color="auto"/>
              </w:divBdr>
              <w:divsChild>
                <w:div w:id="368722938">
                  <w:marLeft w:val="0"/>
                  <w:marRight w:val="0"/>
                  <w:marTop w:val="0"/>
                  <w:marBottom w:val="0"/>
                  <w:divBdr>
                    <w:top w:val="none" w:sz="0" w:space="0" w:color="auto"/>
                    <w:left w:val="none" w:sz="0" w:space="0" w:color="auto"/>
                    <w:bottom w:val="none" w:sz="0" w:space="0" w:color="auto"/>
                    <w:right w:val="none" w:sz="0" w:space="0" w:color="auto"/>
                  </w:divBdr>
                  <w:divsChild>
                    <w:div w:id="10706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79494">
      <w:bodyDiv w:val="1"/>
      <w:marLeft w:val="0"/>
      <w:marRight w:val="0"/>
      <w:marTop w:val="0"/>
      <w:marBottom w:val="0"/>
      <w:divBdr>
        <w:top w:val="none" w:sz="0" w:space="0" w:color="auto"/>
        <w:left w:val="none" w:sz="0" w:space="0" w:color="auto"/>
        <w:bottom w:val="none" w:sz="0" w:space="0" w:color="auto"/>
        <w:right w:val="none" w:sz="0" w:space="0" w:color="auto"/>
      </w:divBdr>
    </w:div>
    <w:div w:id="406271662">
      <w:bodyDiv w:val="1"/>
      <w:marLeft w:val="0"/>
      <w:marRight w:val="0"/>
      <w:marTop w:val="0"/>
      <w:marBottom w:val="0"/>
      <w:divBdr>
        <w:top w:val="none" w:sz="0" w:space="0" w:color="auto"/>
        <w:left w:val="none" w:sz="0" w:space="0" w:color="auto"/>
        <w:bottom w:val="none" w:sz="0" w:space="0" w:color="auto"/>
        <w:right w:val="none" w:sz="0" w:space="0" w:color="auto"/>
      </w:divBdr>
    </w:div>
    <w:div w:id="417486542">
      <w:bodyDiv w:val="1"/>
      <w:marLeft w:val="0"/>
      <w:marRight w:val="0"/>
      <w:marTop w:val="0"/>
      <w:marBottom w:val="0"/>
      <w:divBdr>
        <w:top w:val="none" w:sz="0" w:space="0" w:color="auto"/>
        <w:left w:val="none" w:sz="0" w:space="0" w:color="auto"/>
        <w:bottom w:val="none" w:sz="0" w:space="0" w:color="auto"/>
        <w:right w:val="none" w:sz="0" w:space="0" w:color="auto"/>
      </w:divBdr>
    </w:div>
    <w:div w:id="421149651">
      <w:bodyDiv w:val="1"/>
      <w:marLeft w:val="0"/>
      <w:marRight w:val="0"/>
      <w:marTop w:val="0"/>
      <w:marBottom w:val="0"/>
      <w:divBdr>
        <w:top w:val="none" w:sz="0" w:space="0" w:color="auto"/>
        <w:left w:val="none" w:sz="0" w:space="0" w:color="auto"/>
        <w:bottom w:val="none" w:sz="0" w:space="0" w:color="auto"/>
        <w:right w:val="none" w:sz="0" w:space="0" w:color="auto"/>
      </w:divBdr>
    </w:div>
    <w:div w:id="432288424">
      <w:bodyDiv w:val="1"/>
      <w:marLeft w:val="0"/>
      <w:marRight w:val="0"/>
      <w:marTop w:val="0"/>
      <w:marBottom w:val="0"/>
      <w:divBdr>
        <w:top w:val="none" w:sz="0" w:space="0" w:color="auto"/>
        <w:left w:val="none" w:sz="0" w:space="0" w:color="auto"/>
        <w:bottom w:val="none" w:sz="0" w:space="0" w:color="auto"/>
        <w:right w:val="none" w:sz="0" w:space="0" w:color="auto"/>
      </w:divBdr>
    </w:div>
    <w:div w:id="432867576">
      <w:bodyDiv w:val="1"/>
      <w:marLeft w:val="0"/>
      <w:marRight w:val="0"/>
      <w:marTop w:val="0"/>
      <w:marBottom w:val="0"/>
      <w:divBdr>
        <w:top w:val="none" w:sz="0" w:space="0" w:color="auto"/>
        <w:left w:val="none" w:sz="0" w:space="0" w:color="auto"/>
        <w:bottom w:val="none" w:sz="0" w:space="0" w:color="auto"/>
        <w:right w:val="none" w:sz="0" w:space="0" w:color="auto"/>
      </w:divBdr>
    </w:div>
    <w:div w:id="436289654">
      <w:bodyDiv w:val="1"/>
      <w:marLeft w:val="0"/>
      <w:marRight w:val="0"/>
      <w:marTop w:val="0"/>
      <w:marBottom w:val="0"/>
      <w:divBdr>
        <w:top w:val="none" w:sz="0" w:space="0" w:color="auto"/>
        <w:left w:val="none" w:sz="0" w:space="0" w:color="auto"/>
        <w:bottom w:val="none" w:sz="0" w:space="0" w:color="auto"/>
        <w:right w:val="none" w:sz="0" w:space="0" w:color="auto"/>
      </w:divBdr>
    </w:div>
    <w:div w:id="439647334">
      <w:bodyDiv w:val="1"/>
      <w:marLeft w:val="0"/>
      <w:marRight w:val="0"/>
      <w:marTop w:val="0"/>
      <w:marBottom w:val="0"/>
      <w:divBdr>
        <w:top w:val="none" w:sz="0" w:space="0" w:color="auto"/>
        <w:left w:val="none" w:sz="0" w:space="0" w:color="auto"/>
        <w:bottom w:val="none" w:sz="0" w:space="0" w:color="auto"/>
        <w:right w:val="none" w:sz="0" w:space="0" w:color="auto"/>
      </w:divBdr>
    </w:div>
    <w:div w:id="445462243">
      <w:bodyDiv w:val="1"/>
      <w:marLeft w:val="0"/>
      <w:marRight w:val="0"/>
      <w:marTop w:val="0"/>
      <w:marBottom w:val="0"/>
      <w:divBdr>
        <w:top w:val="none" w:sz="0" w:space="0" w:color="auto"/>
        <w:left w:val="none" w:sz="0" w:space="0" w:color="auto"/>
        <w:bottom w:val="none" w:sz="0" w:space="0" w:color="auto"/>
        <w:right w:val="none" w:sz="0" w:space="0" w:color="auto"/>
      </w:divBdr>
    </w:div>
    <w:div w:id="446126681">
      <w:bodyDiv w:val="1"/>
      <w:marLeft w:val="0"/>
      <w:marRight w:val="0"/>
      <w:marTop w:val="0"/>
      <w:marBottom w:val="0"/>
      <w:divBdr>
        <w:top w:val="none" w:sz="0" w:space="0" w:color="auto"/>
        <w:left w:val="none" w:sz="0" w:space="0" w:color="auto"/>
        <w:bottom w:val="none" w:sz="0" w:space="0" w:color="auto"/>
        <w:right w:val="none" w:sz="0" w:space="0" w:color="auto"/>
      </w:divBdr>
    </w:div>
    <w:div w:id="451367197">
      <w:bodyDiv w:val="1"/>
      <w:marLeft w:val="0"/>
      <w:marRight w:val="0"/>
      <w:marTop w:val="0"/>
      <w:marBottom w:val="0"/>
      <w:divBdr>
        <w:top w:val="none" w:sz="0" w:space="0" w:color="auto"/>
        <w:left w:val="none" w:sz="0" w:space="0" w:color="auto"/>
        <w:bottom w:val="none" w:sz="0" w:space="0" w:color="auto"/>
        <w:right w:val="none" w:sz="0" w:space="0" w:color="auto"/>
      </w:divBdr>
    </w:div>
    <w:div w:id="456487093">
      <w:bodyDiv w:val="1"/>
      <w:marLeft w:val="0"/>
      <w:marRight w:val="0"/>
      <w:marTop w:val="0"/>
      <w:marBottom w:val="0"/>
      <w:divBdr>
        <w:top w:val="none" w:sz="0" w:space="0" w:color="auto"/>
        <w:left w:val="none" w:sz="0" w:space="0" w:color="auto"/>
        <w:bottom w:val="none" w:sz="0" w:space="0" w:color="auto"/>
        <w:right w:val="none" w:sz="0" w:space="0" w:color="auto"/>
      </w:divBdr>
    </w:div>
    <w:div w:id="469909500">
      <w:bodyDiv w:val="1"/>
      <w:marLeft w:val="0"/>
      <w:marRight w:val="0"/>
      <w:marTop w:val="0"/>
      <w:marBottom w:val="0"/>
      <w:divBdr>
        <w:top w:val="none" w:sz="0" w:space="0" w:color="auto"/>
        <w:left w:val="none" w:sz="0" w:space="0" w:color="auto"/>
        <w:bottom w:val="none" w:sz="0" w:space="0" w:color="auto"/>
        <w:right w:val="none" w:sz="0" w:space="0" w:color="auto"/>
      </w:divBdr>
    </w:div>
    <w:div w:id="473110094">
      <w:bodyDiv w:val="1"/>
      <w:marLeft w:val="0"/>
      <w:marRight w:val="0"/>
      <w:marTop w:val="0"/>
      <w:marBottom w:val="0"/>
      <w:divBdr>
        <w:top w:val="none" w:sz="0" w:space="0" w:color="auto"/>
        <w:left w:val="none" w:sz="0" w:space="0" w:color="auto"/>
        <w:bottom w:val="none" w:sz="0" w:space="0" w:color="auto"/>
        <w:right w:val="none" w:sz="0" w:space="0" w:color="auto"/>
      </w:divBdr>
    </w:div>
    <w:div w:id="478503992">
      <w:bodyDiv w:val="1"/>
      <w:marLeft w:val="0"/>
      <w:marRight w:val="0"/>
      <w:marTop w:val="0"/>
      <w:marBottom w:val="0"/>
      <w:divBdr>
        <w:top w:val="none" w:sz="0" w:space="0" w:color="auto"/>
        <w:left w:val="none" w:sz="0" w:space="0" w:color="auto"/>
        <w:bottom w:val="none" w:sz="0" w:space="0" w:color="auto"/>
        <w:right w:val="none" w:sz="0" w:space="0" w:color="auto"/>
      </w:divBdr>
    </w:div>
    <w:div w:id="481629083">
      <w:bodyDiv w:val="1"/>
      <w:marLeft w:val="0"/>
      <w:marRight w:val="0"/>
      <w:marTop w:val="0"/>
      <w:marBottom w:val="0"/>
      <w:divBdr>
        <w:top w:val="none" w:sz="0" w:space="0" w:color="auto"/>
        <w:left w:val="none" w:sz="0" w:space="0" w:color="auto"/>
        <w:bottom w:val="none" w:sz="0" w:space="0" w:color="auto"/>
        <w:right w:val="none" w:sz="0" w:space="0" w:color="auto"/>
      </w:divBdr>
    </w:div>
    <w:div w:id="482550431">
      <w:bodyDiv w:val="1"/>
      <w:marLeft w:val="0"/>
      <w:marRight w:val="0"/>
      <w:marTop w:val="0"/>
      <w:marBottom w:val="0"/>
      <w:divBdr>
        <w:top w:val="none" w:sz="0" w:space="0" w:color="auto"/>
        <w:left w:val="none" w:sz="0" w:space="0" w:color="auto"/>
        <w:bottom w:val="none" w:sz="0" w:space="0" w:color="auto"/>
        <w:right w:val="none" w:sz="0" w:space="0" w:color="auto"/>
      </w:divBdr>
    </w:div>
    <w:div w:id="484855922">
      <w:bodyDiv w:val="1"/>
      <w:marLeft w:val="0"/>
      <w:marRight w:val="0"/>
      <w:marTop w:val="0"/>
      <w:marBottom w:val="0"/>
      <w:divBdr>
        <w:top w:val="none" w:sz="0" w:space="0" w:color="auto"/>
        <w:left w:val="none" w:sz="0" w:space="0" w:color="auto"/>
        <w:bottom w:val="none" w:sz="0" w:space="0" w:color="auto"/>
        <w:right w:val="none" w:sz="0" w:space="0" w:color="auto"/>
      </w:divBdr>
    </w:div>
    <w:div w:id="491800406">
      <w:bodyDiv w:val="1"/>
      <w:marLeft w:val="0"/>
      <w:marRight w:val="0"/>
      <w:marTop w:val="0"/>
      <w:marBottom w:val="0"/>
      <w:divBdr>
        <w:top w:val="none" w:sz="0" w:space="0" w:color="auto"/>
        <w:left w:val="none" w:sz="0" w:space="0" w:color="auto"/>
        <w:bottom w:val="none" w:sz="0" w:space="0" w:color="auto"/>
        <w:right w:val="none" w:sz="0" w:space="0" w:color="auto"/>
      </w:divBdr>
      <w:divsChild>
        <w:div w:id="834998801">
          <w:marLeft w:val="0"/>
          <w:marRight w:val="0"/>
          <w:marTop w:val="0"/>
          <w:marBottom w:val="0"/>
          <w:divBdr>
            <w:top w:val="none" w:sz="0" w:space="0" w:color="auto"/>
            <w:left w:val="none" w:sz="0" w:space="0" w:color="auto"/>
            <w:bottom w:val="none" w:sz="0" w:space="0" w:color="auto"/>
            <w:right w:val="none" w:sz="0" w:space="0" w:color="auto"/>
          </w:divBdr>
          <w:divsChild>
            <w:div w:id="1284267062">
              <w:marLeft w:val="0"/>
              <w:marRight w:val="0"/>
              <w:marTop w:val="0"/>
              <w:marBottom w:val="0"/>
              <w:divBdr>
                <w:top w:val="none" w:sz="0" w:space="0" w:color="auto"/>
                <w:left w:val="none" w:sz="0" w:space="0" w:color="auto"/>
                <w:bottom w:val="none" w:sz="0" w:space="0" w:color="auto"/>
                <w:right w:val="none" w:sz="0" w:space="0" w:color="auto"/>
              </w:divBdr>
              <w:divsChild>
                <w:div w:id="724530917">
                  <w:marLeft w:val="0"/>
                  <w:marRight w:val="0"/>
                  <w:marTop w:val="0"/>
                  <w:marBottom w:val="0"/>
                  <w:divBdr>
                    <w:top w:val="none" w:sz="0" w:space="0" w:color="auto"/>
                    <w:left w:val="none" w:sz="0" w:space="0" w:color="auto"/>
                    <w:bottom w:val="none" w:sz="0" w:space="0" w:color="auto"/>
                    <w:right w:val="none" w:sz="0" w:space="0" w:color="auto"/>
                  </w:divBdr>
                  <w:divsChild>
                    <w:div w:id="96766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70">
      <w:bodyDiv w:val="1"/>
      <w:marLeft w:val="0"/>
      <w:marRight w:val="0"/>
      <w:marTop w:val="0"/>
      <w:marBottom w:val="0"/>
      <w:divBdr>
        <w:top w:val="none" w:sz="0" w:space="0" w:color="auto"/>
        <w:left w:val="none" w:sz="0" w:space="0" w:color="auto"/>
        <w:bottom w:val="none" w:sz="0" w:space="0" w:color="auto"/>
        <w:right w:val="none" w:sz="0" w:space="0" w:color="auto"/>
      </w:divBdr>
    </w:div>
    <w:div w:id="505168926">
      <w:bodyDiv w:val="1"/>
      <w:marLeft w:val="0"/>
      <w:marRight w:val="0"/>
      <w:marTop w:val="0"/>
      <w:marBottom w:val="0"/>
      <w:divBdr>
        <w:top w:val="none" w:sz="0" w:space="0" w:color="auto"/>
        <w:left w:val="none" w:sz="0" w:space="0" w:color="auto"/>
        <w:bottom w:val="none" w:sz="0" w:space="0" w:color="auto"/>
        <w:right w:val="none" w:sz="0" w:space="0" w:color="auto"/>
      </w:divBdr>
    </w:div>
    <w:div w:id="514081024">
      <w:bodyDiv w:val="1"/>
      <w:marLeft w:val="0"/>
      <w:marRight w:val="0"/>
      <w:marTop w:val="0"/>
      <w:marBottom w:val="0"/>
      <w:divBdr>
        <w:top w:val="none" w:sz="0" w:space="0" w:color="auto"/>
        <w:left w:val="none" w:sz="0" w:space="0" w:color="auto"/>
        <w:bottom w:val="none" w:sz="0" w:space="0" w:color="auto"/>
        <w:right w:val="none" w:sz="0" w:space="0" w:color="auto"/>
      </w:divBdr>
    </w:div>
    <w:div w:id="515654472">
      <w:bodyDiv w:val="1"/>
      <w:marLeft w:val="0"/>
      <w:marRight w:val="0"/>
      <w:marTop w:val="0"/>
      <w:marBottom w:val="0"/>
      <w:divBdr>
        <w:top w:val="none" w:sz="0" w:space="0" w:color="auto"/>
        <w:left w:val="none" w:sz="0" w:space="0" w:color="auto"/>
        <w:bottom w:val="none" w:sz="0" w:space="0" w:color="auto"/>
        <w:right w:val="none" w:sz="0" w:space="0" w:color="auto"/>
      </w:divBdr>
    </w:div>
    <w:div w:id="518204045">
      <w:bodyDiv w:val="1"/>
      <w:marLeft w:val="0"/>
      <w:marRight w:val="0"/>
      <w:marTop w:val="0"/>
      <w:marBottom w:val="0"/>
      <w:divBdr>
        <w:top w:val="none" w:sz="0" w:space="0" w:color="auto"/>
        <w:left w:val="none" w:sz="0" w:space="0" w:color="auto"/>
        <w:bottom w:val="none" w:sz="0" w:space="0" w:color="auto"/>
        <w:right w:val="none" w:sz="0" w:space="0" w:color="auto"/>
      </w:divBdr>
    </w:div>
    <w:div w:id="523707939">
      <w:bodyDiv w:val="1"/>
      <w:marLeft w:val="0"/>
      <w:marRight w:val="0"/>
      <w:marTop w:val="0"/>
      <w:marBottom w:val="0"/>
      <w:divBdr>
        <w:top w:val="none" w:sz="0" w:space="0" w:color="auto"/>
        <w:left w:val="none" w:sz="0" w:space="0" w:color="auto"/>
        <w:bottom w:val="none" w:sz="0" w:space="0" w:color="auto"/>
        <w:right w:val="none" w:sz="0" w:space="0" w:color="auto"/>
      </w:divBdr>
    </w:div>
    <w:div w:id="527766638">
      <w:bodyDiv w:val="1"/>
      <w:marLeft w:val="0"/>
      <w:marRight w:val="0"/>
      <w:marTop w:val="0"/>
      <w:marBottom w:val="0"/>
      <w:divBdr>
        <w:top w:val="none" w:sz="0" w:space="0" w:color="auto"/>
        <w:left w:val="none" w:sz="0" w:space="0" w:color="auto"/>
        <w:bottom w:val="none" w:sz="0" w:space="0" w:color="auto"/>
        <w:right w:val="none" w:sz="0" w:space="0" w:color="auto"/>
      </w:divBdr>
    </w:div>
    <w:div w:id="535191511">
      <w:bodyDiv w:val="1"/>
      <w:marLeft w:val="0"/>
      <w:marRight w:val="0"/>
      <w:marTop w:val="0"/>
      <w:marBottom w:val="0"/>
      <w:divBdr>
        <w:top w:val="none" w:sz="0" w:space="0" w:color="auto"/>
        <w:left w:val="none" w:sz="0" w:space="0" w:color="auto"/>
        <w:bottom w:val="none" w:sz="0" w:space="0" w:color="auto"/>
        <w:right w:val="none" w:sz="0" w:space="0" w:color="auto"/>
      </w:divBdr>
    </w:div>
    <w:div w:id="543371918">
      <w:bodyDiv w:val="1"/>
      <w:marLeft w:val="0"/>
      <w:marRight w:val="0"/>
      <w:marTop w:val="0"/>
      <w:marBottom w:val="0"/>
      <w:divBdr>
        <w:top w:val="none" w:sz="0" w:space="0" w:color="auto"/>
        <w:left w:val="none" w:sz="0" w:space="0" w:color="auto"/>
        <w:bottom w:val="none" w:sz="0" w:space="0" w:color="auto"/>
        <w:right w:val="none" w:sz="0" w:space="0" w:color="auto"/>
      </w:divBdr>
      <w:divsChild>
        <w:div w:id="785395499">
          <w:marLeft w:val="0"/>
          <w:marRight w:val="0"/>
          <w:marTop w:val="0"/>
          <w:marBottom w:val="0"/>
          <w:divBdr>
            <w:top w:val="none" w:sz="0" w:space="0" w:color="auto"/>
            <w:left w:val="none" w:sz="0" w:space="0" w:color="auto"/>
            <w:bottom w:val="none" w:sz="0" w:space="0" w:color="auto"/>
            <w:right w:val="none" w:sz="0" w:space="0" w:color="auto"/>
          </w:divBdr>
          <w:divsChild>
            <w:div w:id="502932964">
              <w:marLeft w:val="0"/>
              <w:marRight w:val="0"/>
              <w:marTop w:val="0"/>
              <w:marBottom w:val="0"/>
              <w:divBdr>
                <w:top w:val="none" w:sz="0" w:space="0" w:color="auto"/>
                <w:left w:val="none" w:sz="0" w:space="0" w:color="auto"/>
                <w:bottom w:val="none" w:sz="0" w:space="0" w:color="auto"/>
                <w:right w:val="none" w:sz="0" w:space="0" w:color="auto"/>
              </w:divBdr>
              <w:divsChild>
                <w:div w:id="1906643423">
                  <w:marLeft w:val="0"/>
                  <w:marRight w:val="0"/>
                  <w:marTop w:val="0"/>
                  <w:marBottom w:val="0"/>
                  <w:divBdr>
                    <w:top w:val="none" w:sz="0" w:space="0" w:color="auto"/>
                    <w:left w:val="none" w:sz="0" w:space="0" w:color="auto"/>
                    <w:bottom w:val="none" w:sz="0" w:space="0" w:color="auto"/>
                    <w:right w:val="none" w:sz="0" w:space="0" w:color="auto"/>
                  </w:divBdr>
                  <w:divsChild>
                    <w:div w:id="5424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58271">
      <w:bodyDiv w:val="1"/>
      <w:marLeft w:val="0"/>
      <w:marRight w:val="0"/>
      <w:marTop w:val="0"/>
      <w:marBottom w:val="0"/>
      <w:divBdr>
        <w:top w:val="none" w:sz="0" w:space="0" w:color="auto"/>
        <w:left w:val="none" w:sz="0" w:space="0" w:color="auto"/>
        <w:bottom w:val="none" w:sz="0" w:space="0" w:color="auto"/>
        <w:right w:val="none" w:sz="0" w:space="0" w:color="auto"/>
      </w:divBdr>
    </w:div>
    <w:div w:id="572200099">
      <w:bodyDiv w:val="1"/>
      <w:marLeft w:val="0"/>
      <w:marRight w:val="0"/>
      <w:marTop w:val="0"/>
      <w:marBottom w:val="0"/>
      <w:divBdr>
        <w:top w:val="none" w:sz="0" w:space="0" w:color="auto"/>
        <w:left w:val="none" w:sz="0" w:space="0" w:color="auto"/>
        <w:bottom w:val="none" w:sz="0" w:space="0" w:color="auto"/>
        <w:right w:val="none" w:sz="0" w:space="0" w:color="auto"/>
      </w:divBdr>
    </w:div>
    <w:div w:id="606471333">
      <w:bodyDiv w:val="1"/>
      <w:marLeft w:val="0"/>
      <w:marRight w:val="0"/>
      <w:marTop w:val="0"/>
      <w:marBottom w:val="0"/>
      <w:divBdr>
        <w:top w:val="none" w:sz="0" w:space="0" w:color="auto"/>
        <w:left w:val="none" w:sz="0" w:space="0" w:color="auto"/>
        <w:bottom w:val="none" w:sz="0" w:space="0" w:color="auto"/>
        <w:right w:val="none" w:sz="0" w:space="0" w:color="auto"/>
      </w:divBdr>
    </w:div>
    <w:div w:id="608044543">
      <w:bodyDiv w:val="1"/>
      <w:marLeft w:val="0"/>
      <w:marRight w:val="0"/>
      <w:marTop w:val="0"/>
      <w:marBottom w:val="0"/>
      <w:divBdr>
        <w:top w:val="none" w:sz="0" w:space="0" w:color="auto"/>
        <w:left w:val="none" w:sz="0" w:space="0" w:color="auto"/>
        <w:bottom w:val="none" w:sz="0" w:space="0" w:color="auto"/>
        <w:right w:val="none" w:sz="0" w:space="0" w:color="auto"/>
      </w:divBdr>
    </w:div>
    <w:div w:id="618606654">
      <w:bodyDiv w:val="1"/>
      <w:marLeft w:val="0"/>
      <w:marRight w:val="0"/>
      <w:marTop w:val="0"/>
      <w:marBottom w:val="0"/>
      <w:divBdr>
        <w:top w:val="none" w:sz="0" w:space="0" w:color="auto"/>
        <w:left w:val="none" w:sz="0" w:space="0" w:color="auto"/>
        <w:bottom w:val="none" w:sz="0" w:space="0" w:color="auto"/>
        <w:right w:val="none" w:sz="0" w:space="0" w:color="auto"/>
      </w:divBdr>
    </w:div>
    <w:div w:id="618755799">
      <w:bodyDiv w:val="1"/>
      <w:marLeft w:val="0"/>
      <w:marRight w:val="0"/>
      <w:marTop w:val="0"/>
      <w:marBottom w:val="0"/>
      <w:divBdr>
        <w:top w:val="none" w:sz="0" w:space="0" w:color="auto"/>
        <w:left w:val="none" w:sz="0" w:space="0" w:color="auto"/>
        <w:bottom w:val="none" w:sz="0" w:space="0" w:color="auto"/>
        <w:right w:val="none" w:sz="0" w:space="0" w:color="auto"/>
      </w:divBdr>
    </w:div>
    <w:div w:id="620723816">
      <w:bodyDiv w:val="1"/>
      <w:marLeft w:val="0"/>
      <w:marRight w:val="0"/>
      <w:marTop w:val="0"/>
      <w:marBottom w:val="0"/>
      <w:divBdr>
        <w:top w:val="none" w:sz="0" w:space="0" w:color="auto"/>
        <w:left w:val="none" w:sz="0" w:space="0" w:color="auto"/>
        <w:bottom w:val="none" w:sz="0" w:space="0" w:color="auto"/>
        <w:right w:val="none" w:sz="0" w:space="0" w:color="auto"/>
      </w:divBdr>
    </w:div>
    <w:div w:id="630400968">
      <w:bodyDiv w:val="1"/>
      <w:marLeft w:val="0"/>
      <w:marRight w:val="0"/>
      <w:marTop w:val="0"/>
      <w:marBottom w:val="0"/>
      <w:divBdr>
        <w:top w:val="none" w:sz="0" w:space="0" w:color="auto"/>
        <w:left w:val="none" w:sz="0" w:space="0" w:color="auto"/>
        <w:bottom w:val="none" w:sz="0" w:space="0" w:color="auto"/>
        <w:right w:val="none" w:sz="0" w:space="0" w:color="auto"/>
      </w:divBdr>
    </w:div>
    <w:div w:id="637564252">
      <w:bodyDiv w:val="1"/>
      <w:marLeft w:val="0"/>
      <w:marRight w:val="0"/>
      <w:marTop w:val="0"/>
      <w:marBottom w:val="0"/>
      <w:divBdr>
        <w:top w:val="none" w:sz="0" w:space="0" w:color="auto"/>
        <w:left w:val="none" w:sz="0" w:space="0" w:color="auto"/>
        <w:bottom w:val="none" w:sz="0" w:space="0" w:color="auto"/>
        <w:right w:val="none" w:sz="0" w:space="0" w:color="auto"/>
      </w:divBdr>
    </w:div>
    <w:div w:id="649216763">
      <w:bodyDiv w:val="1"/>
      <w:marLeft w:val="0"/>
      <w:marRight w:val="0"/>
      <w:marTop w:val="0"/>
      <w:marBottom w:val="0"/>
      <w:divBdr>
        <w:top w:val="none" w:sz="0" w:space="0" w:color="auto"/>
        <w:left w:val="none" w:sz="0" w:space="0" w:color="auto"/>
        <w:bottom w:val="none" w:sz="0" w:space="0" w:color="auto"/>
        <w:right w:val="none" w:sz="0" w:space="0" w:color="auto"/>
      </w:divBdr>
    </w:div>
    <w:div w:id="656806369">
      <w:bodyDiv w:val="1"/>
      <w:marLeft w:val="0"/>
      <w:marRight w:val="0"/>
      <w:marTop w:val="0"/>
      <w:marBottom w:val="0"/>
      <w:divBdr>
        <w:top w:val="none" w:sz="0" w:space="0" w:color="auto"/>
        <w:left w:val="none" w:sz="0" w:space="0" w:color="auto"/>
        <w:bottom w:val="none" w:sz="0" w:space="0" w:color="auto"/>
        <w:right w:val="none" w:sz="0" w:space="0" w:color="auto"/>
      </w:divBdr>
    </w:div>
    <w:div w:id="657997314">
      <w:bodyDiv w:val="1"/>
      <w:marLeft w:val="0"/>
      <w:marRight w:val="0"/>
      <w:marTop w:val="0"/>
      <w:marBottom w:val="0"/>
      <w:divBdr>
        <w:top w:val="none" w:sz="0" w:space="0" w:color="auto"/>
        <w:left w:val="none" w:sz="0" w:space="0" w:color="auto"/>
        <w:bottom w:val="none" w:sz="0" w:space="0" w:color="auto"/>
        <w:right w:val="none" w:sz="0" w:space="0" w:color="auto"/>
      </w:divBdr>
    </w:div>
    <w:div w:id="663314073">
      <w:bodyDiv w:val="1"/>
      <w:marLeft w:val="0"/>
      <w:marRight w:val="0"/>
      <w:marTop w:val="0"/>
      <w:marBottom w:val="0"/>
      <w:divBdr>
        <w:top w:val="none" w:sz="0" w:space="0" w:color="auto"/>
        <w:left w:val="none" w:sz="0" w:space="0" w:color="auto"/>
        <w:bottom w:val="none" w:sz="0" w:space="0" w:color="auto"/>
        <w:right w:val="none" w:sz="0" w:space="0" w:color="auto"/>
      </w:divBdr>
    </w:div>
    <w:div w:id="664212286">
      <w:bodyDiv w:val="1"/>
      <w:marLeft w:val="0"/>
      <w:marRight w:val="0"/>
      <w:marTop w:val="0"/>
      <w:marBottom w:val="0"/>
      <w:divBdr>
        <w:top w:val="none" w:sz="0" w:space="0" w:color="auto"/>
        <w:left w:val="none" w:sz="0" w:space="0" w:color="auto"/>
        <w:bottom w:val="none" w:sz="0" w:space="0" w:color="auto"/>
        <w:right w:val="none" w:sz="0" w:space="0" w:color="auto"/>
      </w:divBdr>
    </w:div>
    <w:div w:id="665018528">
      <w:bodyDiv w:val="1"/>
      <w:marLeft w:val="0"/>
      <w:marRight w:val="0"/>
      <w:marTop w:val="0"/>
      <w:marBottom w:val="0"/>
      <w:divBdr>
        <w:top w:val="none" w:sz="0" w:space="0" w:color="auto"/>
        <w:left w:val="none" w:sz="0" w:space="0" w:color="auto"/>
        <w:bottom w:val="none" w:sz="0" w:space="0" w:color="auto"/>
        <w:right w:val="none" w:sz="0" w:space="0" w:color="auto"/>
      </w:divBdr>
    </w:div>
    <w:div w:id="677267133">
      <w:bodyDiv w:val="1"/>
      <w:marLeft w:val="0"/>
      <w:marRight w:val="0"/>
      <w:marTop w:val="0"/>
      <w:marBottom w:val="0"/>
      <w:divBdr>
        <w:top w:val="none" w:sz="0" w:space="0" w:color="auto"/>
        <w:left w:val="none" w:sz="0" w:space="0" w:color="auto"/>
        <w:bottom w:val="none" w:sz="0" w:space="0" w:color="auto"/>
        <w:right w:val="none" w:sz="0" w:space="0" w:color="auto"/>
      </w:divBdr>
    </w:div>
    <w:div w:id="679936209">
      <w:bodyDiv w:val="1"/>
      <w:marLeft w:val="0"/>
      <w:marRight w:val="0"/>
      <w:marTop w:val="0"/>
      <w:marBottom w:val="0"/>
      <w:divBdr>
        <w:top w:val="none" w:sz="0" w:space="0" w:color="auto"/>
        <w:left w:val="none" w:sz="0" w:space="0" w:color="auto"/>
        <w:bottom w:val="none" w:sz="0" w:space="0" w:color="auto"/>
        <w:right w:val="none" w:sz="0" w:space="0" w:color="auto"/>
      </w:divBdr>
    </w:div>
    <w:div w:id="680162731">
      <w:bodyDiv w:val="1"/>
      <w:marLeft w:val="0"/>
      <w:marRight w:val="0"/>
      <w:marTop w:val="0"/>
      <w:marBottom w:val="0"/>
      <w:divBdr>
        <w:top w:val="none" w:sz="0" w:space="0" w:color="auto"/>
        <w:left w:val="none" w:sz="0" w:space="0" w:color="auto"/>
        <w:bottom w:val="none" w:sz="0" w:space="0" w:color="auto"/>
        <w:right w:val="none" w:sz="0" w:space="0" w:color="auto"/>
      </w:divBdr>
    </w:div>
    <w:div w:id="686836802">
      <w:bodyDiv w:val="1"/>
      <w:marLeft w:val="0"/>
      <w:marRight w:val="0"/>
      <w:marTop w:val="0"/>
      <w:marBottom w:val="0"/>
      <w:divBdr>
        <w:top w:val="none" w:sz="0" w:space="0" w:color="auto"/>
        <w:left w:val="none" w:sz="0" w:space="0" w:color="auto"/>
        <w:bottom w:val="none" w:sz="0" w:space="0" w:color="auto"/>
        <w:right w:val="none" w:sz="0" w:space="0" w:color="auto"/>
      </w:divBdr>
    </w:div>
    <w:div w:id="687369596">
      <w:bodyDiv w:val="1"/>
      <w:marLeft w:val="0"/>
      <w:marRight w:val="0"/>
      <w:marTop w:val="0"/>
      <w:marBottom w:val="0"/>
      <w:divBdr>
        <w:top w:val="none" w:sz="0" w:space="0" w:color="auto"/>
        <w:left w:val="none" w:sz="0" w:space="0" w:color="auto"/>
        <w:bottom w:val="none" w:sz="0" w:space="0" w:color="auto"/>
        <w:right w:val="none" w:sz="0" w:space="0" w:color="auto"/>
      </w:divBdr>
    </w:div>
    <w:div w:id="688290971">
      <w:bodyDiv w:val="1"/>
      <w:marLeft w:val="0"/>
      <w:marRight w:val="0"/>
      <w:marTop w:val="0"/>
      <w:marBottom w:val="0"/>
      <w:divBdr>
        <w:top w:val="none" w:sz="0" w:space="0" w:color="auto"/>
        <w:left w:val="none" w:sz="0" w:space="0" w:color="auto"/>
        <w:bottom w:val="none" w:sz="0" w:space="0" w:color="auto"/>
        <w:right w:val="none" w:sz="0" w:space="0" w:color="auto"/>
      </w:divBdr>
    </w:div>
    <w:div w:id="697580672">
      <w:bodyDiv w:val="1"/>
      <w:marLeft w:val="0"/>
      <w:marRight w:val="0"/>
      <w:marTop w:val="0"/>
      <w:marBottom w:val="0"/>
      <w:divBdr>
        <w:top w:val="none" w:sz="0" w:space="0" w:color="auto"/>
        <w:left w:val="none" w:sz="0" w:space="0" w:color="auto"/>
        <w:bottom w:val="none" w:sz="0" w:space="0" w:color="auto"/>
        <w:right w:val="none" w:sz="0" w:space="0" w:color="auto"/>
      </w:divBdr>
    </w:div>
    <w:div w:id="704134409">
      <w:bodyDiv w:val="1"/>
      <w:marLeft w:val="0"/>
      <w:marRight w:val="0"/>
      <w:marTop w:val="0"/>
      <w:marBottom w:val="0"/>
      <w:divBdr>
        <w:top w:val="none" w:sz="0" w:space="0" w:color="auto"/>
        <w:left w:val="none" w:sz="0" w:space="0" w:color="auto"/>
        <w:bottom w:val="none" w:sz="0" w:space="0" w:color="auto"/>
        <w:right w:val="none" w:sz="0" w:space="0" w:color="auto"/>
      </w:divBdr>
    </w:div>
    <w:div w:id="728772329">
      <w:bodyDiv w:val="1"/>
      <w:marLeft w:val="0"/>
      <w:marRight w:val="0"/>
      <w:marTop w:val="0"/>
      <w:marBottom w:val="0"/>
      <w:divBdr>
        <w:top w:val="none" w:sz="0" w:space="0" w:color="auto"/>
        <w:left w:val="none" w:sz="0" w:space="0" w:color="auto"/>
        <w:bottom w:val="none" w:sz="0" w:space="0" w:color="auto"/>
        <w:right w:val="none" w:sz="0" w:space="0" w:color="auto"/>
      </w:divBdr>
    </w:div>
    <w:div w:id="756444600">
      <w:bodyDiv w:val="1"/>
      <w:marLeft w:val="0"/>
      <w:marRight w:val="0"/>
      <w:marTop w:val="0"/>
      <w:marBottom w:val="0"/>
      <w:divBdr>
        <w:top w:val="none" w:sz="0" w:space="0" w:color="auto"/>
        <w:left w:val="none" w:sz="0" w:space="0" w:color="auto"/>
        <w:bottom w:val="none" w:sz="0" w:space="0" w:color="auto"/>
        <w:right w:val="none" w:sz="0" w:space="0" w:color="auto"/>
      </w:divBdr>
    </w:div>
    <w:div w:id="772358527">
      <w:bodyDiv w:val="1"/>
      <w:marLeft w:val="0"/>
      <w:marRight w:val="0"/>
      <w:marTop w:val="0"/>
      <w:marBottom w:val="0"/>
      <w:divBdr>
        <w:top w:val="none" w:sz="0" w:space="0" w:color="auto"/>
        <w:left w:val="none" w:sz="0" w:space="0" w:color="auto"/>
        <w:bottom w:val="none" w:sz="0" w:space="0" w:color="auto"/>
        <w:right w:val="none" w:sz="0" w:space="0" w:color="auto"/>
      </w:divBdr>
    </w:div>
    <w:div w:id="775177054">
      <w:bodyDiv w:val="1"/>
      <w:marLeft w:val="0"/>
      <w:marRight w:val="0"/>
      <w:marTop w:val="0"/>
      <w:marBottom w:val="0"/>
      <w:divBdr>
        <w:top w:val="none" w:sz="0" w:space="0" w:color="auto"/>
        <w:left w:val="none" w:sz="0" w:space="0" w:color="auto"/>
        <w:bottom w:val="none" w:sz="0" w:space="0" w:color="auto"/>
        <w:right w:val="none" w:sz="0" w:space="0" w:color="auto"/>
      </w:divBdr>
    </w:div>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6117">
      <w:bodyDiv w:val="1"/>
      <w:marLeft w:val="0"/>
      <w:marRight w:val="0"/>
      <w:marTop w:val="0"/>
      <w:marBottom w:val="0"/>
      <w:divBdr>
        <w:top w:val="none" w:sz="0" w:space="0" w:color="auto"/>
        <w:left w:val="none" w:sz="0" w:space="0" w:color="auto"/>
        <w:bottom w:val="none" w:sz="0" w:space="0" w:color="auto"/>
        <w:right w:val="none" w:sz="0" w:space="0" w:color="auto"/>
      </w:divBdr>
    </w:div>
    <w:div w:id="809136290">
      <w:bodyDiv w:val="1"/>
      <w:marLeft w:val="0"/>
      <w:marRight w:val="0"/>
      <w:marTop w:val="0"/>
      <w:marBottom w:val="0"/>
      <w:divBdr>
        <w:top w:val="none" w:sz="0" w:space="0" w:color="auto"/>
        <w:left w:val="none" w:sz="0" w:space="0" w:color="auto"/>
        <w:bottom w:val="none" w:sz="0" w:space="0" w:color="auto"/>
        <w:right w:val="none" w:sz="0" w:space="0" w:color="auto"/>
      </w:divBdr>
    </w:div>
    <w:div w:id="821503360">
      <w:bodyDiv w:val="1"/>
      <w:marLeft w:val="0"/>
      <w:marRight w:val="0"/>
      <w:marTop w:val="0"/>
      <w:marBottom w:val="0"/>
      <w:divBdr>
        <w:top w:val="none" w:sz="0" w:space="0" w:color="auto"/>
        <w:left w:val="none" w:sz="0" w:space="0" w:color="auto"/>
        <w:bottom w:val="none" w:sz="0" w:space="0" w:color="auto"/>
        <w:right w:val="none" w:sz="0" w:space="0" w:color="auto"/>
      </w:divBdr>
    </w:div>
    <w:div w:id="825514701">
      <w:bodyDiv w:val="1"/>
      <w:marLeft w:val="0"/>
      <w:marRight w:val="0"/>
      <w:marTop w:val="0"/>
      <w:marBottom w:val="0"/>
      <w:divBdr>
        <w:top w:val="none" w:sz="0" w:space="0" w:color="auto"/>
        <w:left w:val="none" w:sz="0" w:space="0" w:color="auto"/>
        <w:bottom w:val="none" w:sz="0" w:space="0" w:color="auto"/>
        <w:right w:val="none" w:sz="0" w:space="0" w:color="auto"/>
      </w:divBdr>
    </w:div>
    <w:div w:id="828524765">
      <w:bodyDiv w:val="1"/>
      <w:marLeft w:val="0"/>
      <w:marRight w:val="0"/>
      <w:marTop w:val="0"/>
      <w:marBottom w:val="0"/>
      <w:divBdr>
        <w:top w:val="none" w:sz="0" w:space="0" w:color="auto"/>
        <w:left w:val="none" w:sz="0" w:space="0" w:color="auto"/>
        <w:bottom w:val="none" w:sz="0" w:space="0" w:color="auto"/>
        <w:right w:val="none" w:sz="0" w:space="0" w:color="auto"/>
      </w:divBdr>
    </w:div>
    <w:div w:id="833302173">
      <w:bodyDiv w:val="1"/>
      <w:marLeft w:val="0"/>
      <w:marRight w:val="0"/>
      <w:marTop w:val="0"/>
      <w:marBottom w:val="0"/>
      <w:divBdr>
        <w:top w:val="none" w:sz="0" w:space="0" w:color="auto"/>
        <w:left w:val="none" w:sz="0" w:space="0" w:color="auto"/>
        <w:bottom w:val="none" w:sz="0" w:space="0" w:color="auto"/>
        <w:right w:val="none" w:sz="0" w:space="0" w:color="auto"/>
      </w:divBdr>
    </w:div>
    <w:div w:id="836262183">
      <w:bodyDiv w:val="1"/>
      <w:marLeft w:val="0"/>
      <w:marRight w:val="0"/>
      <w:marTop w:val="0"/>
      <w:marBottom w:val="0"/>
      <w:divBdr>
        <w:top w:val="none" w:sz="0" w:space="0" w:color="auto"/>
        <w:left w:val="none" w:sz="0" w:space="0" w:color="auto"/>
        <w:bottom w:val="none" w:sz="0" w:space="0" w:color="auto"/>
        <w:right w:val="none" w:sz="0" w:space="0" w:color="auto"/>
      </w:divBdr>
    </w:div>
    <w:div w:id="853879254">
      <w:bodyDiv w:val="1"/>
      <w:marLeft w:val="0"/>
      <w:marRight w:val="0"/>
      <w:marTop w:val="0"/>
      <w:marBottom w:val="0"/>
      <w:divBdr>
        <w:top w:val="none" w:sz="0" w:space="0" w:color="auto"/>
        <w:left w:val="none" w:sz="0" w:space="0" w:color="auto"/>
        <w:bottom w:val="none" w:sz="0" w:space="0" w:color="auto"/>
        <w:right w:val="none" w:sz="0" w:space="0" w:color="auto"/>
      </w:divBdr>
    </w:div>
    <w:div w:id="858007963">
      <w:bodyDiv w:val="1"/>
      <w:marLeft w:val="0"/>
      <w:marRight w:val="0"/>
      <w:marTop w:val="0"/>
      <w:marBottom w:val="0"/>
      <w:divBdr>
        <w:top w:val="none" w:sz="0" w:space="0" w:color="auto"/>
        <w:left w:val="none" w:sz="0" w:space="0" w:color="auto"/>
        <w:bottom w:val="none" w:sz="0" w:space="0" w:color="auto"/>
        <w:right w:val="none" w:sz="0" w:space="0" w:color="auto"/>
      </w:divBdr>
    </w:div>
    <w:div w:id="863598044">
      <w:bodyDiv w:val="1"/>
      <w:marLeft w:val="0"/>
      <w:marRight w:val="0"/>
      <w:marTop w:val="0"/>
      <w:marBottom w:val="0"/>
      <w:divBdr>
        <w:top w:val="none" w:sz="0" w:space="0" w:color="auto"/>
        <w:left w:val="none" w:sz="0" w:space="0" w:color="auto"/>
        <w:bottom w:val="none" w:sz="0" w:space="0" w:color="auto"/>
        <w:right w:val="none" w:sz="0" w:space="0" w:color="auto"/>
      </w:divBdr>
    </w:div>
    <w:div w:id="870146551">
      <w:bodyDiv w:val="1"/>
      <w:marLeft w:val="0"/>
      <w:marRight w:val="0"/>
      <w:marTop w:val="0"/>
      <w:marBottom w:val="0"/>
      <w:divBdr>
        <w:top w:val="none" w:sz="0" w:space="0" w:color="auto"/>
        <w:left w:val="none" w:sz="0" w:space="0" w:color="auto"/>
        <w:bottom w:val="none" w:sz="0" w:space="0" w:color="auto"/>
        <w:right w:val="none" w:sz="0" w:space="0" w:color="auto"/>
      </w:divBdr>
    </w:div>
    <w:div w:id="870462502">
      <w:bodyDiv w:val="1"/>
      <w:marLeft w:val="0"/>
      <w:marRight w:val="0"/>
      <w:marTop w:val="0"/>
      <w:marBottom w:val="0"/>
      <w:divBdr>
        <w:top w:val="none" w:sz="0" w:space="0" w:color="auto"/>
        <w:left w:val="none" w:sz="0" w:space="0" w:color="auto"/>
        <w:bottom w:val="none" w:sz="0" w:space="0" w:color="auto"/>
        <w:right w:val="none" w:sz="0" w:space="0" w:color="auto"/>
      </w:divBdr>
    </w:div>
    <w:div w:id="871264792">
      <w:bodyDiv w:val="1"/>
      <w:marLeft w:val="0"/>
      <w:marRight w:val="0"/>
      <w:marTop w:val="0"/>
      <w:marBottom w:val="0"/>
      <w:divBdr>
        <w:top w:val="none" w:sz="0" w:space="0" w:color="auto"/>
        <w:left w:val="none" w:sz="0" w:space="0" w:color="auto"/>
        <w:bottom w:val="none" w:sz="0" w:space="0" w:color="auto"/>
        <w:right w:val="none" w:sz="0" w:space="0" w:color="auto"/>
      </w:divBdr>
    </w:div>
    <w:div w:id="879127346">
      <w:bodyDiv w:val="1"/>
      <w:marLeft w:val="0"/>
      <w:marRight w:val="0"/>
      <w:marTop w:val="0"/>
      <w:marBottom w:val="0"/>
      <w:divBdr>
        <w:top w:val="none" w:sz="0" w:space="0" w:color="auto"/>
        <w:left w:val="none" w:sz="0" w:space="0" w:color="auto"/>
        <w:bottom w:val="none" w:sz="0" w:space="0" w:color="auto"/>
        <w:right w:val="none" w:sz="0" w:space="0" w:color="auto"/>
      </w:divBdr>
      <w:divsChild>
        <w:div w:id="664088597">
          <w:marLeft w:val="0"/>
          <w:marRight w:val="0"/>
          <w:marTop w:val="0"/>
          <w:marBottom w:val="0"/>
          <w:divBdr>
            <w:top w:val="none" w:sz="0" w:space="0" w:color="auto"/>
            <w:left w:val="none" w:sz="0" w:space="0" w:color="auto"/>
            <w:bottom w:val="none" w:sz="0" w:space="0" w:color="auto"/>
            <w:right w:val="none" w:sz="0" w:space="0" w:color="auto"/>
          </w:divBdr>
          <w:divsChild>
            <w:div w:id="2050759966">
              <w:marLeft w:val="0"/>
              <w:marRight w:val="0"/>
              <w:marTop w:val="0"/>
              <w:marBottom w:val="0"/>
              <w:divBdr>
                <w:top w:val="none" w:sz="0" w:space="0" w:color="auto"/>
                <w:left w:val="none" w:sz="0" w:space="0" w:color="auto"/>
                <w:bottom w:val="none" w:sz="0" w:space="0" w:color="auto"/>
                <w:right w:val="none" w:sz="0" w:space="0" w:color="auto"/>
              </w:divBdr>
              <w:divsChild>
                <w:div w:id="1985770354">
                  <w:marLeft w:val="0"/>
                  <w:marRight w:val="0"/>
                  <w:marTop w:val="0"/>
                  <w:marBottom w:val="0"/>
                  <w:divBdr>
                    <w:top w:val="none" w:sz="0" w:space="0" w:color="auto"/>
                    <w:left w:val="none" w:sz="0" w:space="0" w:color="auto"/>
                    <w:bottom w:val="none" w:sz="0" w:space="0" w:color="auto"/>
                    <w:right w:val="none" w:sz="0" w:space="0" w:color="auto"/>
                  </w:divBdr>
                  <w:divsChild>
                    <w:div w:id="19438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6950">
      <w:bodyDiv w:val="1"/>
      <w:marLeft w:val="0"/>
      <w:marRight w:val="0"/>
      <w:marTop w:val="0"/>
      <w:marBottom w:val="0"/>
      <w:divBdr>
        <w:top w:val="none" w:sz="0" w:space="0" w:color="auto"/>
        <w:left w:val="none" w:sz="0" w:space="0" w:color="auto"/>
        <w:bottom w:val="none" w:sz="0" w:space="0" w:color="auto"/>
        <w:right w:val="none" w:sz="0" w:space="0" w:color="auto"/>
      </w:divBdr>
    </w:div>
    <w:div w:id="882332646">
      <w:bodyDiv w:val="1"/>
      <w:marLeft w:val="0"/>
      <w:marRight w:val="0"/>
      <w:marTop w:val="0"/>
      <w:marBottom w:val="0"/>
      <w:divBdr>
        <w:top w:val="none" w:sz="0" w:space="0" w:color="auto"/>
        <w:left w:val="none" w:sz="0" w:space="0" w:color="auto"/>
        <w:bottom w:val="none" w:sz="0" w:space="0" w:color="auto"/>
        <w:right w:val="none" w:sz="0" w:space="0" w:color="auto"/>
      </w:divBdr>
    </w:div>
    <w:div w:id="884947963">
      <w:bodyDiv w:val="1"/>
      <w:marLeft w:val="0"/>
      <w:marRight w:val="0"/>
      <w:marTop w:val="0"/>
      <w:marBottom w:val="0"/>
      <w:divBdr>
        <w:top w:val="none" w:sz="0" w:space="0" w:color="auto"/>
        <w:left w:val="none" w:sz="0" w:space="0" w:color="auto"/>
        <w:bottom w:val="none" w:sz="0" w:space="0" w:color="auto"/>
        <w:right w:val="none" w:sz="0" w:space="0" w:color="auto"/>
      </w:divBdr>
    </w:div>
    <w:div w:id="887423886">
      <w:bodyDiv w:val="1"/>
      <w:marLeft w:val="0"/>
      <w:marRight w:val="0"/>
      <w:marTop w:val="0"/>
      <w:marBottom w:val="0"/>
      <w:divBdr>
        <w:top w:val="none" w:sz="0" w:space="0" w:color="auto"/>
        <w:left w:val="none" w:sz="0" w:space="0" w:color="auto"/>
        <w:bottom w:val="none" w:sz="0" w:space="0" w:color="auto"/>
        <w:right w:val="none" w:sz="0" w:space="0" w:color="auto"/>
      </w:divBdr>
    </w:div>
    <w:div w:id="913199180">
      <w:bodyDiv w:val="1"/>
      <w:marLeft w:val="0"/>
      <w:marRight w:val="0"/>
      <w:marTop w:val="0"/>
      <w:marBottom w:val="0"/>
      <w:divBdr>
        <w:top w:val="none" w:sz="0" w:space="0" w:color="auto"/>
        <w:left w:val="none" w:sz="0" w:space="0" w:color="auto"/>
        <w:bottom w:val="none" w:sz="0" w:space="0" w:color="auto"/>
        <w:right w:val="none" w:sz="0" w:space="0" w:color="auto"/>
      </w:divBdr>
    </w:div>
    <w:div w:id="919144008">
      <w:bodyDiv w:val="1"/>
      <w:marLeft w:val="0"/>
      <w:marRight w:val="0"/>
      <w:marTop w:val="0"/>
      <w:marBottom w:val="0"/>
      <w:divBdr>
        <w:top w:val="none" w:sz="0" w:space="0" w:color="auto"/>
        <w:left w:val="none" w:sz="0" w:space="0" w:color="auto"/>
        <w:bottom w:val="none" w:sz="0" w:space="0" w:color="auto"/>
        <w:right w:val="none" w:sz="0" w:space="0" w:color="auto"/>
      </w:divBdr>
    </w:div>
    <w:div w:id="926112796">
      <w:bodyDiv w:val="1"/>
      <w:marLeft w:val="0"/>
      <w:marRight w:val="0"/>
      <w:marTop w:val="0"/>
      <w:marBottom w:val="0"/>
      <w:divBdr>
        <w:top w:val="none" w:sz="0" w:space="0" w:color="auto"/>
        <w:left w:val="none" w:sz="0" w:space="0" w:color="auto"/>
        <w:bottom w:val="none" w:sz="0" w:space="0" w:color="auto"/>
        <w:right w:val="none" w:sz="0" w:space="0" w:color="auto"/>
      </w:divBdr>
    </w:div>
    <w:div w:id="929117287">
      <w:bodyDiv w:val="1"/>
      <w:marLeft w:val="0"/>
      <w:marRight w:val="0"/>
      <w:marTop w:val="0"/>
      <w:marBottom w:val="0"/>
      <w:divBdr>
        <w:top w:val="none" w:sz="0" w:space="0" w:color="auto"/>
        <w:left w:val="none" w:sz="0" w:space="0" w:color="auto"/>
        <w:bottom w:val="none" w:sz="0" w:space="0" w:color="auto"/>
        <w:right w:val="none" w:sz="0" w:space="0" w:color="auto"/>
      </w:divBdr>
    </w:div>
    <w:div w:id="930965978">
      <w:bodyDiv w:val="1"/>
      <w:marLeft w:val="0"/>
      <w:marRight w:val="0"/>
      <w:marTop w:val="0"/>
      <w:marBottom w:val="0"/>
      <w:divBdr>
        <w:top w:val="none" w:sz="0" w:space="0" w:color="auto"/>
        <w:left w:val="none" w:sz="0" w:space="0" w:color="auto"/>
        <w:bottom w:val="none" w:sz="0" w:space="0" w:color="auto"/>
        <w:right w:val="none" w:sz="0" w:space="0" w:color="auto"/>
      </w:divBdr>
    </w:div>
    <w:div w:id="938176807">
      <w:bodyDiv w:val="1"/>
      <w:marLeft w:val="0"/>
      <w:marRight w:val="0"/>
      <w:marTop w:val="0"/>
      <w:marBottom w:val="0"/>
      <w:divBdr>
        <w:top w:val="none" w:sz="0" w:space="0" w:color="auto"/>
        <w:left w:val="none" w:sz="0" w:space="0" w:color="auto"/>
        <w:bottom w:val="none" w:sz="0" w:space="0" w:color="auto"/>
        <w:right w:val="none" w:sz="0" w:space="0" w:color="auto"/>
      </w:divBdr>
    </w:div>
    <w:div w:id="943345415">
      <w:bodyDiv w:val="1"/>
      <w:marLeft w:val="0"/>
      <w:marRight w:val="0"/>
      <w:marTop w:val="0"/>
      <w:marBottom w:val="0"/>
      <w:divBdr>
        <w:top w:val="none" w:sz="0" w:space="0" w:color="auto"/>
        <w:left w:val="none" w:sz="0" w:space="0" w:color="auto"/>
        <w:bottom w:val="none" w:sz="0" w:space="0" w:color="auto"/>
        <w:right w:val="none" w:sz="0" w:space="0" w:color="auto"/>
      </w:divBdr>
      <w:divsChild>
        <w:div w:id="642345372">
          <w:marLeft w:val="0"/>
          <w:marRight w:val="0"/>
          <w:marTop w:val="0"/>
          <w:marBottom w:val="0"/>
          <w:divBdr>
            <w:top w:val="none" w:sz="0" w:space="0" w:color="auto"/>
            <w:left w:val="none" w:sz="0" w:space="0" w:color="auto"/>
            <w:bottom w:val="none" w:sz="0" w:space="0" w:color="auto"/>
            <w:right w:val="none" w:sz="0" w:space="0" w:color="auto"/>
          </w:divBdr>
          <w:divsChild>
            <w:div w:id="1739471240">
              <w:marLeft w:val="0"/>
              <w:marRight w:val="0"/>
              <w:marTop w:val="0"/>
              <w:marBottom w:val="0"/>
              <w:divBdr>
                <w:top w:val="none" w:sz="0" w:space="0" w:color="auto"/>
                <w:left w:val="none" w:sz="0" w:space="0" w:color="auto"/>
                <w:bottom w:val="none" w:sz="0" w:space="0" w:color="auto"/>
                <w:right w:val="none" w:sz="0" w:space="0" w:color="auto"/>
              </w:divBdr>
              <w:divsChild>
                <w:div w:id="929704872">
                  <w:marLeft w:val="0"/>
                  <w:marRight w:val="0"/>
                  <w:marTop w:val="0"/>
                  <w:marBottom w:val="0"/>
                  <w:divBdr>
                    <w:top w:val="none" w:sz="0" w:space="0" w:color="auto"/>
                    <w:left w:val="none" w:sz="0" w:space="0" w:color="auto"/>
                    <w:bottom w:val="none" w:sz="0" w:space="0" w:color="auto"/>
                    <w:right w:val="none" w:sz="0" w:space="0" w:color="auto"/>
                  </w:divBdr>
                  <w:divsChild>
                    <w:div w:id="59428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50911">
      <w:bodyDiv w:val="1"/>
      <w:marLeft w:val="0"/>
      <w:marRight w:val="0"/>
      <w:marTop w:val="0"/>
      <w:marBottom w:val="0"/>
      <w:divBdr>
        <w:top w:val="none" w:sz="0" w:space="0" w:color="auto"/>
        <w:left w:val="none" w:sz="0" w:space="0" w:color="auto"/>
        <w:bottom w:val="none" w:sz="0" w:space="0" w:color="auto"/>
        <w:right w:val="none" w:sz="0" w:space="0" w:color="auto"/>
      </w:divBdr>
    </w:div>
    <w:div w:id="970014358">
      <w:bodyDiv w:val="1"/>
      <w:marLeft w:val="0"/>
      <w:marRight w:val="0"/>
      <w:marTop w:val="0"/>
      <w:marBottom w:val="0"/>
      <w:divBdr>
        <w:top w:val="none" w:sz="0" w:space="0" w:color="auto"/>
        <w:left w:val="none" w:sz="0" w:space="0" w:color="auto"/>
        <w:bottom w:val="none" w:sz="0" w:space="0" w:color="auto"/>
        <w:right w:val="none" w:sz="0" w:space="0" w:color="auto"/>
      </w:divBdr>
    </w:div>
    <w:div w:id="994457279">
      <w:bodyDiv w:val="1"/>
      <w:marLeft w:val="0"/>
      <w:marRight w:val="0"/>
      <w:marTop w:val="0"/>
      <w:marBottom w:val="0"/>
      <w:divBdr>
        <w:top w:val="none" w:sz="0" w:space="0" w:color="auto"/>
        <w:left w:val="none" w:sz="0" w:space="0" w:color="auto"/>
        <w:bottom w:val="none" w:sz="0" w:space="0" w:color="auto"/>
        <w:right w:val="none" w:sz="0" w:space="0" w:color="auto"/>
      </w:divBdr>
    </w:div>
    <w:div w:id="1002200440">
      <w:bodyDiv w:val="1"/>
      <w:marLeft w:val="0"/>
      <w:marRight w:val="0"/>
      <w:marTop w:val="0"/>
      <w:marBottom w:val="0"/>
      <w:divBdr>
        <w:top w:val="none" w:sz="0" w:space="0" w:color="auto"/>
        <w:left w:val="none" w:sz="0" w:space="0" w:color="auto"/>
        <w:bottom w:val="none" w:sz="0" w:space="0" w:color="auto"/>
        <w:right w:val="none" w:sz="0" w:space="0" w:color="auto"/>
      </w:divBdr>
    </w:div>
    <w:div w:id="1007173051">
      <w:bodyDiv w:val="1"/>
      <w:marLeft w:val="0"/>
      <w:marRight w:val="0"/>
      <w:marTop w:val="0"/>
      <w:marBottom w:val="0"/>
      <w:divBdr>
        <w:top w:val="none" w:sz="0" w:space="0" w:color="auto"/>
        <w:left w:val="none" w:sz="0" w:space="0" w:color="auto"/>
        <w:bottom w:val="none" w:sz="0" w:space="0" w:color="auto"/>
        <w:right w:val="none" w:sz="0" w:space="0" w:color="auto"/>
      </w:divBdr>
    </w:div>
    <w:div w:id="1026441143">
      <w:bodyDiv w:val="1"/>
      <w:marLeft w:val="0"/>
      <w:marRight w:val="0"/>
      <w:marTop w:val="0"/>
      <w:marBottom w:val="0"/>
      <w:divBdr>
        <w:top w:val="none" w:sz="0" w:space="0" w:color="auto"/>
        <w:left w:val="none" w:sz="0" w:space="0" w:color="auto"/>
        <w:bottom w:val="none" w:sz="0" w:space="0" w:color="auto"/>
        <w:right w:val="none" w:sz="0" w:space="0" w:color="auto"/>
      </w:divBdr>
    </w:div>
    <w:div w:id="1035885189">
      <w:bodyDiv w:val="1"/>
      <w:marLeft w:val="0"/>
      <w:marRight w:val="0"/>
      <w:marTop w:val="0"/>
      <w:marBottom w:val="0"/>
      <w:divBdr>
        <w:top w:val="none" w:sz="0" w:space="0" w:color="auto"/>
        <w:left w:val="none" w:sz="0" w:space="0" w:color="auto"/>
        <w:bottom w:val="none" w:sz="0" w:space="0" w:color="auto"/>
        <w:right w:val="none" w:sz="0" w:space="0" w:color="auto"/>
      </w:divBdr>
    </w:div>
    <w:div w:id="1036588142">
      <w:bodyDiv w:val="1"/>
      <w:marLeft w:val="0"/>
      <w:marRight w:val="0"/>
      <w:marTop w:val="0"/>
      <w:marBottom w:val="0"/>
      <w:divBdr>
        <w:top w:val="none" w:sz="0" w:space="0" w:color="auto"/>
        <w:left w:val="none" w:sz="0" w:space="0" w:color="auto"/>
        <w:bottom w:val="none" w:sz="0" w:space="0" w:color="auto"/>
        <w:right w:val="none" w:sz="0" w:space="0" w:color="auto"/>
      </w:divBdr>
    </w:div>
    <w:div w:id="1039861769">
      <w:bodyDiv w:val="1"/>
      <w:marLeft w:val="0"/>
      <w:marRight w:val="0"/>
      <w:marTop w:val="0"/>
      <w:marBottom w:val="0"/>
      <w:divBdr>
        <w:top w:val="none" w:sz="0" w:space="0" w:color="auto"/>
        <w:left w:val="none" w:sz="0" w:space="0" w:color="auto"/>
        <w:bottom w:val="none" w:sz="0" w:space="0" w:color="auto"/>
        <w:right w:val="none" w:sz="0" w:space="0" w:color="auto"/>
      </w:divBdr>
    </w:div>
    <w:div w:id="1046178930">
      <w:bodyDiv w:val="1"/>
      <w:marLeft w:val="0"/>
      <w:marRight w:val="0"/>
      <w:marTop w:val="0"/>
      <w:marBottom w:val="0"/>
      <w:divBdr>
        <w:top w:val="none" w:sz="0" w:space="0" w:color="auto"/>
        <w:left w:val="none" w:sz="0" w:space="0" w:color="auto"/>
        <w:bottom w:val="none" w:sz="0" w:space="0" w:color="auto"/>
        <w:right w:val="none" w:sz="0" w:space="0" w:color="auto"/>
      </w:divBdr>
    </w:div>
    <w:div w:id="1054233110">
      <w:bodyDiv w:val="1"/>
      <w:marLeft w:val="0"/>
      <w:marRight w:val="0"/>
      <w:marTop w:val="0"/>
      <w:marBottom w:val="0"/>
      <w:divBdr>
        <w:top w:val="none" w:sz="0" w:space="0" w:color="auto"/>
        <w:left w:val="none" w:sz="0" w:space="0" w:color="auto"/>
        <w:bottom w:val="none" w:sz="0" w:space="0" w:color="auto"/>
        <w:right w:val="none" w:sz="0" w:space="0" w:color="auto"/>
      </w:divBdr>
    </w:div>
    <w:div w:id="1055618988">
      <w:bodyDiv w:val="1"/>
      <w:marLeft w:val="0"/>
      <w:marRight w:val="0"/>
      <w:marTop w:val="0"/>
      <w:marBottom w:val="0"/>
      <w:divBdr>
        <w:top w:val="none" w:sz="0" w:space="0" w:color="auto"/>
        <w:left w:val="none" w:sz="0" w:space="0" w:color="auto"/>
        <w:bottom w:val="none" w:sz="0" w:space="0" w:color="auto"/>
        <w:right w:val="none" w:sz="0" w:space="0" w:color="auto"/>
      </w:divBdr>
    </w:div>
    <w:div w:id="1058750833">
      <w:bodyDiv w:val="1"/>
      <w:marLeft w:val="0"/>
      <w:marRight w:val="0"/>
      <w:marTop w:val="0"/>
      <w:marBottom w:val="0"/>
      <w:divBdr>
        <w:top w:val="none" w:sz="0" w:space="0" w:color="auto"/>
        <w:left w:val="none" w:sz="0" w:space="0" w:color="auto"/>
        <w:bottom w:val="none" w:sz="0" w:space="0" w:color="auto"/>
        <w:right w:val="none" w:sz="0" w:space="0" w:color="auto"/>
      </w:divBdr>
    </w:div>
    <w:div w:id="1065567681">
      <w:bodyDiv w:val="1"/>
      <w:marLeft w:val="0"/>
      <w:marRight w:val="0"/>
      <w:marTop w:val="0"/>
      <w:marBottom w:val="0"/>
      <w:divBdr>
        <w:top w:val="none" w:sz="0" w:space="0" w:color="auto"/>
        <w:left w:val="none" w:sz="0" w:space="0" w:color="auto"/>
        <w:bottom w:val="none" w:sz="0" w:space="0" w:color="auto"/>
        <w:right w:val="none" w:sz="0" w:space="0" w:color="auto"/>
      </w:divBdr>
    </w:div>
    <w:div w:id="1069353061">
      <w:bodyDiv w:val="1"/>
      <w:marLeft w:val="0"/>
      <w:marRight w:val="0"/>
      <w:marTop w:val="0"/>
      <w:marBottom w:val="0"/>
      <w:divBdr>
        <w:top w:val="none" w:sz="0" w:space="0" w:color="auto"/>
        <w:left w:val="none" w:sz="0" w:space="0" w:color="auto"/>
        <w:bottom w:val="none" w:sz="0" w:space="0" w:color="auto"/>
        <w:right w:val="none" w:sz="0" w:space="0" w:color="auto"/>
      </w:divBdr>
    </w:div>
    <w:div w:id="1076823701">
      <w:bodyDiv w:val="1"/>
      <w:marLeft w:val="0"/>
      <w:marRight w:val="0"/>
      <w:marTop w:val="0"/>
      <w:marBottom w:val="0"/>
      <w:divBdr>
        <w:top w:val="none" w:sz="0" w:space="0" w:color="auto"/>
        <w:left w:val="none" w:sz="0" w:space="0" w:color="auto"/>
        <w:bottom w:val="none" w:sz="0" w:space="0" w:color="auto"/>
        <w:right w:val="none" w:sz="0" w:space="0" w:color="auto"/>
      </w:divBdr>
    </w:div>
    <w:div w:id="1077246502">
      <w:bodyDiv w:val="1"/>
      <w:marLeft w:val="0"/>
      <w:marRight w:val="0"/>
      <w:marTop w:val="0"/>
      <w:marBottom w:val="0"/>
      <w:divBdr>
        <w:top w:val="none" w:sz="0" w:space="0" w:color="auto"/>
        <w:left w:val="none" w:sz="0" w:space="0" w:color="auto"/>
        <w:bottom w:val="none" w:sz="0" w:space="0" w:color="auto"/>
        <w:right w:val="none" w:sz="0" w:space="0" w:color="auto"/>
      </w:divBdr>
    </w:div>
    <w:div w:id="1077937806">
      <w:bodyDiv w:val="1"/>
      <w:marLeft w:val="0"/>
      <w:marRight w:val="0"/>
      <w:marTop w:val="0"/>
      <w:marBottom w:val="0"/>
      <w:divBdr>
        <w:top w:val="none" w:sz="0" w:space="0" w:color="auto"/>
        <w:left w:val="none" w:sz="0" w:space="0" w:color="auto"/>
        <w:bottom w:val="none" w:sz="0" w:space="0" w:color="auto"/>
        <w:right w:val="none" w:sz="0" w:space="0" w:color="auto"/>
      </w:divBdr>
    </w:div>
    <w:div w:id="1089352561">
      <w:bodyDiv w:val="1"/>
      <w:marLeft w:val="0"/>
      <w:marRight w:val="0"/>
      <w:marTop w:val="0"/>
      <w:marBottom w:val="0"/>
      <w:divBdr>
        <w:top w:val="none" w:sz="0" w:space="0" w:color="auto"/>
        <w:left w:val="none" w:sz="0" w:space="0" w:color="auto"/>
        <w:bottom w:val="none" w:sz="0" w:space="0" w:color="auto"/>
        <w:right w:val="none" w:sz="0" w:space="0" w:color="auto"/>
      </w:divBdr>
    </w:div>
    <w:div w:id="1099058703">
      <w:bodyDiv w:val="1"/>
      <w:marLeft w:val="0"/>
      <w:marRight w:val="0"/>
      <w:marTop w:val="0"/>
      <w:marBottom w:val="0"/>
      <w:divBdr>
        <w:top w:val="none" w:sz="0" w:space="0" w:color="auto"/>
        <w:left w:val="none" w:sz="0" w:space="0" w:color="auto"/>
        <w:bottom w:val="none" w:sz="0" w:space="0" w:color="auto"/>
        <w:right w:val="none" w:sz="0" w:space="0" w:color="auto"/>
      </w:divBdr>
    </w:div>
    <w:div w:id="1101871909">
      <w:bodyDiv w:val="1"/>
      <w:marLeft w:val="0"/>
      <w:marRight w:val="0"/>
      <w:marTop w:val="0"/>
      <w:marBottom w:val="0"/>
      <w:divBdr>
        <w:top w:val="none" w:sz="0" w:space="0" w:color="auto"/>
        <w:left w:val="none" w:sz="0" w:space="0" w:color="auto"/>
        <w:bottom w:val="none" w:sz="0" w:space="0" w:color="auto"/>
        <w:right w:val="none" w:sz="0" w:space="0" w:color="auto"/>
      </w:divBdr>
    </w:div>
    <w:div w:id="1103573638">
      <w:bodyDiv w:val="1"/>
      <w:marLeft w:val="0"/>
      <w:marRight w:val="0"/>
      <w:marTop w:val="0"/>
      <w:marBottom w:val="0"/>
      <w:divBdr>
        <w:top w:val="none" w:sz="0" w:space="0" w:color="auto"/>
        <w:left w:val="none" w:sz="0" w:space="0" w:color="auto"/>
        <w:bottom w:val="none" w:sz="0" w:space="0" w:color="auto"/>
        <w:right w:val="none" w:sz="0" w:space="0" w:color="auto"/>
      </w:divBdr>
    </w:div>
    <w:div w:id="1114711119">
      <w:bodyDiv w:val="1"/>
      <w:marLeft w:val="0"/>
      <w:marRight w:val="0"/>
      <w:marTop w:val="0"/>
      <w:marBottom w:val="0"/>
      <w:divBdr>
        <w:top w:val="none" w:sz="0" w:space="0" w:color="auto"/>
        <w:left w:val="none" w:sz="0" w:space="0" w:color="auto"/>
        <w:bottom w:val="none" w:sz="0" w:space="0" w:color="auto"/>
        <w:right w:val="none" w:sz="0" w:space="0" w:color="auto"/>
      </w:divBdr>
    </w:div>
    <w:div w:id="1121415981">
      <w:bodyDiv w:val="1"/>
      <w:marLeft w:val="0"/>
      <w:marRight w:val="0"/>
      <w:marTop w:val="0"/>
      <w:marBottom w:val="0"/>
      <w:divBdr>
        <w:top w:val="none" w:sz="0" w:space="0" w:color="auto"/>
        <w:left w:val="none" w:sz="0" w:space="0" w:color="auto"/>
        <w:bottom w:val="none" w:sz="0" w:space="0" w:color="auto"/>
        <w:right w:val="none" w:sz="0" w:space="0" w:color="auto"/>
      </w:divBdr>
    </w:div>
    <w:div w:id="1121806894">
      <w:bodyDiv w:val="1"/>
      <w:marLeft w:val="0"/>
      <w:marRight w:val="0"/>
      <w:marTop w:val="0"/>
      <w:marBottom w:val="0"/>
      <w:divBdr>
        <w:top w:val="none" w:sz="0" w:space="0" w:color="auto"/>
        <w:left w:val="none" w:sz="0" w:space="0" w:color="auto"/>
        <w:bottom w:val="none" w:sz="0" w:space="0" w:color="auto"/>
        <w:right w:val="none" w:sz="0" w:space="0" w:color="auto"/>
      </w:divBdr>
    </w:div>
    <w:div w:id="1126773612">
      <w:bodyDiv w:val="1"/>
      <w:marLeft w:val="0"/>
      <w:marRight w:val="0"/>
      <w:marTop w:val="0"/>
      <w:marBottom w:val="0"/>
      <w:divBdr>
        <w:top w:val="none" w:sz="0" w:space="0" w:color="auto"/>
        <w:left w:val="none" w:sz="0" w:space="0" w:color="auto"/>
        <w:bottom w:val="none" w:sz="0" w:space="0" w:color="auto"/>
        <w:right w:val="none" w:sz="0" w:space="0" w:color="auto"/>
      </w:divBdr>
    </w:div>
    <w:div w:id="1130126172">
      <w:bodyDiv w:val="1"/>
      <w:marLeft w:val="0"/>
      <w:marRight w:val="0"/>
      <w:marTop w:val="0"/>
      <w:marBottom w:val="0"/>
      <w:divBdr>
        <w:top w:val="none" w:sz="0" w:space="0" w:color="auto"/>
        <w:left w:val="none" w:sz="0" w:space="0" w:color="auto"/>
        <w:bottom w:val="none" w:sz="0" w:space="0" w:color="auto"/>
        <w:right w:val="none" w:sz="0" w:space="0" w:color="auto"/>
      </w:divBdr>
    </w:div>
    <w:div w:id="1132289593">
      <w:bodyDiv w:val="1"/>
      <w:marLeft w:val="0"/>
      <w:marRight w:val="0"/>
      <w:marTop w:val="0"/>
      <w:marBottom w:val="0"/>
      <w:divBdr>
        <w:top w:val="none" w:sz="0" w:space="0" w:color="auto"/>
        <w:left w:val="none" w:sz="0" w:space="0" w:color="auto"/>
        <w:bottom w:val="none" w:sz="0" w:space="0" w:color="auto"/>
        <w:right w:val="none" w:sz="0" w:space="0" w:color="auto"/>
      </w:divBdr>
    </w:div>
    <w:div w:id="1137917246">
      <w:bodyDiv w:val="1"/>
      <w:marLeft w:val="0"/>
      <w:marRight w:val="0"/>
      <w:marTop w:val="0"/>
      <w:marBottom w:val="0"/>
      <w:divBdr>
        <w:top w:val="none" w:sz="0" w:space="0" w:color="auto"/>
        <w:left w:val="none" w:sz="0" w:space="0" w:color="auto"/>
        <w:bottom w:val="none" w:sz="0" w:space="0" w:color="auto"/>
        <w:right w:val="none" w:sz="0" w:space="0" w:color="auto"/>
      </w:divBdr>
    </w:div>
    <w:div w:id="1147822395">
      <w:bodyDiv w:val="1"/>
      <w:marLeft w:val="0"/>
      <w:marRight w:val="0"/>
      <w:marTop w:val="0"/>
      <w:marBottom w:val="0"/>
      <w:divBdr>
        <w:top w:val="none" w:sz="0" w:space="0" w:color="auto"/>
        <w:left w:val="none" w:sz="0" w:space="0" w:color="auto"/>
        <w:bottom w:val="none" w:sz="0" w:space="0" w:color="auto"/>
        <w:right w:val="none" w:sz="0" w:space="0" w:color="auto"/>
      </w:divBdr>
    </w:div>
    <w:div w:id="1155030934">
      <w:bodyDiv w:val="1"/>
      <w:marLeft w:val="0"/>
      <w:marRight w:val="0"/>
      <w:marTop w:val="0"/>
      <w:marBottom w:val="0"/>
      <w:divBdr>
        <w:top w:val="none" w:sz="0" w:space="0" w:color="auto"/>
        <w:left w:val="none" w:sz="0" w:space="0" w:color="auto"/>
        <w:bottom w:val="none" w:sz="0" w:space="0" w:color="auto"/>
        <w:right w:val="none" w:sz="0" w:space="0" w:color="auto"/>
      </w:divBdr>
    </w:div>
    <w:div w:id="1157380783">
      <w:bodyDiv w:val="1"/>
      <w:marLeft w:val="0"/>
      <w:marRight w:val="0"/>
      <w:marTop w:val="0"/>
      <w:marBottom w:val="0"/>
      <w:divBdr>
        <w:top w:val="none" w:sz="0" w:space="0" w:color="auto"/>
        <w:left w:val="none" w:sz="0" w:space="0" w:color="auto"/>
        <w:bottom w:val="none" w:sz="0" w:space="0" w:color="auto"/>
        <w:right w:val="none" w:sz="0" w:space="0" w:color="auto"/>
      </w:divBdr>
    </w:div>
    <w:div w:id="1164319993">
      <w:bodyDiv w:val="1"/>
      <w:marLeft w:val="0"/>
      <w:marRight w:val="0"/>
      <w:marTop w:val="0"/>
      <w:marBottom w:val="0"/>
      <w:divBdr>
        <w:top w:val="none" w:sz="0" w:space="0" w:color="auto"/>
        <w:left w:val="none" w:sz="0" w:space="0" w:color="auto"/>
        <w:bottom w:val="none" w:sz="0" w:space="0" w:color="auto"/>
        <w:right w:val="none" w:sz="0" w:space="0" w:color="auto"/>
      </w:divBdr>
    </w:div>
    <w:div w:id="1164780808">
      <w:bodyDiv w:val="1"/>
      <w:marLeft w:val="0"/>
      <w:marRight w:val="0"/>
      <w:marTop w:val="0"/>
      <w:marBottom w:val="0"/>
      <w:divBdr>
        <w:top w:val="none" w:sz="0" w:space="0" w:color="auto"/>
        <w:left w:val="none" w:sz="0" w:space="0" w:color="auto"/>
        <w:bottom w:val="none" w:sz="0" w:space="0" w:color="auto"/>
        <w:right w:val="none" w:sz="0" w:space="0" w:color="auto"/>
      </w:divBdr>
    </w:div>
    <w:div w:id="1174764169">
      <w:bodyDiv w:val="1"/>
      <w:marLeft w:val="0"/>
      <w:marRight w:val="0"/>
      <w:marTop w:val="0"/>
      <w:marBottom w:val="0"/>
      <w:divBdr>
        <w:top w:val="none" w:sz="0" w:space="0" w:color="auto"/>
        <w:left w:val="none" w:sz="0" w:space="0" w:color="auto"/>
        <w:bottom w:val="none" w:sz="0" w:space="0" w:color="auto"/>
        <w:right w:val="none" w:sz="0" w:space="0" w:color="auto"/>
      </w:divBdr>
    </w:div>
    <w:div w:id="1191921318">
      <w:bodyDiv w:val="1"/>
      <w:marLeft w:val="0"/>
      <w:marRight w:val="0"/>
      <w:marTop w:val="0"/>
      <w:marBottom w:val="0"/>
      <w:divBdr>
        <w:top w:val="none" w:sz="0" w:space="0" w:color="auto"/>
        <w:left w:val="none" w:sz="0" w:space="0" w:color="auto"/>
        <w:bottom w:val="none" w:sz="0" w:space="0" w:color="auto"/>
        <w:right w:val="none" w:sz="0" w:space="0" w:color="auto"/>
      </w:divBdr>
    </w:div>
    <w:div w:id="1194342004">
      <w:bodyDiv w:val="1"/>
      <w:marLeft w:val="0"/>
      <w:marRight w:val="0"/>
      <w:marTop w:val="0"/>
      <w:marBottom w:val="0"/>
      <w:divBdr>
        <w:top w:val="none" w:sz="0" w:space="0" w:color="auto"/>
        <w:left w:val="none" w:sz="0" w:space="0" w:color="auto"/>
        <w:bottom w:val="none" w:sz="0" w:space="0" w:color="auto"/>
        <w:right w:val="none" w:sz="0" w:space="0" w:color="auto"/>
      </w:divBdr>
    </w:div>
    <w:div w:id="1196239057">
      <w:bodyDiv w:val="1"/>
      <w:marLeft w:val="0"/>
      <w:marRight w:val="0"/>
      <w:marTop w:val="0"/>
      <w:marBottom w:val="0"/>
      <w:divBdr>
        <w:top w:val="none" w:sz="0" w:space="0" w:color="auto"/>
        <w:left w:val="none" w:sz="0" w:space="0" w:color="auto"/>
        <w:bottom w:val="none" w:sz="0" w:space="0" w:color="auto"/>
        <w:right w:val="none" w:sz="0" w:space="0" w:color="auto"/>
      </w:divBdr>
    </w:div>
    <w:div w:id="1210339499">
      <w:bodyDiv w:val="1"/>
      <w:marLeft w:val="0"/>
      <w:marRight w:val="0"/>
      <w:marTop w:val="0"/>
      <w:marBottom w:val="0"/>
      <w:divBdr>
        <w:top w:val="none" w:sz="0" w:space="0" w:color="auto"/>
        <w:left w:val="none" w:sz="0" w:space="0" w:color="auto"/>
        <w:bottom w:val="none" w:sz="0" w:space="0" w:color="auto"/>
        <w:right w:val="none" w:sz="0" w:space="0" w:color="auto"/>
      </w:divBdr>
    </w:div>
    <w:div w:id="1215963709">
      <w:bodyDiv w:val="1"/>
      <w:marLeft w:val="0"/>
      <w:marRight w:val="0"/>
      <w:marTop w:val="0"/>
      <w:marBottom w:val="0"/>
      <w:divBdr>
        <w:top w:val="none" w:sz="0" w:space="0" w:color="auto"/>
        <w:left w:val="none" w:sz="0" w:space="0" w:color="auto"/>
        <w:bottom w:val="none" w:sz="0" w:space="0" w:color="auto"/>
        <w:right w:val="none" w:sz="0" w:space="0" w:color="auto"/>
      </w:divBdr>
    </w:div>
    <w:div w:id="1217089543">
      <w:bodyDiv w:val="1"/>
      <w:marLeft w:val="0"/>
      <w:marRight w:val="0"/>
      <w:marTop w:val="0"/>
      <w:marBottom w:val="0"/>
      <w:divBdr>
        <w:top w:val="none" w:sz="0" w:space="0" w:color="auto"/>
        <w:left w:val="none" w:sz="0" w:space="0" w:color="auto"/>
        <w:bottom w:val="none" w:sz="0" w:space="0" w:color="auto"/>
        <w:right w:val="none" w:sz="0" w:space="0" w:color="auto"/>
      </w:divBdr>
    </w:div>
    <w:div w:id="1221985055">
      <w:bodyDiv w:val="1"/>
      <w:marLeft w:val="0"/>
      <w:marRight w:val="0"/>
      <w:marTop w:val="0"/>
      <w:marBottom w:val="0"/>
      <w:divBdr>
        <w:top w:val="none" w:sz="0" w:space="0" w:color="auto"/>
        <w:left w:val="none" w:sz="0" w:space="0" w:color="auto"/>
        <w:bottom w:val="none" w:sz="0" w:space="0" w:color="auto"/>
        <w:right w:val="none" w:sz="0" w:space="0" w:color="auto"/>
      </w:divBdr>
    </w:div>
    <w:div w:id="1229730221">
      <w:bodyDiv w:val="1"/>
      <w:marLeft w:val="0"/>
      <w:marRight w:val="0"/>
      <w:marTop w:val="0"/>
      <w:marBottom w:val="0"/>
      <w:divBdr>
        <w:top w:val="none" w:sz="0" w:space="0" w:color="auto"/>
        <w:left w:val="none" w:sz="0" w:space="0" w:color="auto"/>
        <w:bottom w:val="none" w:sz="0" w:space="0" w:color="auto"/>
        <w:right w:val="none" w:sz="0" w:space="0" w:color="auto"/>
      </w:divBdr>
    </w:div>
    <w:div w:id="1230921079">
      <w:bodyDiv w:val="1"/>
      <w:marLeft w:val="0"/>
      <w:marRight w:val="0"/>
      <w:marTop w:val="0"/>
      <w:marBottom w:val="0"/>
      <w:divBdr>
        <w:top w:val="none" w:sz="0" w:space="0" w:color="auto"/>
        <w:left w:val="none" w:sz="0" w:space="0" w:color="auto"/>
        <w:bottom w:val="none" w:sz="0" w:space="0" w:color="auto"/>
        <w:right w:val="none" w:sz="0" w:space="0" w:color="auto"/>
      </w:divBdr>
    </w:div>
    <w:div w:id="1240403395">
      <w:bodyDiv w:val="1"/>
      <w:marLeft w:val="0"/>
      <w:marRight w:val="0"/>
      <w:marTop w:val="0"/>
      <w:marBottom w:val="0"/>
      <w:divBdr>
        <w:top w:val="none" w:sz="0" w:space="0" w:color="auto"/>
        <w:left w:val="none" w:sz="0" w:space="0" w:color="auto"/>
        <w:bottom w:val="none" w:sz="0" w:space="0" w:color="auto"/>
        <w:right w:val="none" w:sz="0" w:space="0" w:color="auto"/>
      </w:divBdr>
    </w:div>
    <w:div w:id="1240678616">
      <w:bodyDiv w:val="1"/>
      <w:marLeft w:val="0"/>
      <w:marRight w:val="0"/>
      <w:marTop w:val="0"/>
      <w:marBottom w:val="0"/>
      <w:divBdr>
        <w:top w:val="none" w:sz="0" w:space="0" w:color="auto"/>
        <w:left w:val="none" w:sz="0" w:space="0" w:color="auto"/>
        <w:bottom w:val="none" w:sz="0" w:space="0" w:color="auto"/>
        <w:right w:val="none" w:sz="0" w:space="0" w:color="auto"/>
      </w:divBdr>
    </w:div>
    <w:div w:id="1243831594">
      <w:bodyDiv w:val="1"/>
      <w:marLeft w:val="0"/>
      <w:marRight w:val="0"/>
      <w:marTop w:val="0"/>
      <w:marBottom w:val="0"/>
      <w:divBdr>
        <w:top w:val="none" w:sz="0" w:space="0" w:color="auto"/>
        <w:left w:val="none" w:sz="0" w:space="0" w:color="auto"/>
        <w:bottom w:val="none" w:sz="0" w:space="0" w:color="auto"/>
        <w:right w:val="none" w:sz="0" w:space="0" w:color="auto"/>
      </w:divBdr>
    </w:div>
    <w:div w:id="1248998766">
      <w:bodyDiv w:val="1"/>
      <w:marLeft w:val="0"/>
      <w:marRight w:val="0"/>
      <w:marTop w:val="0"/>
      <w:marBottom w:val="0"/>
      <w:divBdr>
        <w:top w:val="none" w:sz="0" w:space="0" w:color="auto"/>
        <w:left w:val="none" w:sz="0" w:space="0" w:color="auto"/>
        <w:bottom w:val="none" w:sz="0" w:space="0" w:color="auto"/>
        <w:right w:val="none" w:sz="0" w:space="0" w:color="auto"/>
      </w:divBdr>
    </w:div>
    <w:div w:id="1255436178">
      <w:bodyDiv w:val="1"/>
      <w:marLeft w:val="0"/>
      <w:marRight w:val="0"/>
      <w:marTop w:val="0"/>
      <w:marBottom w:val="0"/>
      <w:divBdr>
        <w:top w:val="none" w:sz="0" w:space="0" w:color="auto"/>
        <w:left w:val="none" w:sz="0" w:space="0" w:color="auto"/>
        <w:bottom w:val="none" w:sz="0" w:space="0" w:color="auto"/>
        <w:right w:val="none" w:sz="0" w:space="0" w:color="auto"/>
      </w:divBdr>
    </w:div>
    <w:div w:id="1274484604">
      <w:bodyDiv w:val="1"/>
      <w:marLeft w:val="0"/>
      <w:marRight w:val="0"/>
      <w:marTop w:val="0"/>
      <w:marBottom w:val="0"/>
      <w:divBdr>
        <w:top w:val="none" w:sz="0" w:space="0" w:color="auto"/>
        <w:left w:val="none" w:sz="0" w:space="0" w:color="auto"/>
        <w:bottom w:val="none" w:sz="0" w:space="0" w:color="auto"/>
        <w:right w:val="none" w:sz="0" w:space="0" w:color="auto"/>
      </w:divBdr>
    </w:div>
    <w:div w:id="1281455188">
      <w:bodyDiv w:val="1"/>
      <w:marLeft w:val="0"/>
      <w:marRight w:val="0"/>
      <w:marTop w:val="0"/>
      <w:marBottom w:val="0"/>
      <w:divBdr>
        <w:top w:val="none" w:sz="0" w:space="0" w:color="auto"/>
        <w:left w:val="none" w:sz="0" w:space="0" w:color="auto"/>
        <w:bottom w:val="none" w:sz="0" w:space="0" w:color="auto"/>
        <w:right w:val="none" w:sz="0" w:space="0" w:color="auto"/>
      </w:divBdr>
    </w:div>
    <w:div w:id="1282762833">
      <w:bodyDiv w:val="1"/>
      <w:marLeft w:val="0"/>
      <w:marRight w:val="0"/>
      <w:marTop w:val="0"/>
      <w:marBottom w:val="0"/>
      <w:divBdr>
        <w:top w:val="none" w:sz="0" w:space="0" w:color="auto"/>
        <w:left w:val="none" w:sz="0" w:space="0" w:color="auto"/>
        <w:bottom w:val="none" w:sz="0" w:space="0" w:color="auto"/>
        <w:right w:val="none" w:sz="0" w:space="0" w:color="auto"/>
      </w:divBdr>
    </w:div>
    <w:div w:id="1293946717">
      <w:bodyDiv w:val="1"/>
      <w:marLeft w:val="0"/>
      <w:marRight w:val="0"/>
      <w:marTop w:val="0"/>
      <w:marBottom w:val="0"/>
      <w:divBdr>
        <w:top w:val="none" w:sz="0" w:space="0" w:color="auto"/>
        <w:left w:val="none" w:sz="0" w:space="0" w:color="auto"/>
        <w:bottom w:val="none" w:sz="0" w:space="0" w:color="auto"/>
        <w:right w:val="none" w:sz="0" w:space="0" w:color="auto"/>
      </w:divBdr>
    </w:div>
    <w:div w:id="1298339661">
      <w:bodyDiv w:val="1"/>
      <w:marLeft w:val="0"/>
      <w:marRight w:val="0"/>
      <w:marTop w:val="0"/>
      <w:marBottom w:val="0"/>
      <w:divBdr>
        <w:top w:val="none" w:sz="0" w:space="0" w:color="auto"/>
        <w:left w:val="none" w:sz="0" w:space="0" w:color="auto"/>
        <w:bottom w:val="none" w:sz="0" w:space="0" w:color="auto"/>
        <w:right w:val="none" w:sz="0" w:space="0" w:color="auto"/>
      </w:divBdr>
    </w:div>
    <w:div w:id="1304236699">
      <w:bodyDiv w:val="1"/>
      <w:marLeft w:val="0"/>
      <w:marRight w:val="0"/>
      <w:marTop w:val="0"/>
      <w:marBottom w:val="0"/>
      <w:divBdr>
        <w:top w:val="none" w:sz="0" w:space="0" w:color="auto"/>
        <w:left w:val="none" w:sz="0" w:space="0" w:color="auto"/>
        <w:bottom w:val="none" w:sz="0" w:space="0" w:color="auto"/>
        <w:right w:val="none" w:sz="0" w:space="0" w:color="auto"/>
      </w:divBdr>
      <w:divsChild>
        <w:div w:id="1695183091">
          <w:marLeft w:val="0"/>
          <w:marRight w:val="0"/>
          <w:marTop w:val="0"/>
          <w:marBottom w:val="0"/>
          <w:divBdr>
            <w:top w:val="none" w:sz="0" w:space="0" w:color="auto"/>
            <w:left w:val="none" w:sz="0" w:space="0" w:color="auto"/>
            <w:bottom w:val="none" w:sz="0" w:space="0" w:color="auto"/>
            <w:right w:val="none" w:sz="0" w:space="0" w:color="auto"/>
          </w:divBdr>
          <w:divsChild>
            <w:div w:id="1890149335">
              <w:marLeft w:val="0"/>
              <w:marRight w:val="0"/>
              <w:marTop w:val="0"/>
              <w:marBottom w:val="0"/>
              <w:divBdr>
                <w:top w:val="none" w:sz="0" w:space="0" w:color="auto"/>
                <w:left w:val="none" w:sz="0" w:space="0" w:color="auto"/>
                <w:bottom w:val="none" w:sz="0" w:space="0" w:color="auto"/>
                <w:right w:val="none" w:sz="0" w:space="0" w:color="auto"/>
              </w:divBdr>
              <w:divsChild>
                <w:div w:id="1513639984">
                  <w:marLeft w:val="0"/>
                  <w:marRight w:val="0"/>
                  <w:marTop w:val="0"/>
                  <w:marBottom w:val="0"/>
                  <w:divBdr>
                    <w:top w:val="none" w:sz="0" w:space="0" w:color="auto"/>
                    <w:left w:val="none" w:sz="0" w:space="0" w:color="auto"/>
                    <w:bottom w:val="none" w:sz="0" w:space="0" w:color="auto"/>
                    <w:right w:val="none" w:sz="0" w:space="0" w:color="auto"/>
                  </w:divBdr>
                  <w:divsChild>
                    <w:div w:id="19980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89907">
      <w:bodyDiv w:val="1"/>
      <w:marLeft w:val="0"/>
      <w:marRight w:val="0"/>
      <w:marTop w:val="0"/>
      <w:marBottom w:val="0"/>
      <w:divBdr>
        <w:top w:val="none" w:sz="0" w:space="0" w:color="auto"/>
        <w:left w:val="none" w:sz="0" w:space="0" w:color="auto"/>
        <w:bottom w:val="none" w:sz="0" w:space="0" w:color="auto"/>
        <w:right w:val="none" w:sz="0" w:space="0" w:color="auto"/>
      </w:divBdr>
    </w:div>
    <w:div w:id="1327397998">
      <w:bodyDiv w:val="1"/>
      <w:marLeft w:val="0"/>
      <w:marRight w:val="0"/>
      <w:marTop w:val="0"/>
      <w:marBottom w:val="0"/>
      <w:divBdr>
        <w:top w:val="none" w:sz="0" w:space="0" w:color="auto"/>
        <w:left w:val="none" w:sz="0" w:space="0" w:color="auto"/>
        <w:bottom w:val="none" w:sz="0" w:space="0" w:color="auto"/>
        <w:right w:val="none" w:sz="0" w:space="0" w:color="auto"/>
      </w:divBdr>
    </w:div>
    <w:div w:id="1329139382">
      <w:bodyDiv w:val="1"/>
      <w:marLeft w:val="0"/>
      <w:marRight w:val="0"/>
      <w:marTop w:val="0"/>
      <w:marBottom w:val="0"/>
      <w:divBdr>
        <w:top w:val="none" w:sz="0" w:space="0" w:color="auto"/>
        <w:left w:val="none" w:sz="0" w:space="0" w:color="auto"/>
        <w:bottom w:val="none" w:sz="0" w:space="0" w:color="auto"/>
        <w:right w:val="none" w:sz="0" w:space="0" w:color="auto"/>
      </w:divBdr>
    </w:div>
    <w:div w:id="1332218707">
      <w:bodyDiv w:val="1"/>
      <w:marLeft w:val="0"/>
      <w:marRight w:val="0"/>
      <w:marTop w:val="0"/>
      <w:marBottom w:val="0"/>
      <w:divBdr>
        <w:top w:val="none" w:sz="0" w:space="0" w:color="auto"/>
        <w:left w:val="none" w:sz="0" w:space="0" w:color="auto"/>
        <w:bottom w:val="none" w:sz="0" w:space="0" w:color="auto"/>
        <w:right w:val="none" w:sz="0" w:space="0" w:color="auto"/>
      </w:divBdr>
    </w:div>
    <w:div w:id="1341666338">
      <w:bodyDiv w:val="1"/>
      <w:marLeft w:val="0"/>
      <w:marRight w:val="0"/>
      <w:marTop w:val="0"/>
      <w:marBottom w:val="0"/>
      <w:divBdr>
        <w:top w:val="none" w:sz="0" w:space="0" w:color="auto"/>
        <w:left w:val="none" w:sz="0" w:space="0" w:color="auto"/>
        <w:bottom w:val="none" w:sz="0" w:space="0" w:color="auto"/>
        <w:right w:val="none" w:sz="0" w:space="0" w:color="auto"/>
      </w:divBdr>
    </w:div>
    <w:div w:id="1352296047">
      <w:bodyDiv w:val="1"/>
      <w:marLeft w:val="0"/>
      <w:marRight w:val="0"/>
      <w:marTop w:val="0"/>
      <w:marBottom w:val="0"/>
      <w:divBdr>
        <w:top w:val="none" w:sz="0" w:space="0" w:color="auto"/>
        <w:left w:val="none" w:sz="0" w:space="0" w:color="auto"/>
        <w:bottom w:val="none" w:sz="0" w:space="0" w:color="auto"/>
        <w:right w:val="none" w:sz="0" w:space="0" w:color="auto"/>
      </w:divBdr>
    </w:div>
    <w:div w:id="1356731070">
      <w:bodyDiv w:val="1"/>
      <w:marLeft w:val="0"/>
      <w:marRight w:val="0"/>
      <w:marTop w:val="0"/>
      <w:marBottom w:val="0"/>
      <w:divBdr>
        <w:top w:val="none" w:sz="0" w:space="0" w:color="auto"/>
        <w:left w:val="none" w:sz="0" w:space="0" w:color="auto"/>
        <w:bottom w:val="none" w:sz="0" w:space="0" w:color="auto"/>
        <w:right w:val="none" w:sz="0" w:space="0" w:color="auto"/>
      </w:divBdr>
    </w:div>
    <w:div w:id="1373310999">
      <w:bodyDiv w:val="1"/>
      <w:marLeft w:val="0"/>
      <w:marRight w:val="0"/>
      <w:marTop w:val="0"/>
      <w:marBottom w:val="0"/>
      <w:divBdr>
        <w:top w:val="none" w:sz="0" w:space="0" w:color="auto"/>
        <w:left w:val="none" w:sz="0" w:space="0" w:color="auto"/>
        <w:bottom w:val="none" w:sz="0" w:space="0" w:color="auto"/>
        <w:right w:val="none" w:sz="0" w:space="0" w:color="auto"/>
      </w:divBdr>
    </w:div>
    <w:div w:id="1381830611">
      <w:bodyDiv w:val="1"/>
      <w:marLeft w:val="0"/>
      <w:marRight w:val="0"/>
      <w:marTop w:val="0"/>
      <w:marBottom w:val="0"/>
      <w:divBdr>
        <w:top w:val="none" w:sz="0" w:space="0" w:color="auto"/>
        <w:left w:val="none" w:sz="0" w:space="0" w:color="auto"/>
        <w:bottom w:val="none" w:sz="0" w:space="0" w:color="auto"/>
        <w:right w:val="none" w:sz="0" w:space="0" w:color="auto"/>
      </w:divBdr>
    </w:div>
    <w:div w:id="1410809887">
      <w:bodyDiv w:val="1"/>
      <w:marLeft w:val="0"/>
      <w:marRight w:val="0"/>
      <w:marTop w:val="0"/>
      <w:marBottom w:val="0"/>
      <w:divBdr>
        <w:top w:val="none" w:sz="0" w:space="0" w:color="auto"/>
        <w:left w:val="none" w:sz="0" w:space="0" w:color="auto"/>
        <w:bottom w:val="none" w:sz="0" w:space="0" w:color="auto"/>
        <w:right w:val="none" w:sz="0" w:space="0" w:color="auto"/>
      </w:divBdr>
    </w:div>
    <w:div w:id="1412891154">
      <w:bodyDiv w:val="1"/>
      <w:marLeft w:val="0"/>
      <w:marRight w:val="0"/>
      <w:marTop w:val="0"/>
      <w:marBottom w:val="0"/>
      <w:divBdr>
        <w:top w:val="none" w:sz="0" w:space="0" w:color="auto"/>
        <w:left w:val="none" w:sz="0" w:space="0" w:color="auto"/>
        <w:bottom w:val="none" w:sz="0" w:space="0" w:color="auto"/>
        <w:right w:val="none" w:sz="0" w:space="0" w:color="auto"/>
      </w:divBdr>
    </w:div>
    <w:div w:id="1419911301">
      <w:bodyDiv w:val="1"/>
      <w:marLeft w:val="0"/>
      <w:marRight w:val="0"/>
      <w:marTop w:val="0"/>
      <w:marBottom w:val="0"/>
      <w:divBdr>
        <w:top w:val="none" w:sz="0" w:space="0" w:color="auto"/>
        <w:left w:val="none" w:sz="0" w:space="0" w:color="auto"/>
        <w:bottom w:val="none" w:sz="0" w:space="0" w:color="auto"/>
        <w:right w:val="none" w:sz="0" w:space="0" w:color="auto"/>
      </w:divBdr>
    </w:div>
    <w:div w:id="1427994734">
      <w:bodyDiv w:val="1"/>
      <w:marLeft w:val="0"/>
      <w:marRight w:val="0"/>
      <w:marTop w:val="0"/>
      <w:marBottom w:val="0"/>
      <w:divBdr>
        <w:top w:val="none" w:sz="0" w:space="0" w:color="auto"/>
        <w:left w:val="none" w:sz="0" w:space="0" w:color="auto"/>
        <w:bottom w:val="none" w:sz="0" w:space="0" w:color="auto"/>
        <w:right w:val="none" w:sz="0" w:space="0" w:color="auto"/>
      </w:divBdr>
    </w:div>
    <w:div w:id="1428228242">
      <w:bodyDiv w:val="1"/>
      <w:marLeft w:val="0"/>
      <w:marRight w:val="0"/>
      <w:marTop w:val="0"/>
      <w:marBottom w:val="0"/>
      <w:divBdr>
        <w:top w:val="none" w:sz="0" w:space="0" w:color="auto"/>
        <w:left w:val="none" w:sz="0" w:space="0" w:color="auto"/>
        <w:bottom w:val="none" w:sz="0" w:space="0" w:color="auto"/>
        <w:right w:val="none" w:sz="0" w:space="0" w:color="auto"/>
      </w:divBdr>
    </w:div>
    <w:div w:id="1436369384">
      <w:bodyDiv w:val="1"/>
      <w:marLeft w:val="0"/>
      <w:marRight w:val="0"/>
      <w:marTop w:val="0"/>
      <w:marBottom w:val="0"/>
      <w:divBdr>
        <w:top w:val="none" w:sz="0" w:space="0" w:color="auto"/>
        <w:left w:val="none" w:sz="0" w:space="0" w:color="auto"/>
        <w:bottom w:val="none" w:sz="0" w:space="0" w:color="auto"/>
        <w:right w:val="none" w:sz="0" w:space="0" w:color="auto"/>
      </w:divBdr>
    </w:div>
    <w:div w:id="1443761550">
      <w:bodyDiv w:val="1"/>
      <w:marLeft w:val="0"/>
      <w:marRight w:val="0"/>
      <w:marTop w:val="0"/>
      <w:marBottom w:val="0"/>
      <w:divBdr>
        <w:top w:val="none" w:sz="0" w:space="0" w:color="auto"/>
        <w:left w:val="none" w:sz="0" w:space="0" w:color="auto"/>
        <w:bottom w:val="none" w:sz="0" w:space="0" w:color="auto"/>
        <w:right w:val="none" w:sz="0" w:space="0" w:color="auto"/>
      </w:divBdr>
    </w:div>
    <w:div w:id="1453864773">
      <w:bodyDiv w:val="1"/>
      <w:marLeft w:val="0"/>
      <w:marRight w:val="0"/>
      <w:marTop w:val="0"/>
      <w:marBottom w:val="0"/>
      <w:divBdr>
        <w:top w:val="none" w:sz="0" w:space="0" w:color="auto"/>
        <w:left w:val="none" w:sz="0" w:space="0" w:color="auto"/>
        <w:bottom w:val="none" w:sz="0" w:space="0" w:color="auto"/>
        <w:right w:val="none" w:sz="0" w:space="0" w:color="auto"/>
      </w:divBdr>
    </w:div>
    <w:div w:id="1469590252">
      <w:bodyDiv w:val="1"/>
      <w:marLeft w:val="0"/>
      <w:marRight w:val="0"/>
      <w:marTop w:val="0"/>
      <w:marBottom w:val="0"/>
      <w:divBdr>
        <w:top w:val="none" w:sz="0" w:space="0" w:color="auto"/>
        <w:left w:val="none" w:sz="0" w:space="0" w:color="auto"/>
        <w:bottom w:val="none" w:sz="0" w:space="0" w:color="auto"/>
        <w:right w:val="none" w:sz="0" w:space="0" w:color="auto"/>
      </w:divBdr>
    </w:div>
    <w:div w:id="1473644321">
      <w:bodyDiv w:val="1"/>
      <w:marLeft w:val="0"/>
      <w:marRight w:val="0"/>
      <w:marTop w:val="0"/>
      <w:marBottom w:val="0"/>
      <w:divBdr>
        <w:top w:val="none" w:sz="0" w:space="0" w:color="auto"/>
        <w:left w:val="none" w:sz="0" w:space="0" w:color="auto"/>
        <w:bottom w:val="none" w:sz="0" w:space="0" w:color="auto"/>
        <w:right w:val="none" w:sz="0" w:space="0" w:color="auto"/>
      </w:divBdr>
    </w:div>
    <w:div w:id="1500543136">
      <w:bodyDiv w:val="1"/>
      <w:marLeft w:val="0"/>
      <w:marRight w:val="0"/>
      <w:marTop w:val="0"/>
      <w:marBottom w:val="0"/>
      <w:divBdr>
        <w:top w:val="none" w:sz="0" w:space="0" w:color="auto"/>
        <w:left w:val="none" w:sz="0" w:space="0" w:color="auto"/>
        <w:bottom w:val="none" w:sz="0" w:space="0" w:color="auto"/>
        <w:right w:val="none" w:sz="0" w:space="0" w:color="auto"/>
      </w:divBdr>
    </w:div>
    <w:div w:id="1503280325">
      <w:bodyDiv w:val="1"/>
      <w:marLeft w:val="0"/>
      <w:marRight w:val="0"/>
      <w:marTop w:val="0"/>
      <w:marBottom w:val="0"/>
      <w:divBdr>
        <w:top w:val="none" w:sz="0" w:space="0" w:color="auto"/>
        <w:left w:val="none" w:sz="0" w:space="0" w:color="auto"/>
        <w:bottom w:val="none" w:sz="0" w:space="0" w:color="auto"/>
        <w:right w:val="none" w:sz="0" w:space="0" w:color="auto"/>
      </w:divBdr>
    </w:div>
    <w:div w:id="1508522281">
      <w:bodyDiv w:val="1"/>
      <w:marLeft w:val="0"/>
      <w:marRight w:val="0"/>
      <w:marTop w:val="0"/>
      <w:marBottom w:val="0"/>
      <w:divBdr>
        <w:top w:val="none" w:sz="0" w:space="0" w:color="auto"/>
        <w:left w:val="none" w:sz="0" w:space="0" w:color="auto"/>
        <w:bottom w:val="none" w:sz="0" w:space="0" w:color="auto"/>
        <w:right w:val="none" w:sz="0" w:space="0" w:color="auto"/>
      </w:divBdr>
      <w:divsChild>
        <w:div w:id="377121036">
          <w:marLeft w:val="0"/>
          <w:marRight w:val="0"/>
          <w:marTop w:val="0"/>
          <w:marBottom w:val="0"/>
          <w:divBdr>
            <w:top w:val="none" w:sz="0" w:space="0" w:color="auto"/>
            <w:left w:val="none" w:sz="0" w:space="0" w:color="auto"/>
            <w:bottom w:val="none" w:sz="0" w:space="0" w:color="auto"/>
            <w:right w:val="none" w:sz="0" w:space="0" w:color="auto"/>
          </w:divBdr>
          <w:divsChild>
            <w:div w:id="1824737032">
              <w:marLeft w:val="0"/>
              <w:marRight w:val="75"/>
              <w:marTop w:val="75"/>
              <w:marBottom w:val="75"/>
              <w:divBdr>
                <w:top w:val="none" w:sz="0" w:space="0" w:color="auto"/>
                <w:left w:val="none" w:sz="0" w:space="0" w:color="auto"/>
                <w:bottom w:val="none" w:sz="0" w:space="0" w:color="auto"/>
                <w:right w:val="none" w:sz="0" w:space="0" w:color="auto"/>
              </w:divBdr>
            </w:div>
          </w:divsChild>
        </w:div>
        <w:div w:id="822896863">
          <w:marLeft w:val="0"/>
          <w:marRight w:val="0"/>
          <w:marTop w:val="0"/>
          <w:marBottom w:val="0"/>
          <w:divBdr>
            <w:top w:val="none" w:sz="0" w:space="0" w:color="auto"/>
            <w:left w:val="none" w:sz="0" w:space="0" w:color="auto"/>
            <w:bottom w:val="none" w:sz="0" w:space="0" w:color="auto"/>
            <w:right w:val="none" w:sz="0" w:space="0" w:color="auto"/>
          </w:divBdr>
          <w:divsChild>
            <w:div w:id="764882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11872877">
      <w:bodyDiv w:val="1"/>
      <w:marLeft w:val="0"/>
      <w:marRight w:val="0"/>
      <w:marTop w:val="0"/>
      <w:marBottom w:val="0"/>
      <w:divBdr>
        <w:top w:val="none" w:sz="0" w:space="0" w:color="auto"/>
        <w:left w:val="none" w:sz="0" w:space="0" w:color="auto"/>
        <w:bottom w:val="none" w:sz="0" w:space="0" w:color="auto"/>
        <w:right w:val="none" w:sz="0" w:space="0" w:color="auto"/>
      </w:divBdr>
    </w:div>
    <w:div w:id="1513642219">
      <w:bodyDiv w:val="1"/>
      <w:marLeft w:val="0"/>
      <w:marRight w:val="0"/>
      <w:marTop w:val="0"/>
      <w:marBottom w:val="0"/>
      <w:divBdr>
        <w:top w:val="none" w:sz="0" w:space="0" w:color="auto"/>
        <w:left w:val="none" w:sz="0" w:space="0" w:color="auto"/>
        <w:bottom w:val="none" w:sz="0" w:space="0" w:color="auto"/>
        <w:right w:val="none" w:sz="0" w:space="0" w:color="auto"/>
      </w:divBdr>
    </w:div>
    <w:div w:id="1514565948">
      <w:bodyDiv w:val="1"/>
      <w:marLeft w:val="0"/>
      <w:marRight w:val="0"/>
      <w:marTop w:val="0"/>
      <w:marBottom w:val="0"/>
      <w:divBdr>
        <w:top w:val="none" w:sz="0" w:space="0" w:color="auto"/>
        <w:left w:val="none" w:sz="0" w:space="0" w:color="auto"/>
        <w:bottom w:val="none" w:sz="0" w:space="0" w:color="auto"/>
        <w:right w:val="none" w:sz="0" w:space="0" w:color="auto"/>
      </w:divBdr>
    </w:div>
    <w:div w:id="1517452987">
      <w:bodyDiv w:val="1"/>
      <w:marLeft w:val="0"/>
      <w:marRight w:val="0"/>
      <w:marTop w:val="0"/>
      <w:marBottom w:val="0"/>
      <w:divBdr>
        <w:top w:val="none" w:sz="0" w:space="0" w:color="auto"/>
        <w:left w:val="none" w:sz="0" w:space="0" w:color="auto"/>
        <w:bottom w:val="none" w:sz="0" w:space="0" w:color="auto"/>
        <w:right w:val="none" w:sz="0" w:space="0" w:color="auto"/>
      </w:divBdr>
    </w:div>
    <w:div w:id="1519388663">
      <w:bodyDiv w:val="1"/>
      <w:marLeft w:val="0"/>
      <w:marRight w:val="0"/>
      <w:marTop w:val="0"/>
      <w:marBottom w:val="0"/>
      <w:divBdr>
        <w:top w:val="none" w:sz="0" w:space="0" w:color="auto"/>
        <w:left w:val="none" w:sz="0" w:space="0" w:color="auto"/>
        <w:bottom w:val="none" w:sz="0" w:space="0" w:color="auto"/>
        <w:right w:val="none" w:sz="0" w:space="0" w:color="auto"/>
      </w:divBdr>
    </w:div>
    <w:div w:id="1534687807">
      <w:bodyDiv w:val="1"/>
      <w:marLeft w:val="0"/>
      <w:marRight w:val="0"/>
      <w:marTop w:val="0"/>
      <w:marBottom w:val="0"/>
      <w:divBdr>
        <w:top w:val="none" w:sz="0" w:space="0" w:color="auto"/>
        <w:left w:val="none" w:sz="0" w:space="0" w:color="auto"/>
        <w:bottom w:val="none" w:sz="0" w:space="0" w:color="auto"/>
        <w:right w:val="none" w:sz="0" w:space="0" w:color="auto"/>
      </w:divBdr>
    </w:div>
    <w:div w:id="1538276455">
      <w:bodyDiv w:val="1"/>
      <w:marLeft w:val="0"/>
      <w:marRight w:val="0"/>
      <w:marTop w:val="0"/>
      <w:marBottom w:val="0"/>
      <w:divBdr>
        <w:top w:val="none" w:sz="0" w:space="0" w:color="auto"/>
        <w:left w:val="none" w:sz="0" w:space="0" w:color="auto"/>
        <w:bottom w:val="none" w:sz="0" w:space="0" w:color="auto"/>
        <w:right w:val="none" w:sz="0" w:space="0" w:color="auto"/>
      </w:divBdr>
    </w:div>
    <w:div w:id="1540631696">
      <w:bodyDiv w:val="1"/>
      <w:marLeft w:val="0"/>
      <w:marRight w:val="0"/>
      <w:marTop w:val="0"/>
      <w:marBottom w:val="0"/>
      <w:divBdr>
        <w:top w:val="none" w:sz="0" w:space="0" w:color="auto"/>
        <w:left w:val="none" w:sz="0" w:space="0" w:color="auto"/>
        <w:bottom w:val="none" w:sz="0" w:space="0" w:color="auto"/>
        <w:right w:val="none" w:sz="0" w:space="0" w:color="auto"/>
      </w:divBdr>
    </w:div>
    <w:div w:id="1541550574">
      <w:bodyDiv w:val="1"/>
      <w:marLeft w:val="0"/>
      <w:marRight w:val="0"/>
      <w:marTop w:val="0"/>
      <w:marBottom w:val="0"/>
      <w:divBdr>
        <w:top w:val="none" w:sz="0" w:space="0" w:color="auto"/>
        <w:left w:val="none" w:sz="0" w:space="0" w:color="auto"/>
        <w:bottom w:val="none" w:sz="0" w:space="0" w:color="auto"/>
        <w:right w:val="none" w:sz="0" w:space="0" w:color="auto"/>
      </w:divBdr>
    </w:div>
    <w:div w:id="1552306876">
      <w:bodyDiv w:val="1"/>
      <w:marLeft w:val="0"/>
      <w:marRight w:val="0"/>
      <w:marTop w:val="0"/>
      <w:marBottom w:val="0"/>
      <w:divBdr>
        <w:top w:val="none" w:sz="0" w:space="0" w:color="auto"/>
        <w:left w:val="none" w:sz="0" w:space="0" w:color="auto"/>
        <w:bottom w:val="none" w:sz="0" w:space="0" w:color="auto"/>
        <w:right w:val="none" w:sz="0" w:space="0" w:color="auto"/>
      </w:divBdr>
    </w:div>
    <w:div w:id="1555235318">
      <w:bodyDiv w:val="1"/>
      <w:marLeft w:val="0"/>
      <w:marRight w:val="0"/>
      <w:marTop w:val="0"/>
      <w:marBottom w:val="0"/>
      <w:divBdr>
        <w:top w:val="none" w:sz="0" w:space="0" w:color="auto"/>
        <w:left w:val="none" w:sz="0" w:space="0" w:color="auto"/>
        <w:bottom w:val="none" w:sz="0" w:space="0" w:color="auto"/>
        <w:right w:val="none" w:sz="0" w:space="0" w:color="auto"/>
      </w:divBdr>
    </w:div>
    <w:div w:id="1556500886">
      <w:bodyDiv w:val="1"/>
      <w:marLeft w:val="0"/>
      <w:marRight w:val="0"/>
      <w:marTop w:val="0"/>
      <w:marBottom w:val="0"/>
      <w:divBdr>
        <w:top w:val="none" w:sz="0" w:space="0" w:color="auto"/>
        <w:left w:val="none" w:sz="0" w:space="0" w:color="auto"/>
        <w:bottom w:val="none" w:sz="0" w:space="0" w:color="auto"/>
        <w:right w:val="none" w:sz="0" w:space="0" w:color="auto"/>
      </w:divBdr>
    </w:div>
    <w:div w:id="1557011119">
      <w:bodyDiv w:val="1"/>
      <w:marLeft w:val="0"/>
      <w:marRight w:val="0"/>
      <w:marTop w:val="0"/>
      <w:marBottom w:val="0"/>
      <w:divBdr>
        <w:top w:val="none" w:sz="0" w:space="0" w:color="auto"/>
        <w:left w:val="none" w:sz="0" w:space="0" w:color="auto"/>
        <w:bottom w:val="none" w:sz="0" w:space="0" w:color="auto"/>
        <w:right w:val="none" w:sz="0" w:space="0" w:color="auto"/>
      </w:divBdr>
    </w:div>
    <w:div w:id="1563324880">
      <w:bodyDiv w:val="1"/>
      <w:marLeft w:val="0"/>
      <w:marRight w:val="0"/>
      <w:marTop w:val="0"/>
      <w:marBottom w:val="0"/>
      <w:divBdr>
        <w:top w:val="none" w:sz="0" w:space="0" w:color="auto"/>
        <w:left w:val="none" w:sz="0" w:space="0" w:color="auto"/>
        <w:bottom w:val="none" w:sz="0" w:space="0" w:color="auto"/>
        <w:right w:val="none" w:sz="0" w:space="0" w:color="auto"/>
      </w:divBdr>
    </w:div>
    <w:div w:id="1565336614">
      <w:bodyDiv w:val="1"/>
      <w:marLeft w:val="0"/>
      <w:marRight w:val="0"/>
      <w:marTop w:val="0"/>
      <w:marBottom w:val="0"/>
      <w:divBdr>
        <w:top w:val="none" w:sz="0" w:space="0" w:color="auto"/>
        <w:left w:val="none" w:sz="0" w:space="0" w:color="auto"/>
        <w:bottom w:val="none" w:sz="0" w:space="0" w:color="auto"/>
        <w:right w:val="none" w:sz="0" w:space="0" w:color="auto"/>
      </w:divBdr>
    </w:div>
    <w:div w:id="1572883911">
      <w:bodyDiv w:val="1"/>
      <w:marLeft w:val="0"/>
      <w:marRight w:val="0"/>
      <w:marTop w:val="0"/>
      <w:marBottom w:val="0"/>
      <w:divBdr>
        <w:top w:val="none" w:sz="0" w:space="0" w:color="auto"/>
        <w:left w:val="none" w:sz="0" w:space="0" w:color="auto"/>
        <w:bottom w:val="none" w:sz="0" w:space="0" w:color="auto"/>
        <w:right w:val="none" w:sz="0" w:space="0" w:color="auto"/>
      </w:divBdr>
    </w:div>
    <w:div w:id="1578203165">
      <w:bodyDiv w:val="1"/>
      <w:marLeft w:val="0"/>
      <w:marRight w:val="0"/>
      <w:marTop w:val="0"/>
      <w:marBottom w:val="0"/>
      <w:divBdr>
        <w:top w:val="none" w:sz="0" w:space="0" w:color="auto"/>
        <w:left w:val="none" w:sz="0" w:space="0" w:color="auto"/>
        <w:bottom w:val="none" w:sz="0" w:space="0" w:color="auto"/>
        <w:right w:val="none" w:sz="0" w:space="0" w:color="auto"/>
      </w:divBdr>
    </w:div>
    <w:div w:id="1599286394">
      <w:bodyDiv w:val="1"/>
      <w:marLeft w:val="0"/>
      <w:marRight w:val="0"/>
      <w:marTop w:val="0"/>
      <w:marBottom w:val="0"/>
      <w:divBdr>
        <w:top w:val="none" w:sz="0" w:space="0" w:color="auto"/>
        <w:left w:val="none" w:sz="0" w:space="0" w:color="auto"/>
        <w:bottom w:val="none" w:sz="0" w:space="0" w:color="auto"/>
        <w:right w:val="none" w:sz="0" w:space="0" w:color="auto"/>
      </w:divBdr>
    </w:div>
    <w:div w:id="1601644927">
      <w:bodyDiv w:val="1"/>
      <w:marLeft w:val="0"/>
      <w:marRight w:val="0"/>
      <w:marTop w:val="0"/>
      <w:marBottom w:val="0"/>
      <w:divBdr>
        <w:top w:val="none" w:sz="0" w:space="0" w:color="auto"/>
        <w:left w:val="none" w:sz="0" w:space="0" w:color="auto"/>
        <w:bottom w:val="none" w:sz="0" w:space="0" w:color="auto"/>
        <w:right w:val="none" w:sz="0" w:space="0" w:color="auto"/>
      </w:divBdr>
      <w:divsChild>
        <w:div w:id="576794299">
          <w:marLeft w:val="0"/>
          <w:marRight w:val="0"/>
          <w:marTop w:val="0"/>
          <w:marBottom w:val="0"/>
          <w:divBdr>
            <w:top w:val="none" w:sz="0" w:space="0" w:color="auto"/>
            <w:left w:val="none" w:sz="0" w:space="0" w:color="auto"/>
            <w:bottom w:val="none" w:sz="0" w:space="0" w:color="auto"/>
            <w:right w:val="none" w:sz="0" w:space="0" w:color="auto"/>
          </w:divBdr>
          <w:divsChild>
            <w:div w:id="1429813750">
              <w:marLeft w:val="0"/>
              <w:marRight w:val="0"/>
              <w:marTop w:val="0"/>
              <w:marBottom w:val="0"/>
              <w:divBdr>
                <w:top w:val="none" w:sz="0" w:space="0" w:color="auto"/>
                <w:left w:val="none" w:sz="0" w:space="0" w:color="auto"/>
                <w:bottom w:val="none" w:sz="0" w:space="0" w:color="auto"/>
                <w:right w:val="none" w:sz="0" w:space="0" w:color="auto"/>
              </w:divBdr>
              <w:divsChild>
                <w:div w:id="1015615358">
                  <w:marLeft w:val="0"/>
                  <w:marRight w:val="0"/>
                  <w:marTop w:val="0"/>
                  <w:marBottom w:val="0"/>
                  <w:divBdr>
                    <w:top w:val="none" w:sz="0" w:space="0" w:color="auto"/>
                    <w:left w:val="none" w:sz="0" w:space="0" w:color="auto"/>
                    <w:bottom w:val="none" w:sz="0" w:space="0" w:color="auto"/>
                    <w:right w:val="none" w:sz="0" w:space="0" w:color="auto"/>
                  </w:divBdr>
                  <w:divsChild>
                    <w:div w:id="15104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11609">
      <w:bodyDiv w:val="1"/>
      <w:marLeft w:val="0"/>
      <w:marRight w:val="0"/>
      <w:marTop w:val="0"/>
      <w:marBottom w:val="0"/>
      <w:divBdr>
        <w:top w:val="none" w:sz="0" w:space="0" w:color="auto"/>
        <w:left w:val="none" w:sz="0" w:space="0" w:color="auto"/>
        <w:bottom w:val="none" w:sz="0" w:space="0" w:color="auto"/>
        <w:right w:val="none" w:sz="0" w:space="0" w:color="auto"/>
      </w:divBdr>
    </w:div>
    <w:div w:id="1625884236">
      <w:bodyDiv w:val="1"/>
      <w:marLeft w:val="0"/>
      <w:marRight w:val="0"/>
      <w:marTop w:val="0"/>
      <w:marBottom w:val="0"/>
      <w:divBdr>
        <w:top w:val="none" w:sz="0" w:space="0" w:color="auto"/>
        <w:left w:val="none" w:sz="0" w:space="0" w:color="auto"/>
        <w:bottom w:val="none" w:sz="0" w:space="0" w:color="auto"/>
        <w:right w:val="none" w:sz="0" w:space="0" w:color="auto"/>
      </w:divBdr>
    </w:div>
    <w:div w:id="1645506784">
      <w:bodyDiv w:val="1"/>
      <w:marLeft w:val="0"/>
      <w:marRight w:val="0"/>
      <w:marTop w:val="0"/>
      <w:marBottom w:val="0"/>
      <w:divBdr>
        <w:top w:val="none" w:sz="0" w:space="0" w:color="auto"/>
        <w:left w:val="none" w:sz="0" w:space="0" w:color="auto"/>
        <w:bottom w:val="none" w:sz="0" w:space="0" w:color="auto"/>
        <w:right w:val="none" w:sz="0" w:space="0" w:color="auto"/>
      </w:divBdr>
    </w:div>
    <w:div w:id="1652324484">
      <w:bodyDiv w:val="1"/>
      <w:marLeft w:val="0"/>
      <w:marRight w:val="0"/>
      <w:marTop w:val="0"/>
      <w:marBottom w:val="0"/>
      <w:divBdr>
        <w:top w:val="none" w:sz="0" w:space="0" w:color="auto"/>
        <w:left w:val="none" w:sz="0" w:space="0" w:color="auto"/>
        <w:bottom w:val="none" w:sz="0" w:space="0" w:color="auto"/>
        <w:right w:val="none" w:sz="0" w:space="0" w:color="auto"/>
      </w:divBdr>
    </w:div>
    <w:div w:id="1690257502">
      <w:bodyDiv w:val="1"/>
      <w:marLeft w:val="0"/>
      <w:marRight w:val="0"/>
      <w:marTop w:val="0"/>
      <w:marBottom w:val="0"/>
      <w:divBdr>
        <w:top w:val="none" w:sz="0" w:space="0" w:color="auto"/>
        <w:left w:val="none" w:sz="0" w:space="0" w:color="auto"/>
        <w:bottom w:val="none" w:sz="0" w:space="0" w:color="auto"/>
        <w:right w:val="none" w:sz="0" w:space="0" w:color="auto"/>
      </w:divBdr>
      <w:divsChild>
        <w:div w:id="6493121">
          <w:marLeft w:val="0"/>
          <w:marRight w:val="0"/>
          <w:marTop w:val="0"/>
          <w:marBottom w:val="0"/>
          <w:divBdr>
            <w:top w:val="none" w:sz="0" w:space="0" w:color="auto"/>
            <w:left w:val="none" w:sz="0" w:space="0" w:color="auto"/>
            <w:bottom w:val="none" w:sz="0" w:space="0" w:color="auto"/>
            <w:right w:val="none" w:sz="0" w:space="0" w:color="auto"/>
          </w:divBdr>
          <w:divsChild>
            <w:div w:id="953905844">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 w:id="1696689788">
      <w:bodyDiv w:val="1"/>
      <w:marLeft w:val="0"/>
      <w:marRight w:val="0"/>
      <w:marTop w:val="0"/>
      <w:marBottom w:val="0"/>
      <w:divBdr>
        <w:top w:val="none" w:sz="0" w:space="0" w:color="auto"/>
        <w:left w:val="none" w:sz="0" w:space="0" w:color="auto"/>
        <w:bottom w:val="none" w:sz="0" w:space="0" w:color="auto"/>
        <w:right w:val="none" w:sz="0" w:space="0" w:color="auto"/>
      </w:divBdr>
    </w:div>
    <w:div w:id="1698967355">
      <w:bodyDiv w:val="1"/>
      <w:marLeft w:val="0"/>
      <w:marRight w:val="0"/>
      <w:marTop w:val="0"/>
      <w:marBottom w:val="0"/>
      <w:divBdr>
        <w:top w:val="none" w:sz="0" w:space="0" w:color="auto"/>
        <w:left w:val="none" w:sz="0" w:space="0" w:color="auto"/>
        <w:bottom w:val="none" w:sz="0" w:space="0" w:color="auto"/>
        <w:right w:val="none" w:sz="0" w:space="0" w:color="auto"/>
      </w:divBdr>
    </w:div>
    <w:div w:id="1708413477">
      <w:bodyDiv w:val="1"/>
      <w:marLeft w:val="0"/>
      <w:marRight w:val="0"/>
      <w:marTop w:val="0"/>
      <w:marBottom w:val="0"/>
      <w:divBdr>
        <w:top w:val="none" w:sz="0" w:space="0" w:color="auto"/>
        <w:left w:val="none" w:sz="0" w:space="0" w:color="auto"/>
        <w:bottom w:val="none" w:sz="0" w:space="0" w:color="auto"/>
        <w:right w:val="none" w:sz="0" w:space="0" w:color="auto"/>
      </w:divBdr>
    </w:div>
    <w:div w:id="1714497244">
      <w:bodyDiv w:val="1"/>
      <w:marLeft w:val="0"/>
      <w:marRight w:val="0"/>
      <w:marTop w:val="0"/>
      <w:marBottom w:val="0"/>
      <w:divBdr>
        <w:top w:val="none" w:sz="0" w:space="0" w:color="auto"/>
        <w:left w:val="none" w:sz="0" w:space="0" w:color="auto"/>
        <w:bottom w:val="none" w:sz="0" w:space="0" w:color="auto"/>
        <w:right w:val="none" w:sz="0" w:space="0" w:color="auto"/>
      </w:divBdr>
    </w:div>
    <w:div w:id="1728413277">
      <w:bodyDiv w:val="1"/>
      <w:marLeft w:val="0"/>
      <w:marRight w:val="0"/>
      <w:marTop w:val="0"/>
      <w:marBottom w:val="0"/>
      <w:divBdr>
        <w:top w:val="none" w:sz="0" w:space="0" w:color="auto"/>
        <w:left w:val="none" w:sz="0" w:space="0" w:color="auto"/>
        <w:bottom w:val="none" w:sz="0" w:space="0" w:color="auto"/>
        <w:right w:val="none" w:sz="0" w:space="0" w:color="auto"/>
      </w:divBdr>
    </w:div>
    <w:div w:id="1729182073">
      <w:bodyDiv w:val="1"/>
      <w:marLeft w:val="0"/>
      <w:marRight w:val="0"/>
      <w:marTop w:val="0"/>
      <w:marBottom w:val="0"/>
      <w:divBdr>
        <w:top w:val="none" w:sz="0" w:space="0" w:color="auto"/>
        <w:left w:val="none" w:sz="0" w:space="0" w:color="auto"/>
        <w:bottom w:val="none" w:sz="0" w:space="0" w:color="auto"/>
        <w:right w:val="none" w:sz="0" w:space="0" w:color="auto"/>
      </w:divBdr>
    </w:div>
    <w:div w:id="1733965590">
      <w:bodyDiv w:val="1"/>
      <w:marLeft w:val="0"/>
      <w:marRight w:val="0"/>
      <w:marTop w:val="0"/>
      <w:marBottom w:val="0"/>
      <w:divBdr>
        <w:top w:val="none" w:sz="0" w:space="0" w:color="auto"/>
        <w:left w:val="none" w:sz="0" w:space="0" w:color="auto"/>
        <w:bottom w:val="none" w:sz="0" w:space="0" w:color="auto"/>
        <w:right w:val="none" w:sz="0" w:space="0" w:color="auto"/>
      </w:divBdr>
    </w:div>
    <w:div w:id="1735272420">
      <w:bodyDiv w:val="1"/>
      <w:marLeft w:val="0"/>
      <w:marRight w:val="0"/>
      <w:marTop w:val="0"/>
      <w:marBottom w:val="0"/>
      <w:divBdr>
        <w:top w:val="none" w:sz="0" w:space="0" w:color="auto"/>
        <w:left w:val="none" w:sz="0" w:space="0" w:color="auto"/>
        <w:bottom w:val="none" w:sz="0" w:space="0" w:color="auto"/>
        <w:right w:val="none" w:sz="0" w:space="0" w:color="auto"/>
      </w:divBdr>
    </w:div>
    <w:div w:id="1740249037">
      <w:bodyDiv w:val="1"/>
      <w:marLeft w:val="0"/>
      <w:marRight w:val="0"/>
      <w:marTop w:val="0"/>
      <w:marBottom w:val="0"/>
      <w:divBdr>
        <w:top w:val="none" w:sz="0" w:space="0" w:color="auto"/>
        <w:left w:val="none" w:sz="0" w:space="0" w:color="auto"/>
        <w:bottom w:val="none" w:sz="0" w:space="0" w:color="auto"/>
        <w:right w:val="none" w:sz="0" w:space="0" w:color="auto"/>
      </w:divBdr>
    </w:div>
    <w:div w:id="1751809050">
      <w:bodyDiv w:val="1"/>
      <w:marLeft w:val="0"/>
      <w:marRight w:val="0"/>
      <w:marTop w:val="0"/>
      <w:marBottom w:val="0"/>
      <w:divBdr>
        <w:top w:val="none" w:sz="0" w:space="0" w:color="auto"/>
        <w:left w:val="none" w:sz="0" w:space="0" w:color="auto"/>
        <w:bottom w:val="none" w:sz="0" w:space="0" w:color="auto"/>
        <w:right w:val="none" w:sz="0" w:space="0" w:color="auto"/>
      </w:divBdr>
    </w:div>
    <w:div w:id="1766919492">
      <w:bodyDiv w:val="1"/>
      <w:marLeft w:val="0"/>
      <w:marRight w:val="0"/>
      <w:marTop w:val="0"/>
      <w:marBottom w:val="0"/>
      <w:divBdr>
        <w:top w:val="none" w:sz="0" w:space="0" w:color="auto"/>
        <w:left w:val="none" w:sz="0" w:space="0" w:color="auto"/>
        <w:bottom w:val="none" w:sz="0" w:space="0" w:color="auto"/>
        <w:right w:val="none" w:sz="0" w:space="0" w:color="auto"/>
      </w:divBdr>
    </w:div>
    <w:div w:id="1770613759">
      <w:bodyDiv w:val="1"/>
      <w:marLeft w:val="0"/>
      <w:marRight w:val="0"/>
      <w:marTop w:val="0"/>
      <w:marBottom w:val="0"/>
      <w:divBdr>
        <w:top w:val="none" w:sz="0" w:space="0" w:color="auto"/>
        <w:left w:val="none" w:sz="0" w:space="0" w:color="auto"/>
        <w:bottom w:val="none" w:sz="0" w:space="0" w:color="auto"/>
        <w:right w:val="none" w:sz="0" w:space="0" w:color="auto"/>
      </w:divBdr>
    </w:div>
    <w:div w:id="1782646529">
      <w:bodyDiv w:val="1"/>
      <w:marLeft w:val="0"/>
      <w:marRight w:val="0"/>
      <w:marTop w:val="0"/>
      <w:marBottom w:val="0"/>
      <w:divBdr>
        <w:top w:val="none" w:sz="0" w:space="0" w:color="auto"/>
        <w:left w:val="none" w:sz="0" w:space="0" w:color="auto"/>
        <w:bottom w:val="none" w:sz="0" w:space="0" w:color="auto"/>
        <w:right w:val="none" w:sz="0" w:space="0" w:color="auto"/>
      </w:divBdr>
    </w:div>
    <w:div w:id="1784231285">
      <w:bodyDiv w:val="1"/>
      <w:marLeft w:val="0"/>
      <w:marRight w:val="0"/>
      <w:marTop w:val="0"/>
      <w:marBottom w:val="0"/>
      <w:divBdr>
        <w:top w:val="none" w:sz="0" w:space="0" w:color="auto"/>
        <w:left w:val="none" w:sz="0" w:space="0" w:color="auto"/>
        <w:bottom w:val="none" w:sz="0" w:space="0" w:color="auto"/>
        <w:right w:val="none" w:sz="0" w:space="0" w:color="auto"/>
      </w:divBdr>
    </w:div>
    <w:div w:id="1793092757">
      <w:bodyDiv w:val="1"/>
      <w:marLeft w:val="0"/>
      <w:marRight w:val="0"/>
      <w:marTop w:val="0"/>
      <w:marBottom w:val="0"/>
      <w:divBdr>
        <w:top w:val="none" w:sz="0" w:space="0" w:color="auto"/>
        <w:left w:val="none" w:sz="0" w:space="0" w:color="auto"/>
        <w:bottom w:val="none" w:sz="0" w:space="0" w:color="auto"/>
        <w:right w:val="none" w:sz="0" w:space="0" w:color="auto"/>
      </w:divBdr>
    </w:div>
    <w:div w:id="1801456512">
      <w:bodyDiv w:val="1"/>
      <w:marLeft w:val="0"/>
      <w:marRight w:val="0"/>
      <w:marTop w:val="0"/>
      <w:marBottom w:val="0"/>
      <w:divBdr>
        <w:top w:val="none" w:sz="0" w:space="0" w:color="auto"/>
        <w:left w:val="none" w:sz="0" w:space="0" w:color="auto"/>
        <w:bottom w:val="none" w:sz="0" w:space="0" w:color="auto"/>
        <w:right w:val="none" w:sz="0" w:space="0" w:color="auto"/>
      </w:divBdr>
    </w:div>
    <w:div w:id="1803188256">
      <w:bodyDiv w:val="1"/>
      <w:marLeft w:val="0"/>
      <w:marRight w:val="0"/>
      <w:marTop w:val="0"/>
      <w:marBottom w:val="0"/>
      <w:divBdr>
        <w:top w:val="none" w:sz="0" w:space="0" w:color="auto"/>
        <w:left w:val="none" w:sz="0" w:space="0" w:color="auto"/>
        <w:bottom w:val="none" w:sz="0" w:space="0" w:color="auto"/>
        <w:right w:val="none" w:sz="0" w:space="0" w:color="auto"/>
      </w:divBdr>
    </w:div>
    <w:div w:id="1817793970">
      <w:bodyDiv w:val="1"/>
      <w:marLeft w:val="0"/>
      <w:marRight w:val="0"/>
      <w:marTop w:val="0"/>
      <w:marBottom w:val="0"/>
      <w:divBdr>
        <w:top w:val="none" w:sz="0" w:space="0" w:color="auto"/>
        <w:left w:val="none" w:sz="0" w:space="0" w:color="auto"/>
        <w:bottom w:val="none" w:sz="0" w:space="0" w:color="auto"/>
        <w:right w:val="none" w:sz="0" w:space="0" w:color="auto"/>
      </w:divBdr>
    </w:div>
    <w:div w:id="1821072162">
      <w:bodyDiv w:val="1"/>
      <w:marLeft w:val="0"/>
      <w:marRight w:val="0"/>
      <w:marTop w:val="0"/>
      <w:marBottom w:val="0"/>
      <w:divBdr>
        <w:top w:val="none" w:sz="0" w:space="0" w:color="auto"/>
        <w:left w:val="none" w:sz="0" w:space="0" w:color="auto"/>
        <w:bottom w:val="none" w:sz="0" w:space="0" w:color="auto"/>
        <w:right w:val="none" w:sz="0" w:space="0" w:color="auto"/>
      </w:divBdr>
      <w:divsChild>
        <w:div w:id="672026102">
          <w:marLeft w:val="0"/>
          <w:marRight w:val="0"/>
          <w:marTop w:val="0"/>
          <w:marBottom w:val="0"/>
          <w:divBdr>
            <w:top w:val="none" w:sz="0" w:space="0" w:color="auto"/>
            <w:left w:val="none" w:sz="0" w:space="0" w:color="auto"/>
            <w:bottom w:val="none" w:sz="0" w:space="0" w:color="auto"/>
            <w:right w:val="none" w:sz="0" w:space="0" w:color="auto"/>
          </w:divBdr>
          <w:divsChild>
            <w:div w:id="1587961086">
              <w:marLeft w:val="0"/>
              <w:marRight w:val="0"/>
              <w:marTop w:val="0"/>
              <w:marBottom w:val="0"/>
              <w:divBdr>
                <w:top w:val="none" w:sz="0" w:space="0" w:color="auto"/>
                <w:left w:val="none" w:sz="0" w:space="0" w:color="auto"/>
                <w:bottom w:val="none" w:sz="0" w:space="0" w:color="auto"/>
                <w:right w:val="none" w:sz="0" w:space="0" w:color="auto"/>
              </w:divBdr>
              <w:divsChild>
                <w:div w:id="951597910">
                  <w:marLeft w:val="0"/>
                  <w:marRight w:val="0"/>
                  <w:marTop w:val="0"/>
                  <w:marBottom w:val="0"/>
                  <w:divBdr>
                    <w:top w:val="none" w:sz="0" w:space="0" w:color="auto"/>
                    <w:left w:val="none" w:sz="0" w:space="0" w:color="auto"/>
                    <w:bottom w:val="none" w:sz="0" w:space="0" w:color="auto"/>
                    <w:right w:val="none" w:sz="0" w:space="0" w:color="auto"/>
                  </w:divBdr>
                  <w:divsChild>
                    <w:div w:id="21021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05200">
      <w:bodyDiv w:val="1"/>
      <w:marLeft w:val="0"/>
      <w:marRight w:val="0"/>
      <w:marTop w:val="0"/>
      <w:marBottom w:val="0"/>
      <w:divBdr>
        <w:top w:val="none" w:sz="0" w:space="0" w:color="auto"/>
        <w:left w:val="none" w:sz="0" w:space="0" w:color="auto"/>
        <w:bottom w:val="none" w:sz="0" w:space="0" w:color="auto"/>
        <w:right w:val="none" w:sz="0" w:space="0" w:color="auto"/>
      </w:divBdr>
    </w:div>
    <w:div w:id="1844975045">
      <w:bodyDiv w:val="1"/>
      <w:marLeft w:val="0"/>
      <w:marRight w:val="0"/>
      <w:marTop w:val="0"/>
      <w:marBottom w:val="0"/>
      <w:divBdr>
        <w:top w:val="none" w:sz="0" w:space="0" w:color="auto"/>
        <w:left w:val="none" w:sz="0" w:space="0" w:color="auto"/>
        <w:bottom w:val="none" w:sz="0" w:space="0" w:color="auto"/>
        <w:right w:val="none" w:sz="0" w:space="0" w:color="auto"/>
      </w:divBdr>
    </w:div>
    <w:div w:id="1852914014">
      <w:bodyDiv w:val="1"/>
      <w:marLeft w:val="0"/>
      <w:marRight w:val="0"/>
      <w:marTop w:val="0"/>
      <w:marBottom w:val="0"/>
      <w:divBdr>
        <w:top w:val="none" w:sz="0" w:space="0" w:color="auto"/>
        <w:left w:val="none" w:sz="0" w:space="0" w:color="auto"/>
        <w:bottom w:val="none" w:sz="0" w:space="0" w:color="auto"/>
        <w:right w:val="none" w:sz="0" w:space="0" w:color="auto"/>
      </w:divBdr>
    </w:div>
    <w:div w:id="1855997956">
      <w:bodyDiv w:val="1"/>
      <w:marLeft w:val="0"/>
      <w:marRight w:val="0"/>
      <w:marTop w:val="0"/>
      <w:marBottom w:val="0"/>
      <w:divBdr>
        <w:top w:val="none" w:sz="0" w:space="0" w:color="auto"/>
        <w:left w:val="none" w:sz="0" w:space="0" w:color="auto"/>
        <w:bottom w:val="none" w:sz="0" w:space="0" w:color="auto"/>
        <w:right w:val="none" w:sz="0" w:space="0" w:color="auto"/>
      </w:divBdr>
    </w:div>
    <w:div w:id="1859924450">
      <w:bodyDiv w:val="1"/>
      <w:marLeft w:val="0"/>
      <w:marRight w:val="0"/>
      <w:marTop w:val="0"/>
      <w:marBottom w:val="0"/>
      <w:divBdr>
        <w:top w:val="none" w:sz="0" w:space="0" w:color="auto"/>
        <w:left w:val="none" w:sz="0" w:space="0" w:color="auto"/>
        <w:bottom w:val="none" w:sz="0" w:space="0" w:color="auto"/>
        <w:right w:val="none" w:sz="0" w:space="0" w:color="auto"/>
      </w:divBdr>
      <w:divsChild>
        <w:div w:id="1344170014">
          <w:marLeft w:val="0"/>
          <w:marRight w:val="0"/>
          <w:marTop w:val="0"/>
          <w:marBottom w:val="0"/>
          <w:divBdr>
            <w:top w:val="none" w:sz="0" w:space="0" w:color="auto"/>
            <w:left w:val="none" w:sz="0" w:space="0" w:color="auto"/>
            <w:bottom w:val="none" w:sz="0" w:space="0" w:color="auto"/>
            <w:right w:val="none" w:sz="0" w:space="0" w:color="auto"/>
          </w:divBdr>
          <w:divsChild>
            <w:div w:id="735053009">
              <w:marLeft w:val="0"/>
              <w:marRight w:val="0"/>
              <w:marTop w:val="0"/>
              <w:marBottom w:val="0"/>
              <w:divBdr>
                <w:top w:val="none" w:sz="0" w:space="0" w:color="auto"/>
                <w:left w:val="none" w:sz="0" w:space="0" w:color="auto"/>
                <w:bottom w:val="none" w:sz="0" w:space="0" w:color="auto"/>
                <w:right w:val="none" w:sz="0" w:space="0" w:color="auto"/>
              </w:divBdr>
              <w:divsChild>
                <w:div w:id="275601762">
                  <w:marLeft w:val="0"/>
                  <w:marRight w:val="0"/>
                  <w:marTop w:val="0"/>
                  <w:marBottom w:val="0"/>
                  <w:divBdr>
                    <w:top w:val="none" w:sz="0" w:space="0" w:color="auto"/>
                    <w:left w:val="none" w:sz="0" w:space="0" w:color="auto"/>
                    <w:bottom w:val="none" w:sz="0" w:space="0" w:color="auto"/>
                    <w:right w:val="none" w:sz="0" w:space="0" w:color="auto"/>
                  </w:divBdr>
                  <w:divsChild>
                    <w:div w:id="9156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875830">
      <w:bodyDiv w:val="1"/>
      <w:marLeft w:val="0"/>
      <w:marRight w:val="0"/>
      <w:marTop w:val="0"/>
      <w:marBottom w:val="0"/>
      <w:divBdr>
        <w:top w:val="none" w:sz="0" w:space="0" w:color="auto"/>
        <w:left w:val="none" w:sz="0" w:space="0" w:color="auto"/>
        <w:bottom w:val="none" w:sz="0" w:space="0" w:color="auto"/>
        <w:right w:val="none" w:sz="0" w:space="0" w:color="auto"/>
      </w:divBdr>
    </w:div>
    <w:div w:id="1890534737">
      <w:bodyDiv w:val="1"/>
      <w:marLeft w:val="0"/>
      <w:marRight w:val="0"/>
      <w:marTop w:val="0"/>
      <w:marBottom w:val="0"/>
      <w:divBdr>
        <w:top w:val="none" w:sz="0" w:space="0" w:color="auto"/>
        <w:left w:val="none" w:sz="0" w:space="0" w:color="auto"/>
        <w:bottom w:val="none" w:sz="0" w:space="0" w:color="auto"/>
        <w:right w:val="none" w:sz="0" w:space="0" w:color="auto"/>
      </w:divBdr>
    </w:div>
    <w:div w:id="1893074997">
      <w:bodyDiv w:val="1"/>
      <w:marLeft w:val="0"/>
      <w:marRight w:val="0"/>
      <w:marTop w:val="0"/>
      <w:marBottom w:val="0"/>
      <w:divBdr>
        <w:top w:val="none" w:sz="0" w:space="0" w:color="auto"/>
        <w:left w:val="none" w:sz="0" w:space="0" w:color="auto"/>
        <w:bottom w:val="none" w:sz="0" w:space="0" w:color="auto"/>
        <w:right w:val="none" w:sz="0" w:space="0" w:color="auto"/>
      </w:divBdr>
    </w:div>
    <w:div w:id="1897202366">
      <w:bodyDiv w:val="1"/>
      <w:marLeft w:val="0"/>
      <w:marRight w:val="0"/>
      <w:marTop w:val="0"/>
      <w:marBottom w:val="0"/>
      <w:divBdr>
        <w:top w:val="none" w:sz="0" w:space="0" w:color="auto"/>
        <w:left w:val="none" w:sz="0" w:space="0" w:color="auto"/>
        <w:bottom w:val="none" w:sz="0" w:space="0" w:color="auto"/>
        <w:right w:val="none" w:sz="0" w:space="0" w:color="auto"/>
      </w:divBdr>
    </w:div>
    <w:div w:id="1902053173">
      <w:bodyDiv w:val="1"/>
      <w:marLeft w:val="0"/>
      <w:marRight w:val="0"/>
      <w:marTop w:val="0"/>
      <w:marBottom w:val="0"/>
      <w:divBdr>
        <w:top w:val="none" w:sz="0" w:space="0" w:color="auto"/>
        <w:left w:val="none" w:sz="0" w:space="0" w:color="auto"/>
        <w:bottom w:val="none" w:sz="0" w:space="0" w:color="auto"/>
        <w:right w:val="none" w:sz="0" w:space="0" w:color="auto"/>
      </w:divBdr>
    </w:div>
    <w:div w:id="1904828635">
      <w:bodyDiv w:val="1"/>
      <w:marLeft w:val="0"/>
      <w:marRight w:val="0"/>
      <w:marTop w:val="0"/>
      <w:marBottom w:val="0"/>
      <w:divBdr>
        <w:top w:val="none" w:sz="0" w:space="0" w:color="auto"/>
        <w:left w:val="none" w:sz="0" w:space="0" w:color="auto"/>
        <w:bottom w:val="none" w:sz="0" w:space="0" w:color="auto"/>
        <w:right w:val="none" w:sz="0" w:space="0" w:color="auto"/>
      </w:divBdr>
    </w:div>
    <w:div w:id="1917282709">
      <w:bodyDiv w:val="1"/>
      <w:marLeft w:val="0"/>
      <w:marRight w:val="0"/>
      <w:marTop w:val="0"/>
      <w:marBottom w:val="0"/>
      <w:divBdr>
        <w:top w:val="none" w:sz="0" w:space="0" w:color="auto"/>
        <w:left w:val="none" w:sz="0" w:space="0" w:color="auto"/>
        <w:bottom w:val="none" w:sz="0" w:space="0" w:color="auto"/>
        <w:right w:val="none" w:sz="0" w:space="0" w:color="auto"/>
      </w:divBdr>
    </w:div>
    <w:div w:id="1918635642">
      <w:bodyDiv w:val="1"/>
      <w:marLeft w:val="0"/>
      <w:marRight w:val="0"/>
      <w:marTop w:val="0"/>
      <w:marBottom w:val="0"/>
      <w:divBdr>
        <w:top w:val="none" w:sz="0" w:space="0" w:color="auto"/>
        <w:left w:val="none" w:sz="0" w:space="0" w:color="auto"/>
        <w:bottom w:val="none" w:sz="0" w:space="0" w:color="auto"/>
        <w:right w:val="none" w:sz="0" w:space="0" w:color="auto"/>
      </w:divBdr>
    </w:div>
    <w:div w:id="1928995791">
      <w:bodyDiv w:val="1"/>
      <w:marLeft w:val="0"/>
      <w:marRight w:val="0"/>
      <w:marTop w:val="0"/>
      <w:marBottom w:val="0"/>
      <w:divBdr>
        <w:top w:val="none" w:sz="0" w:space="0" w:color="auto"/>
        <w:left w:val="none" w:sz="0" w:space="0" w:color="auto"/>
        <w:bottom w:val="none" w:sz="0" w:space="0" w:color="auto"/>
        <w:right w:val="none" w:sz="0" w:space="0" w:color="auto"/>
      </w:divBdr>
    </w:div>
    <w:div w:id="1935018390">
      <w:bodyDiv w:val="1"/>
      <w:marLeft w:val="0"/>
      <w:marRight w:val="0"/>
      <w:marTop w:val="0"/>
      <w:marBottom w:val="0"/>
      <w:divBdr>
        <w:top w:val="none" w:sz="0" w:space="0" w:color="auto"/>
        <w:left w:val="none" w:sz="0" w:space="0" w:color="auto"/>
        <w:bottom w:val="none" w:sz="0" w:space="0" w:color="auto"/>
        <w:right w:val="none" w:sz="0" w:space="0" w:color="auto"/>
      </w:divBdr>
    </w:div>
    <w:div w:id="1936669630">
      <w:bodyDiv w:val="1"/>
      <w:marLeft w:val="0"/>
      <w:marRight w:val="0"/>
      <w:marTop w:val="0"/>
      <w:marBottom w:val="0"/>
      <w:divBdr>
        <w:top w:val="none" w:sz="0" w:space="0" w:color="auto"/>
        <w:left w:val="none" w:sz="0" w:space="0" w:color="auto"/>
        <w:bottom w:val="none" w:sz="0" w:space="0" w:color="auto"/>
        <w:right w:val="none" w:sz="0" w:space="0" w:color="auto"/>
      </w:divBdr>
    </w:div>
    <w:div w:id="1944533718">
      <w:bodyDiv w:val="1"/>
      <w:marLeft w:val="0"/>
      <w:marRight w:val="0"/>
      <w:marTop w:val="0"/>
      <w:marBottom w:val="0"/>
      <w:divBdr>
        <w:top w:val="none" w:sz="0" w:space="0" w:color="auto"/>
        <w:left w:val="none" w:sz="0" w:space="0" w:color="auto"/>
        <w:bottom w:val="none" w:sz="0" w:space="0" w:color="auto"/>
        <w:right w:val="none" w:sz="0" w:space="0" w:color="auto"/>
      </w:divBdr>
    </w:div>
    <w:div w:id="1951280629">
      <w:bodyDiv w:val="1"/>
      <w:marLeft w:val="0"/>
      <w:marRight w:val="0"/>
      <w:marTop w:val="0"/>
      <w:marBottom w:val="0"/>
      <w:divBdr>
        <w:top w:val="none" w:sz="0" w:space="0" w:color="auto"/>
        <w:left w:val="none" w:sz="0" w:space="0" w:color="auto"/>
        <w:bottom w:val="none" w:sz="0" w:space="0" w:color="auto"/>
        <w:right w:val="none" w:sz="0" w:space="0" w:color="auto"/>
      </w:divBdr>
    </w:div>
    <w:div w:id="1955670612">
      <w:bodyDiv w:val="1"/>
      <w:marLeft w:val="0"/>
      <w:marRight w:val="0"/>
      <w:marTop w:val="0"/>
      <w:marBottom w:val="0"/>
      <w:divBdr>
        <w:top w:val="none" w:sz="0" w:space="0" w:color="auto"/>
        <w:left w:val="none" w:sz="0" w:space="0" w:color="auto"/>
        <w:bottom w:val="none" w:sz="0" w:space="0" w:color="auto"/>
        <w:right w:val="none" w:sz="0" w:space="0" w:color="auto"/>
      </w:divBdr>
    </w:div>
    <w:div w:id="1958414200">
      <w:bodyDiv w:val="1"/>
      <w:marLeft w:val="0"/>
      <w:marRight w:val="0"/>
      <w:marTop w:val="0"/>
      <w:marBottom w:val="0"/>
      <w:divBdr>
        <w:top w:val="none" w:sz="0" w:space="0" w:color="auto"/>
        <w:left w:val="none" w:sz="0" w:space="0" w:color="auto"/>
        <w:bottom w:val="none" w:sz="0" w:space="0" w:color="auto"/>
        <w:right w:val="none" w:sz="0" w:space="0" w:color="auto"/>
      </w:divBdr>
    </w:div>
    <w:div w:id="1990671486">
      <w:bodyDiv w:val="1"/>
      <w:marLeft w:val="0"/>
      <w:marRight w:val="0"/>
      <w:marTop w:val="0"/>
      <w:marBottom w:val="0"/>
      <w:divBdr>
        <w:top w:val="none" w:sz="0" w:space="0" w:color="auto"/>
        <w:left w:val="none" w:sz="0" w:space="0" w:color="auto"/>
        <w:bottom w:val="none" w:sz="0" w:space="0" w:color="auto"/>
        <w:right w:val="none" w:sz="0" w:space="0" w:color="auto"/>
      </w:divBdr>
      <w:divsChild>
        <w:div w:id="2101951498">
          <w:marLeft w:val="0"/>
          <w:marRight w:val="0"/>
          <w:marTop w:val="0"/>
          <w:marBottom w:val="0"/>
          <w:divBdr>
            <w:top w:val="none" w:sz="0" w:space="0" w:color="auto"/>
            <w:left w:val="none" w:sz="0" w:space="0" w:color="auto"/>
            <w:bottom w:val="none" w:sz="0" w:space="0" w:color="auto"/>
            <w:right w:val="none" w:sz="0" w:space="0" w:color="auto"/>
          </w:divBdr>
          <w:divsChild>
            <w:div w:id="303463503">
              <w:marLeft w:val="0"/>
              <w:marRight w:val="0"/>
              <w:marTop w:val="0"/>
              <w:marBottom w:val="0"/>
              <w:divBdr>
                <w:top w:val="none" w:sz="0" w:space="0" w:color="auto"/>
                <w:left w:val="none" w:sz="0" w:space="0" w:color="auto"/>
                <w:bottom w:val="none" w:sz="0" w:space="0" w:color="auto"/>
                <w:right w:val="none" w:sz="0" w:space="0" w:color="auto"/>
              </w:divBdr>
              <w:divsChild>
                <w:div w:id="1557233296">
                  <w:marLeft w:val="0"/>
                  <w:marRight w:val="0"/>
                  <w:marTop w:val="0"/>
                  <w:marBottom w:val="0"/>
                  <w:divBdr>
                    <w:top w:val="none" w:sz="0" w:space="0" w:color="auto"/>
                    <w:left w:val="none" w:sz="0" w:space="0" w:color="auto"/>
                    <w:bottom w:val="none" w:sz="0" w:space="0" w:color="auto"/>
                    <w:right w:val="none" w:sz="0" w:space="0" w:color="auto"/>
                  </w:divBdr>
                  <w:divsChild>
                    <w:div w:id="11291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684708">
      <w:bodyDiv w:val="1"/>
      <w:marLeft w:val="0"/>
      <w:marRight w:val="0"/>
      <w:marTop w:val="0"/>
      <w:marBottom w:val="0"/>
      <w:divBdr>
        <w:top w:val="none" w:sz="0" w:space="0" w:color="auto"/>
        <w:left w:val="none" w:sz="0" w:space="0" w:color="auto"/>
        <w:bottom w:val="none" w:sz="0" w:space="0" w:color="auto"/>
        <w:right w:val="none" w:sz="0" w:space="0" w:color="auto"/>
      </w:divBdr>
    </w:div>
    <w:div w:id="2004431219">
      <w:bodyDiv w:val="1"/>
      <w:marLeft w:val="0"/>
      <w:marRight w:val="0"/>
      <w:marTop w:val="0"/>
      <w:marBottom w:val="0"/>
      <w:divBdr>
        <w:top w:val="none" w:sz="0" w:space="0" w:color="auto"/>
        <w:left w:val="none" w:sz="0" w:space="0" w:color="auto"/>
        <w:bottom w:val="none" w:sz="0" w:space="0" w:color="auto"/>
        <w:right w:val="none" w:sz="0" w:space="0" w:color="auto"/>
      </w:divBdr>
    </w:div>
    <w:div w:id="2004550560">
      <w:bodyDiv w:val="1"/>
      <w:marLeft w:val="0"/>
      <w:marRight w:val="0"/>
      <w:marTop w:val="0"/>
      <w:marBottom w:val="0"/>
      <w:divBdr>
        <w:top w:val="none" w:sz="0" w:space="0" w:color="auto"/>
        <w:left w:val="none" w:sz="0" w:space="0" w:color="auto"/>
        <w:bottom w:val="none" w:sz="0" w:space="0" w:color="auto"/>
        <w:right w:val="none" w:sz="0" w:space="0" w:color="auto"/>
      </w:divBdr>
    </w:div>
    <w:div w:id="2013726735">
      <w:bodyDiv w:val="1"/>
      <w:marLeft w:val="0"/>
      <w:marRight w:val="0"/>
      <w:marTop w:val="0"/>
      <w:marBottom w:val="0"/>
      <w:divBdr>
        <w:top w:val="none" w:sz="0" w:space="0" w:color="auto"/>
        <w:left w:val="none" w:sz="0" w:space="0" w:color="auto"/>
        <w:bottom w:val="none" w:sz="0" w:space="0" w:color="auto"/>
        <w:right w:val="none" w:sz="0" w:space="0" w:color="auto"/>
      </w:divBdr>
    </w:div>
    <w:div w:id="2024626419">
      <w:bodyDiv w:val="1"/>
      <w:marLeft w:val="0"/>
      <w:marRight w:val="0"/>
      <w:marTop w:val="0"/>
      <w:marBottom w:val="0"/>
      <w:divBdr>
        <w:top w:val="none" w:sz="0" w:space="0" w:color="auto"/>
        <w:left w:val="none" w:sz="0" w:space="0" w:color="auto"/>
        <w:bottom w:val="none" w:sz="0" w:space="0" w:color="auto"/>
        <w:right w:val="none" w:sz="0" w:space="0" w:color="auto"/>
      </w:divBdr>
    </w:div>
    <w:div w:id="2026637017">
      <w:bodyDiv w:val="1"/>
      <w:marLeft w:val="0"/>
      <w:marRight w:val="0"/>
      <w:marTop w:val="0"/>
      <w:marBottom w:val="0"/>
      <w:divBdr>
        <w:top w:val="none" w:sz="0" w:space="0" w:color="auto"/>
        <w:left w:val="none" w:sz="0" w:space="0" w:color="auto"/>
        <w:bottom w:val="none" w:sz="0" w:space="0" w:color="auto"/>
        <w:right w:val="none" w:sz="0" w:space="0" w:color="auto"/>
      </w:divBdr>
    </w:div>
    <w:div w:id="2028865552">
      <w:bodyDiv w:val="1"/>
      <w:marLeft w:val="0"/>
      <w:marRight w:val="0"/>
      <w:marTop w:val="0"/>
      <w:marBottom w:val="0"/>
      <w:divBdr>
        <w:top w:val="none" w:sz="0" w:space="0" w:color="auto"/>
        <w:left w:val="none" w:sz="0" w:space="0" w:color="auto"/>
        <w:bottom w:val="none" w:sz="0" w:space="0" w:color="auto"/>
        <w:right w:val="none" w:sz="0" w:space="0" w:color="auto"/>
      </w:divBdr>
    </w:div>
    <w:div w:id="2048289033">
      <w:bodyDiv w:val="1"/>
      <w:marLeft w:val="0"/>
      <w:marRight w:val="0"/>
      <w:marTop w:val="0"/>
      <w:marBottom w:val="0"/>
      <w:divBdr>
        <w:top w:val="none" w:sz="0" w:space="0" w:color="auto"/>
        <w:left w:val="none" w:sz="0" w:space="0" w:color="auto"/>
        <w:bottom w:val="none" w:sz="0" w:space="0" w:color="auto"/>
        <w:right w:val="none" w:sz="0" w:space="0" w:color="auto"/>
      </w:divBdr>
    </w:div>
    <w:div w:id="2048597538">
      <w:bodyDiv w:val="1"/>
      <w:marLeft w:val="0"/>
      <w:marRight w:val="0"/>
      <w:marTop w:val="0"/>
      <w:marBottom w:val="0"/>
      <w:divBdr>
        <w:top w:val="none" w:sz="0" w:space="0" w:color="auto"/>
        <w:left w:val="none" w:sz="0" w:space="0" w:color="auto"/>
        <w:bottom w:val="none" w:sz="0" w:space="0" w:color="auto"/>
        <w:right w:val="none" w:sz="0" w:space="0" w:color="auto"/>
      </w:divBdr>
    </w:div>
    <w:div w:id="2051832890">
      <w:bodyDiv w:val="1"/>
      <w:marLeft w:val="0"/>
      <w:marRight w:val="0"/>
      <w:marTop w:val="0"/>
      <w:marBottom w:val="0"/>
      <w:divBdr>
        <w:top w:val="none" w:sz="0" w:space="0" w:color="auto"/>
        <w:left w:val="none" w:sz="0" w:space="0" w:color="auto"/>
        <w:bottom w:val="none" w:sz="0" w:space="0" w:color="auto"/>
        <w:right w:val="none" w:sz="0" w:space="0" w:color="auto"/>
      </w:divBdr>
    </w:div>
    <w:div w:id="2066752424">
      <w:bodyDiv w:val="1"/>
      <w:marLeft w:val="0"/>
      <w:marRight w:val="0"/>
      <w:marTop w:val="0"/>
      <w:marBottom w:val="0"/>
      <w:divBdr>
        <w:top w:val="none" w:sz="0" w:space="0" w:color="auto"/>
        <w:left w:val="none" w:sz="0" w:space="0" w:color="auto"/>
        <w:bottom w:val="none" w:sz="0" w:space="0" w:color="auto"/>
        <w:right w:val="none" w:sz="0" w:space="0" w:color="auto"/>
      </w:divBdr>
    </w:div>
    <w:div w:id="2082438882">
      <w:bodyDiv w:val="1"/>
      <w:marLeft w:val="0"/>
      <w:marRight w:val="0"/>
      <w:marTop w:val="0"/>
      <w:marBottom w:val="0"/>
      <w:divBdr>
        <w:top w:val="none" w:sz="0" w:space="0" w:color="auto"/>
        <w:left w:val="none" w:sz="0" w:space="0" w:color="auto"/>
        <w:bottom w:val="none" w:sz="0" w:space="0" w:color="auto"/>
        <w:right w:val="none" w:sz="0" w:space="0" w:color="auto"/>
      </w:divBdr>
    </w:div>
    <w:div w:id="2083789670">
      <w:bodyDiv w:val="1"/>
      <w:marLeft w:val="0"/>
      <w:marRight w:val="0"/>
      <w:marTop w:val="0"/>
      <w:marBottom w:val="0"/>
      <w:divBdr>
        <w:top w:val="none" w:sz="0" w:space="0" w:color="auto"/>
        <w:left w:val="none" w:sz="0" w:space="0" w:color="auto"/>
        <w:bottom w:val="none" w:sz="0" w:space="0" w:color="auto"/>
        <w:right w:val="none" w:sz="0" w:space="0" w:color="auto"/>
      </w:divBdr>
    </w:div>
    <w:div w:id="2099447633">
      <w:bodyDiv w:val="1"/>
      <w:marLeft w:val="0"/>
      <w:marRight w:val="0"/>
      <w:marTop w:val="0"/>
      <w:marBottom w:val="0"/>
      <w:divBdr>
        <w:top w:val="none" w:sz="0" w:space="0" w:color="auto"/>
        <w:left w:val="none" w:sz="0" w:space="0" w:color="auto"/>
        <w:bottom w:val="none" w:sz="0" w:space="0" w:color="auto"/>
        <w:right w:val="none" w:sz="0" w:space="0" w:color="auto"/>
      </w:divBdr>
    </w:div>
    <w:div w:id="2101363302">
      <w:bodyDiv w:val="1"/>
      <w:marLeft w:val="0"/>
      <w:marRight w:val="0"/>
      <w:marTop w:val="0"/>
      <w:marBottom w:val="0"/>
      <w:divBdr>
        <w:top w:val="none" w:sz="0" w:space="0" w:color="auto"/>
        <w:left w:val="none" w:sz="0" w:space="0" w:color="auto"/>
        <w:bottom w:val="none" w:sz="0" w:space="0" w:color="auto"/>
        <w:right w:val="none" w:sz="0" w:space="0" w:color="auto"/>
      </w:divBdr>
    </w:div>
    <w:div w:id="2103986044">
      <w:bodyDiv w:val="1"/>
      <w:marLeft w:val="0"/>
      <w:marRight w:val="0"/>
      <w:marTop w:val="0"/>
      <w:marBottom w:val="0"/>
      <w:divBdr>
        <w:top w:val="none" w:sz="0" w:space="0" w:color="auto"/>
        <w:left w:val="none" w:sz="0" w:space="0" w:color="auto"/>
        <w:bottom w:val="none" w:sz="0" w:space="0" w:color="auto"/>
        <w:right w:val="none" w:sz="0" w:space="0" w:color="auto"/>
      </w:divBdr>
    </w:div>
    <w:div w:id="2104186167">
      <w:bodyDiv w:val="1"/>
      <w:marLeft w:val="0"/>
      <w:marRight w:val="0"/>
      <w:marTop w:val="0"/>
      <w:marBottom w:val="0"/>
      <w:divBdr>
        <w:top w:val="none" w:sz="0" w:space="0" w:color="auto"/>
        <w:left w:val="none" w:sz="0" w:space="0" w:color="auto"/>
        <w:bottom w:val="none" w:sz="0" w:space="0" w:color="auto"/>
        <w:right w:val="none" w:sz="0" w:space="0" w:color="auto"/>
      </w:divBdr>
    </w:div>
    <w:div w:id="2117947512">
      <w:bodyDiv w:val="1"/>
      <w:marLeft w:val="0"/>
      <w:marRight w:val="0"/>
      <w:marTop w:val="0"/>
      <w:marBottom w:val="0"/>
      <w:divBdr>
        <w:top w:val="none" w:sz="0" w:space="0" w:color="auto"/>
        <w:left w:val="none" w:sz="0" w:space="0" w:color="auto"/>
        <w:bottom w:val="none" w:sz="0" w:space="0" w:color="auto"/>
        <w:right w:val="none" w:sz="0" w:space="0" w:color="auto"/>
      </w:divBdr>
    </w:div>
    <w:div w:id="2141722903">
      <w:bodyDiv w:val="1"/>
      <w:marLeft w:val="0"/>
      <w:marRight w:val="0"/>
      <w:marTop w:val="0"/>
      <w:marBottom w:val="0"/>
      <w:divBdr>
        <w:top w:val="none" w:sz="0" w:space="0" w:color="auto"/>
        <w:left w:val="none" w:sz="0" w:space="0" w:color="auto"/>
        <w:bottom w:val="none" w:sz="0" w:space="0" w:color="auto"/>
        <w:right w:val="none" w:sz="0" w:space="0" w:color="auto"/>
      </w:divBdr>
    </w:div>
    <w:div w:id="2144274737">
      <w:bodyDiv w:val="1"/>
      <w:marLeft w:val="0"/>
      <w:marRight w:val="0"/>
      <w:marTop w:val="0"/>
      <w:marBottom w:val="0"/>
      <w:divBdr>
        <w:top w:val="none" w:sz="0" w:space="0" w:color="auto"/>
        <w:left w:val="none" w:sz="0" w:space="0" w:color="auto"/>
        <w:bottom w:val="none" w:sz="0" w:space="0" w:color="auto"/>
        <w:right w:val="none" w:sz="0" w:space="0" w:color="auto"/>
      </w:divBdr>
    </w:div>
    <w:div w:id="214581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derjudicial.es/search/AN/openDocument/c50f39fe5b944dfca0a8778d75e36f0d/20240607" TargetMode="External"/><Relationship Id="rId21" Type="http://schemas.openxmlformats.org/officeDocument/2006/relationships/hyperlink" Target="https://hj.tribunalconstitucional.es/docs/BOE/BOE-A-2024-9837.pdf" TargetMode="External"/><Relationship Id="rId42" Type="http://schemas.openxmlformats.org/officeDocument/2006/relationships/hyperlink" Target="https://www.poderjudicial.es/search/AN/openDocument/fc47317cc5c8ead0a0a8778d75e36f0d/20240425" TargetMode="External"/><Relationship Id="rId47" Type="http://schemas.openxmlformats.org/officeDocument/2006/relationships/hyperlink" Target="https://www.poderjudicial.es/search/AN/openDocument/20078acde4c3d58ca0a8778d75e36f0d/20240613" TargetMode="External"/><Relationship Id="rId63" Type="http://schemas.openxmlformats.org/officeDocument/2006/relationships/hyperlink" Target="https://www.poderjudicial.es/search/AN/openDocument/511a41227287dd5ba0a8778d75e36f0d/20240412" TargetMode="External"/><Relationship Id="rId68" Type="http://schemas.openxmlformats.org/officeDocument/2006/relationships/hyperlink" Target="https://www.poderjudicial.es/search/AN/openDocument/dd9fa365316e5bc1a0a8778d75e36f0d/20240425" TargetMode="External"/><Relationship Id="rId16" Type="http://schemas.openxmlformats.org/officeDocument/2006/relationships/hyperlink" Target="https://curia.europa.eu/juris/document/document.jsf?text=%2522consumidores%2522&amp;docid=286569&amp;pageIndex=0&amp;doclang=ES&amp;mode=req&amp;dir=&amp;occ=first&amp;part=1&amp;cid=2005262" TargetMode="External"/><Relationship Id="rId11" Type="http://schemas.openxmlformats.org/officeDocument/2006/relationships/hyperlink" Target="https://curia.europa.eu/juris/document/document.jsf?text=%2522consumidores%2522&amp;docid=284652&amp;pageIndex=0&amp;doclang=ES&amp;mode=req&amp;dir=&amp;occ=first&amp;part=1&amp;cid=2005262" TargetMode="External"/><Relationship Id="rId32" Type="http://schemas.openxmlformats.org/officeDocument/2006/relationships/hyperlink" Target="https://www.poderjudicial.es/search/AN/openDocument/7a9f984857ac008aa0a8778d75e36f0d/20240607" TargetMode="External"/><Relationship Id="rId37" Type="http://schemas.openxmlformats.org/officeDocument/2006/relationships/hyperlink" Target="https://www.poderjudicial.es/search/AN/openDocument/838ee99476b4ec9ba0a8778d75e36f0d/20240704" TargetMode="External"/><Relationship Id="rId53" Type="http://schemas.openxmlformats.org/officeDocument/2006/relationships/hyperlink" Target="https://www.poderjudicial.es/search/AN/openDocument/a8537572df5f7c4ca0a8778d75e36f0d/20240620" TargetMode="External"/><Relationship Id="rId58" Type="http://schemas.openxmlformats.org/officeDocument/2006/relationships/hyperlink" Target="https://www.poderjudicial.es/search/AN/openDocument/733e2ec0df4bfbbda0a8778d75e36f0d/20240523" TargetMode="External"/><Relationship Id="rId74" Type="http://schemas.openxmlformats.org/officeDocument/2006/relationships/hyperlink" Target="https://www.poderjudicial.es/search/AN/openDocument/24c75fefa0b84b04a0a8778d75e36f0d/20240705" TargetMode="External"/><Relationship Id="rId79" Type="http://schemas.openxmlformats.org/officeDocument/2006/relationships/hyperlink" Target="https://www.boe.es/buscar/doc.php?id=BOE-A-2024-5578" TargetMode="External"/><Relationship Id="rId5" Type="http://schemas.openxmlformats.org/officeDocument/2006/relationships/webSettings" Target="webSettings.xml"/><Relationship Id="rId61" Type="http://schemas.openxmlformats.org/officeDocument/2006/relationships/hyperlink" Target="https://www.poderjudicial.es/search/AN/openDocument/e65a1c3212cf5c4aa0a8778d75e36f0d/20240620" TargetMode="External"/><Relationship Id="rId82" Type="http://schemas.openxmlformats.org/officeDocument/2006/relationships/fontTable" Target="fontTable.xml"/><Relationship Id="rId19" Type="http://schemas.openxmlformats.org/officeDocument/2006/relationships/hyperlink" Target="https://www.poderjudicial.es/search/AN/openDocument/c49c10161804c317a0a8778d75e36f0d/20240229" TargetMode="External"/><Relationship Id="rId14" Type="http://schemas.openxmlformats.org/officeDocument/2006/relationships/hyperlink" Target="https://curia.europa.eu/juris/document/document.jsf?text=%2522consumidores%2522&amp;docid=286566&amp;pageIndex=0&amp;doclang=ES&amp;mode=req&amp;dir=&amp;occ=first&amp;part=1&amp;cid=2005262" TargetMode="External"/><Relationship Id="rId22" Type="http://schemas.openxmlformats.org/officeDocument/2006/relationships/hyperlink" Target="https://www.poderjudicial.es/search/AN/openDocument/4c004b55419df4efa0a8778d75e36f0d/20240531" TargetMode="External"/><Relationship Id="rId27" Type="http://schemas.openxmlformats.org/officeDocument/2006/relationships/hyperlink" Target="https://www.poderjudicial.es/search/AN/openDocument/323f3da0efdfeebfa0a8778d75e36f0d/20240411" TargetMode="External"/><Relationship Id="rId30" Type="http://schemas.openxmlformats.org/officeDocument/2006/relationships/hyperlink" Target="https://www.poderjudicial.es/search/AN/openDocument/7800f16b9b183dc7a0a8778d75e36f0d/20240531" TargetMode="External"/><Relationship Id="rId35" Type="http://schemas.openxmlformats.org/officeDocument/2006/relationships/hyperlink" Target="https://www.poderjudicial.es/search/AN/openDocument/78cf63a52c34a43fa0a8778d75e36f0d/20240620" TargetMode="External"/><Relationship Id="rId43" Type="http://schemas.openxmlformats.org/officeDocument/2006/relationships/hyperlink" Target="https://www.poderjudicial.es/search/AN/openDocument/1987538bf3e740dba0a8778d75e36f0d/20240502" TargetMode="External"/><Relationship Id="rId48" Type="http://schemas.openxmlformats.org/officeDocument/2006/relationships/hyperlink" Target="https://www.poderjudicial.es/search/AN/openDocument/6710637628c2bf73a0a8778d75e36f0d/20240613" TargetMode="External"/><Relationship Id="rId56" Type="http://schemas.openxmlformats.org/officeDocument/2006/relationships/hyperlink" Target="https://www.poderjudicial.es/search/AN/openDocument/bbd09fbfbaf823fca0a8778d75e36f0d/20240502" TargetMode="External"/><Relationship Id="rId64" Type="http://schemas.openxmlformats.org/officeDocument/2006/relationships/hyperlink" Target="https://www.poderjudicial.es/search/AN/openDocument/f551a70a7635ecefa0a8778d75e36f0d/20240613" TargetMode="External"/><Relationship Id="rId69" Type="http://schemas.openxmlformats.org/officeDocument/2006/relationships/hyperlink" Target="https://www.poderjudicial.es/search/AN/openDocument/d72fa9f5101386a8a0a8778d75e36f0d/20240516" TargetMode="External"/><Relationship Id="rId77" Type="http://schemas.openxmlformats.org/officeDocument/2006/relationships/hyperlink" Target="https://www.poderjudicial.es/search/AN/openDocument/48ae062d0aa2d2a2a0a8778d75e36f0d/20240418" TargetMode="External"/><Relationship Id="rId8" Type="http://schemas.openxmlformats.org/officeDocument/2006/relationships/image" Target="media/image1.png"/><Relationship Id="rId51" Type="http://schemas.openxmlformats.org/officeDocument/2006/relationships/hyperlink" Target="https://www.poderjudicial.es/search/AN/openDocument/b75afec302e83654a0a8778d75e36f0d/20240613" TargetMode="External"/><Relationship Id="rId72" Type="http://schemas.openxmlformats.org/officeDocument/2006/relationships/hyperlink" Target="https://www.poderjudicial.es/search/AN/openDocument/63920b8d3465b8e5a0a8778d75e36f0d/20240607" TargetMode="External"/><Relationship Id="rId80" Type="http://schemas.openxmlformats.org/officeDocument/2006/relationships/hyperlink" Target="https://www.notariosyregistradores.com/web/resoluciones/por-meses/resoluciones-marzo-2024-direccion-general-seguridad-juridica-y-fe-publica/" TargetMode="External"/><Relationship Id="rId3" Type="http://schemas.openxmlformats.org/officeDocument/2006/relationships/styles" Target="styles.xml"/><Relationship Id="rId12" Type="http://schemas.openxmlformats.org/officeDocument/2006/relationships/hyperlink" Target="https://curia.europa.eu/juris/document/document.jsf?text=%2522consumidores%2522&amp;docid=285182&amp;pageIndex=0&amp;doclang=ES&amp;mode=req&amp;dir=&amp;occ=first&amp;part=1&amp;cid=2005262" TargetMode="External"/><Relationship Id="rId17" Type="http://schemas.openxmlformats.org/officeDocument/2006/relationships/hyperlink" Target="https://curia.europa.eu/juris/document/document.jsf?text=%2522consumidores%2522&amp;docid=287075&amp;pageIndex=0&amp;doclang=ES&amp;mode=req&amp;dir=&amp;occ=first&amp;part=1&amp;cid=2005262" TargetMode="External"/><Relationship Id="rId25" Type="http://schemas.openxmlformats.org/officeDocument/2006/relationships/hyperlink" Target="https://www.poderjudicial.es/search/AN/openDocument/5d52871a21cdd1eca0a8778d75e36f0d/20240607" TargetMode="External"/><Relationship Id="rId33" Type="http://schemas.openxmlformats.org/officeDocument/2006/relationships/hyperlink" Target="https://www.poderjudicial.es/search/AN/openDocument/fd5e3a403bed4be4a0a8778d75e36f0d/20240607" TargetMode="External"/><Relationship Id="rId38" Type="http://schemas.openxmlformats.org/officeDocument/2006/relationships/hyperlink" Target="https://www.poderjudicial.es/search/AN/openDocument/7b6c08d2dbcfea48a0a8778d75e36f0d/20240704" TargetMode="External"/><Relationship Id="rId46" Type="http://schemas.openxmlformats.org/officeDocument/2006/relationships/hyperlink" Target="https://www.poderjudicial.es/search/AN/openDocument/02634b286ecf4048a0a8778d75e36f0d/20240523" TargetMode="External"/><Relationship Id="rId59" Type="http://schemas.openxmlformats.org/officeDocument/2006/relationships/hyperlink" Target="https://www.poderjudicial.es/search/AN/openDocument/10e6b87cf00b6146a0a8778d75e36f0d/20240613" TargetMode="External"/><Relationship Id="rId67" Type="http://schemas.openxmlformats.org/officeDocument/2006/relationships/hyperlink" Target="https://www.poderjudicial.es/search/AN/openDocument/6fceab3febbf19afa0a8778d75e36f0d/20240426" TargetMode="External"/><Relationship Id="rId20" Type="http://schemas.openxmlformats.org/officeDocument/2006/relationships/hyperlink" Target="https://hj.tribunalconstitucional.es/es/Resolucion/Show/30140" TargetMode="External"/><Relationship Id="rId41" Type="http://schemas.openxmlformats.org/officeDocument/2006/relationships/hyperlink" Target="https://www.poderjudicial.es/search/AN/openDocument/658afe6ee34a4c71a0a8778d75e36f0d/20240425" TargetMode="External"/><Relationship Id="rId54" Type="http://schemas.openxmlformats.org/officeDocument/2006/relationships/hyperlink" Target="https://www.poderjudicial.es/search/AN/openDocument/c81e73a1db7ed2bda0a8778d75e36f0d/20240620" TargetMode="External"/><Relationship Id="rId62" Type="http://schemas.openxmlformats.org/officeDocument/2006/relationships/hyperlink" Target="https://www.poderjudicial.es/search/AN/openDocument/8c857b2cfc967ae7a0a8778d75e36f0d/20240531" TargetMode="External"/><Relationship Id="rId70" Type="http://schemas.openxmlformats.org/officeDocument/2006/relationships/hyperlink" Target="https://www.poderjudicial.es/search/AN/openDocument/8db80527881af786a0a8778d75e36f0d/20240516" TargetMode="External"/><Relationship Id="rId75" Type="http://schemas.openxmlformats.org/officeDocument/2006/relationships/hyperlink" Target="https://www.poderjudicial.es/search/AN/openDocument/56f2cb1157582d0aa0a8778d75e36f0d/20240704"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ia.europa.eu/juris/document/document.jsf?text=%2522consumidores%2522&amp;docid=286561&amp;pageIndex=0&amp;doclang=es&amp;mode=req&amp;dir=&amp;occ=first&amp;part=1&amp;cid=2005262" TargetMode="External"/><Relationship Id="rId23" Type="http://schemas.openxmlformats.org/officeDocument/2006/relationships/hyperlink" Target="https://www.poderjudicial.es/search/AN/openDocument/a757d4e2ee617954a0a8778d75e36f0d/20240531" TargetMode="External"/><Relationship Id="rId28" Type="http://schemas.openxmlformats.org/officeDocument/2006/relationships/hyperlink" Target="https://www.poderjudicial.es/search/AN/openDocument/108c04edf811485ea0a8778d75e36f0d/20240516" TargetMode="External"/><Relationship Id="rId36" Type="http://schemas.openxmlformats.org/officeDocument/2006/relationships/hyperlink" Target="https://www.poderjudicial.es/search/AN/openDocument/bab583027b47d206a0a8778d75e36f0d/20240704" TargetMode="External"/><Relationship Id="rId49" Type="http://schemas.openxmlformats.org/officeDocument/2006/relationships/hyperlink" Target="https://www.poderjudicial.es/search/AN/openDocument/65c31a31072f3be3a0a8778d75e36f0d/20240613" TargetMode="External"/><Relationship Id="rId57" Type="http://schemas.openxmlformats.org/officeDocument/2006/relationships/hyperlink" Target="https://www.poderjudicial.es/search/AN/openDocument/30c7d88e33157537a0a8778d75e36f0d/20240502" TargetMode="External"/><Relationship Id="rId10" Type="http://schemas.openxmlformats.org/officeDocument/2006/relationships/hyperlink" Target="https://curia.europa.eu/juris/document/document.jsf?text=%2522consumidores%2522&amp;docid=284651&amp;pageIndex=0&amp;doclang=es&amp;mode=req&amp;dir=&amp;occ=first&amp;part=1&amp;cid=2005262" TargetMode="External"/><Relationship Id="rId31" Type="http://schemas.openxmlformats.org/officeDocument/2006/relationships/hyperlink" Target="https://www.poderjudicial.es/search/AN/openDocument/aa4d39c379f15cc5a0a8778d75e36f0d/20240531" TargetMode="External"/><Relationship Id="rId44" Type="http://schemas.openxmlformats.org/officeDocument/2006/relationships/hyperlink" Target="https://www.poderjudicial.es/search/AN/openDocument/dc59a390289a02d7a0a8778d75e36f0d/20240502" TargetMode="External"/><Relationship Id="rId52" Type="http://schemas.openxmlformats.org/officeDocument/2006/relationships/hyperlink" Target="https://www.poderjudicial.es/search/AN/openDocument/8d6acc711e405056a0a8778d75e36f0d/20240620" TargetMode="External"/><Relationship Id="rId60" Type="http://schemas.openxmlformats.org/officeDocument/2006/relationships/hyperlink" Target="https://www.poderjudicial.es/search/AN/openDocument/73c2c841e5dfed36a0a8778d75e36f0d/20240620" TargetMode="External"/><Relationship Id="rId65" Type="http://schemas.openxmlformats.org/officeDocument/2006/relationships/hyperlink" Target="https://www.poderjudicial.es/search/AN/openDocument/f9331cab69716238a0a8778d75e36f0d/20240418" TargetMode="External"/><Relationship Id="rId73" Type="http://schemas.openxmlformats.org/officeDocument/2006/relationships/hyperlink" Target="https://www.poderjudicial.es/search/AN/openDocument/cf7aaf1152ac02eaa0a8778d75e36f0d/20240621" TargetMode="External"/><Relationship Id="rId78" Type="http://schemas.openxmlformats.org/officeDocument/2006/relationships/hyperlink" Target="https://www.poderjudicial.es/search/AN/openDocument/c0b9444c5c2e0317a0a8778d75e36f0d/20240521"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uria.europa.eu/juris/document/document.jsf?text=%2522consumidores%2522&amp;docid=284562&amp;pageIndex=0&amp;doclang=ES&amp;mode=req&amp;dir=&amp;occ=first&amp;part=1&amp;cid=2005262" TargetMode="External"/><Relationship Id="rId13" Type="http://schemas.openxmlformats.org/officeDocument/2006/relationships/hyperlink" Target="https://curia.europa.eu/juris/document/document.jsf?text=%2522consumidores%2522&amp;docid=285181&amp;pageIndex=0&amp;doclang=ES&amp;mode=req&amp;dir=&amp;occ=first&amp;part=1&amp;cid=2005262" TargetMode="External"/><Relationship Id="rId18" Type="http://schemas.openxmlformats.org/officeDocument/2006/relationships/hyperlink" Target="https://curia.europa.eu/juris/document/document.jsf?text=%2522consumidores%2522&amp;docid=287074&amp;pageIndex=0&amp;doclang=ES&amp;mode=req&amp;dir=&amp;occ=first&amp;part=1&amp;cid=2005262" TargetMode="External"/><Relationship Id="rId39" Type="http://schemas.openxmlformats.org/officeDocument/2006/relationships/hyperlink" Target="https://www.poderjudicial.es/search/AN/openDocument/da8b4dfde7e0cddda0a8778d75e36f0d/20240620" TargetMode="External"/><Relationship Id="rId34" Type="http://schemas.openxmlformats.org/officeDocument/2006/relationships/hyperlink" Target="https://www.poderjudicial.es/search/AN/openDocument/8fe4c87ffc3a9d78a0a8778d75e36f0d/20240613" TargetMode="External"/><Relationship Id="rId50" Type="http://schemas.openxmlformats.org/officeDocument/2006/relationships/hyperlink" Target="https://www.poderjudicial.es/search/AN/openDocument/e8b4f0ab63185d1fa0a8778d75e36f0d/20240613" TargetMode="External"/><Relationship Id="rId55" Type="http://schemas.openxmlformats.org/officeDocument/2006/relationships/hyperlink" Target="https://www.poderjudicial.es/search/AN/openDocument/d0b20e49dfc4a75aa0a8778d75e36f0d/20240418" TargetMode="External"/><Relationship Id="rId76" Type="http://schemas.openxmlformats.org/officeDocument/2006/relationships/hyperlink" Target="https://www.poderjudicial.es/search/AN/openDocument/39289febaf1bf12ba0a8778d75e36f0d/20240531" TargetMode="External"/><Relationship Id="rId7" Type="http://schemas.openxmlformats.org/officeDocument/2006/relationships/endnotes" Target="endnotes.xml"/><Relationship Id="rId71" Type="http://schemas.openxmlformats.org/officeDocument/2006/relationships/hyperlink" Target="https://www.poderjudicial.es/search/AN/openDocument/0d78adde8b60ebc4a0a8778d75e36f0d/20240603" TargetMode="External"/><Relationship Id="rId2" Type="http://schemas.openxmlformats.org/officeDocument/2006/relationships/numbering" Target="numbering.xml"/><Relationship Id="rId29" Type="http://schemas.openxmlformats.org/officeDocument/2006/relationships/hyperlink" Target="https://www.poderjudicial.es/search/AN/openDocument/b3dd592ee30a1351a0a8778d75e36f0d/20240520" TargetMode="External"/><Relationship Id="rId24" Type="http://schemas.openxmlformats.org/officeDocument/2006/relationships/hyperlink" Target="https://www.poderjudicial.es/search/AN/openDocument/9d7c5b593894e2e1a0a8778d75e36f0d/20240606" TargetMode="External"/><Relationship Id="rId40" Type="http://schemas.openxmlformats.org/officeDocument/2006/relationships/hyperlink" Target="https://www.poderjudicial.es/search/AN/openDocument/fd5fddc5d46df4c4a0a8778d75e36f0d/20240619" TargetMode="External"/><Relationship Id="rId45" Type="http://schemas.openxmlformats.org/officeDocument/2006/relationships/hyperlink" Target="https://www.poderjudicial.es/search/AN/openDocument/e3e4222003ecc492a0a8778d75e36f0d/20240520" TargetMode="External"/><Relationship Id="rId66" Type="http://schemas.openxmlformats.org/officeDocument/2006/relationships/hyperlink" Target="https://www.poderjudicial.es/search/AN/openDocument/b1576d80675bc8c6a0a8778d75e36f0d/2024041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2B697-58E4-7442-BD9E-AA75D07C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10</Pages>
  <Words>4854</Words>
  <Characters>26701</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LUCIA MORENO GARCIA</cp:lastModifiedBy>
  <cp:revision>91</cp:revision>
  <cp:lastPrinted>2021-04-08T11:14:00Z</cp:lastPrinted>
  <dcterms:created xsi:type="dcterms:W3CDTF">2024-04-19T11:15:00Z</dcterms:created>
  <dcterms:modified xsi:type="dcterms:W3CDTF">2024-07-11T12:02:00Z</dcterms:modified>
</cp:coreProperties>
</file>