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64414E7B" w:rsidR="00206C10" w:rsidRDefault="00BB48F6">
      <w:pPr>
        <w:pStyle w:val="Ttulo1"/>
        <w:spacing w:before="275"/>
      </w:pPr>
      <w:r>
        <w:rPr>
          <w:color w:val="FFFFFF"/>
        </w:rPr>
        <w:t>Mayo</w:t>
      </w:r>
      <w:r w:rsidR="00756E25">
        <w:rPr>
          <w:color w:val="FFFFFF"/>
        </w:rPr>
        <w:t>-</w:t>
      </w:r>
      <w:r>
        <w:rPr>
          <w:color w:val="FFFFFF"/>
        </w:rPr>
        <w:t xml:space="preserve">junio </w:t>
      </w:r>
      <w:r w:rsidR="00756E25">
        <w:rPr>
          <w:color w:val="FFFFFF"/>
        </w:rPr>
        <w:t>202</w:t>
      </w:r>
      <w:r w:rsidR="00893963">
        <w:rPr>
          <w:color w:val="FFFFFF"/>
        </w:rPr>
        <w:t>4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E7BF1F1" w14:textId="14BD5ADF" w:rsidR="00BB48F6" w:rsidRPr="00BB48F6" w:rsidRDefault="00E0263B" w:rsidP="00BB48F6">
      <w:pPr>
        <w:pStyle w:val="Textoindependiente"/>
        <w:spacing w:before="400"/>
        <w:ind w:right="840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Jesús del Águila </w:t>
      </w:r>
      <w:r w:rsidR="00BB48F6">
        <w:rPr>
          <w:rFonts w:ascii="Segoe UI" w:hAnsi="Segoe UI"/>
        </w:rPr>
        <w:t>Martínez</w:t>
      </w:r>
      <w:r w:rsidR="00BB48F6">
        <w:rPr>
          <w:rFonts w:ascii="Segoe UI" w:hAnsi="Segoe UI"/>
          <w:spacing w:val="1"/>
        </w:rPr>
        <w:t xml:space="preserve"> PSI </w:t>
      </w:r>
      <w:r>
        <w:rPr>
          <w:rFonts w:ascii="Segoe UI" w:hAnsi="Segoe UI"/>
        </w:rPr>
        <w:t>de</w:t>
      </w:r>
      <w:r w:rsidR="00C51068">
        <w:rPr>
          <w:rFonts w:ascii="Segoe UI" w:hAnsi="Segoe UI"/>
        </w:rPr>
        <w:t xml:space="preserve"> </w:t>
      </w:r>
      <w:r>
        <w:rPr>
          <w:rFonts w:ascii="Segoe UI" w:hAnsi="Segoe UI"/>
        </w:rPr>
        <w:t>Derecho</w:t>
      </w:r>
      <w:r w:rsidR="00BB48F6">
        <w:rPr>
          <w:rFonts w:ascii="Segoe UI" w:hAnsi="Segoe UI"/>
        </w:rPr>
        <w:t xml:space="preserve"> Procesal</w:t>
      </w:r>
      <w:r w:rsidR="00BB48F6">
        <w:rPr>
          <w:rFonts w:ascii="Segoe UI" w:hAnsi="Segoe UI"/>
          <w:spacing w:val="-52"/>
        </w:rPr>
        <w:t xml:space="preserve">    </w:t>
      </w:r>
      <w:r w:rsidR="00756E25">
        <w:rPr>
          <w:rFonts w:ascii="Segoe UI" w:hAnsi="Segoe UI"/>
        </w:rPr>
        <w:t>Universidad de Almería</w:t>
      </w:r>
      <w:r w:rsidR="00825320">
        <w:rPr>
          <w:rFonts w:ascii="Segoe UI" w:hAnsi="Segoe UI"/>
        </w:rPr>
        <w:t xml:space="preserve"> </w:t>
      </w:r>
      <w:r w:rsidR="00BB48F6">
        <w:rPr>
          <w:rFonts w:ascii="Segoe UI" w:hAnsi="Segoe UI"/>
        </w:rPr>
        <w:t>Profesor Contratado Doctor U</w:t>
      </w:r>
      <w:r w:rsidR="0026458B">
        <w:rPr>
          <w:rFonts w:ascii="Segoe UI" w:hAnsi="Segoe UI"/>
        </w:rPr>
        <w:t>niversidad</w:t>
      </w:r>
      <w:r w:rsidR="00BB48F6">
        <w:rPr>
          <w:rFonts w:ascii="Segoe UI" w:hAnsi="Segoe UI"/>
        </w:rPr>
        <w:t xml:space="preserve"> </w:t>
      </w:r>
      <w:r w:rsidR="0026458B">
        <w:rPr>
          <w:rFonts w:ascii="Segoe UI" w:hAnsi="Segoe UI"/>
        </w:rPr>
        <w:t xml:space="preserve">Internacional </w:t>
      </w:r>
      <w:r w:rsidR="00CD3D62">
        <w:rPr>
          <w:rFonts w:ascii="Segoe UI" w:hAnsi="Segoe UI"/>
        </w:rPr>
        <w:t>de la Rioja</w:t>
      </w:r>
    </w:p>
    <w:p w14:paraId="716E7878" w14:textId="60260ADF" w:rsidR="00206C10" w:rsidRPr="00BB48F6" w:rsidRDefault="0026458B" w:rsidP="00BB48F6">
      <w:pPr>
        <w:pStyle w:val="Textoindependiente"/>
        <w:spacing w:before="400"/>
        <w:ind w:right="8400"/>
        <w:jc w:val="both"/>
        <w:rPr>
          <w:rFonts w:ascii="Segoe UI" w:hAnsi="Segoe UI"/>
          <w:spacing w:val="1"/>
        </w:rPr>
      </w:pPr>
      <w:r>
        <w:rPr>
          <w:rFonts w:ascii="Segoe UI" w:hAnsi="Segoe UI"/>
          <w:i/>
          <w:iCs/>
          <w:spacing w:val="1"/>
        </w:rPr>
        <w:t>J</w:t>
      </w:r>
      <w:r w:rsidR="00E0263B">
        <w:rPr>
          <w:rFonts w:ascii="Segoe UI" w:hAnsi="Segoe UI"/>
          <w:i/>
          <w:iCs/>
          <w:spacing w:val="1"/>
        </w:rPr>
        <w:t>dm328@ual.es</w:t>
      </w:r>
      <w:r>
        <w:rPr>
          <w:rFonts w:ascii="Segoe UI" w:hAnsi="Segoe UI"/>
          <w:i/>
          <w:iCs/>
          <w:spacing w:val="1"/>
        </w:rPr>
        <w:tab/>
      </w:r>
    </w:p>
    <w:p w14:paraId="36107A06" w14:textId="74CD6F9F" w:rsidR="00206C10" w:rsidRDefault="00206C10" w:rsidP="0026458B">
      <w:pPr>
        <w:pStyle w:val="Textoindependiente"/>
        <w:jc w:val="both"/>
        <w:rPr>
          <w:rFonts w:ascii="Segoe UI"/>
          <w:i/>
        </w:rPr>
      </w:pP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7AF42BFD" w:rsidR="00206C10" w:rsidRDefault="00BB48F6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Abril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junio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7AF42BFD" w:rsidR="00206C10" w:rsidRDefault="00BB48F6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Abril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junio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00DACDE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724525" cy="301942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4pt;width:450.75pt;height:23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YeDgIAAPoDAAAOAAAAZHJzL2Uyb0RvYy54bWysU9tu2zAMfR+wfxD0vthJm64z4hRdug4D&#10;ugvQ7QNkWbaFyaJGKbGzry8lO2mxvQ3Tg0CJ1CF5eLS5GXvDDgq9Blvy5SLnTFkJtbZtyX98v39z&#10;zZkPwtbCgFUlPyrPb7avX20GV6gVdGBqhYxArC8GV/IuBFdkmZed6oVfgFOWnA1gLwIdsc1qFAOh&#10;9yZb5flVNgDWDkEq7+n2bnLybcJvGiXD16bxKjBTcqotpB3TXsU9225E0aJwnZZzGeIfquiFtpT0&#10;DHUngmB71H9B9VoieGjCQkKfQdNoqVIP1M0y/6Obx044lXohcrw70+T/H6z8cnh035CF8T2MNMDU&#10;hHcPIH96ZmHXCduqW0QYOiVqSryMlGWD88X8NFLtCx9BquEz1DRksQ+QgMYG+8gK9ckInQZwPJOu&#10;xsAkXa7fri7XqzVnknwX+fLdJR1iDlGcnjv04aOCnkWj5EhTTfDi8ODDFHoKidks3Gtj0mSNZUPJ&#10;ry7W+dQYGF1HZwzz2FY7g+wgojbSmvP6l2G9DqRQo/uSX5+DRBHp+GDrlCUIbSabijZ25idSMpET&#10;xmpkui75KiaIdFVQH4kwhEmQ9IHI6AB/czaQGEvuf+0FKs7MJ0ukR+WeDDwZ1ckQVtLTkgfOJnMX&#10;JoXvHeq2I+RprBZuaTCNTpQ9VzGXSwJLpM+fISr45TlFPX/Z7RMAAAD//wMAUEsDBBQABgAIAAAA&#10;IQB0sC2f4gAAAAsBAAAPAAAAZHJzL2Rvd25yZXYueG1sTI/NbsIwEITvlfoO1lbqrdgFB6E0DgoV&#10;tBcu0B+pNyd2k6jxOo0NpG/PcqKn1WhHM99ky9F17GiH0HpU8DgRwCxW3rRYK3h/2zwsgIWo0ejO&#10;o1XwZwMs89ubTKfGn3Bnj/tYMwrBkGoFTYx9ynmoGut0mPjeIv2+/eB0JDnU3Az6ROGu41Mh5tzp&#10;Fqmh0b19bmz1sz84BbtytSm+qo+X11+5LuZyPX5uZyul7u/G4glYtGO8muGCT+iQE1PpD2gC60hL&#10;SVuigumC7sUgZJIAKxUkYpYAzzP+f0N+BgAA//8DAFBLAQItABQABgAIAAAAIQC2gziS/gAAAOEB&#10;AAATAAAAAAAAAAAAAAAAAAAAAABbQ29udGVudF9UeXBlc10ueG1sUEsBAi0AFAAGAAgAAAAhADj9&#10;If/WAAAAlAEAAAsAAAAAAAAAAAAAAAAALwEAAF9yZWxzLy5yZWxzUEsBAi0AFAAGAAgAAAAhAN0S&#10;5h4OAgAA+gMAAA4AAAAAAAAAAAAAAAAALgIAAGRycy9lMm9Eb2MueG1sUEsBAi0AFAAGAAgAAAAh&#10;AHSwLZ/iAAAACwEAAA8AAAAAAAAAAAAAAAAAaA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AE94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2001F337" w14:textId="71CEE5BD" w:rsidR="009E49DA" w:rsidRPr="00BB48F6" w:rsidRDefault="00A01081" w:rsidP="00AF06B0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0" w:history="1">
        <w:r w:rsidR="00062974" w:rsidRPr="00A01081">
          <w:rPr>
            <w:rStyle w:val="Hipervnculo"/>
            <w:sz w:val="20"/>
            <w:szCs w:val="20"/>
          </w:rPr>
          <w:t>Reglamento (UE) 2024/1143 del Parlamento Europeo y del Consejo, de 11 de abril de 2024,</w:t>
        </w:r>
      </w:hyperlink>
      <w:r w:rsidR="00062974" w:rsidRPr="00062974">
        <w:rPr>
          <w:sz w:val="20"/>
          <w:szCs w:val="20"/>
        </w:rPr>
        <w:t xml:space="preserve"> relativo a las indicaciones geográficas para vinos, bebidas espirituosas y productos agrícolas, así como especialidades tradicionales garantizadas y términos de calidad facultativos para productos agrícolas, por el que se modifican los Reglamentos (UE) nº 1308/2013, (UE) 2019/787 y (UE) 2019/1753, y se deroga el Reglamento (UE) nº 1151/2012.</w:t>
      </w:r>
    </w:p>
    <w:p w14:paraId="1E322AEA" w14:textId="77777777" w:rsidR="00AF06B0" w:rsidRPr="00BB48F6" w:rsidRDefault="00AF06B0" w:rsidP="00AF06B0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2A83C7D4" w14:textId="0BEA758C" w:rsidR="00B76F42" w:rsidRDefault="003A2883" w:rsidP="00B27C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1" w:history="1">
        <w:r w:rsidRPr="003A2883">
          <w:rPr>
            <w:rStyle w:val="Hipervnculo"/>
            <w:sz w:val="20"/>
            <w:szCs w:val="20"/>
          </w:rPr>
          <w:t>Reglamento (UE) 2024/1309 del Parlamento Europeo y del Consejo, de 29 de abril de 2024,</w:t>
        </w:r>
      </w:hyperlink>
      <w:r w:rsidRPr="003A2883">
        <w:rPr>
          <w:sz w:val="20"/>
          <w:szCs w:val="20"/>
        </w:rPr>
        <w:t xml:space="preserve"> por el que se establecen medidas para reducir el coste del despliegue de las redes de comunicaciones electrónicas de gigabit, se modifica el Reglamento (UE) 2015/2120 y se deroga la Directiva 2014/61/UE (Reglamento de la Infraestructura de Gigabit).</w:t>
      </w:r>
    </w:p>
    <w:p w14:paraId="3D69C939" w14:textId="77777777" w:rsidR="003A2883" w:rsidRPr="003A2883" w:rsidRDefault="003A2883" w:rsidP="003A2883">
      <w:pPr>
        <w:tabs>
          <w:tab w:val="left" w:pos="1422"/>
        </w:tabs>
        <w:spacing w:before="1"/>
        <w:rPr>
          <w:sz w:val="20"/>
          <w:szCs w:val="20"/>
        </w:rPr>
      </w:pPr>
    </w:p>
    <w:p w14:paraId="25FC9C11" w14:textId="0C34A39E" w:rsidR="00E24786" w:rsidRDefault="00F50B42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2" w:history="1">
        <w:r w:rsidR="00F5612B" w:rsidRPr="00F50B42">
          <w:rPr>
            <w:rStyle w:val="Hipervnculo"/>
            <w:sz w:val="20"/>
            <w:szCs w:val="20"/>
          </w:rPr>
          <w:t>Directiva (UE) 2024/1438 del Parlamento Europeo y del Consejo, de 14 de mayo de 2024,</w:t>
        </w:r>
      </w:hyperlink>
      <w:r w:rsidR="00F5612B" w:rsidRPr="00F5612B">
        <w:rPr>
          <w:sz w:val="20"/>
          <w:szCs w:val="20"/>
        </w:rPr>
        <w:t xml:space="preserve"> por la que se modifican las Directivas 2001/110/CE, relativa a la miel, 2001/112/CE, relativa a los zumos de frutas y otros productos similares destinados a la alimentación humana, 2001/113/CE, relativa a las confituras, jaleas y «</w:t>
      </w:r>
      <w:proofErr w:type="spellStart"/>
      <w:r w:rsidR="00F5612B" w:rsidRPr="00F5612B">
        <w:rPr>
          <w:sz w:val="20"/>
          <w:szCs w:val="20"/>
        </w:rPr>
        <w:t>marmalades</w:t>
      </w:r>
      <w:proofErr w:type="spellEnd"/>
      <w:r w:rsidR="00F5612B" w:rsidRPr="00F5612B">
        <w:rPr>
          <w:sz w:val="20"/>
          <w:szCs w:val="20"/>
        </w:rPr>
        <w:t>» de frutas, así como a la crema de castañas edulcorada, destinadas a la alimentación humana, y 2001/114/CE, relativa a determinados tipos de leche conservada parcial o totalmente deshidratada destinados a la alimentación humana, del Consejo.</w:t>
      </w:r>
    </w:p>
    <w:p w14:paraId="34415357" w14:textId="77777777" w:rsidR="002E7385" w:rsidRPr="002E7385" w:rsidRDefault="002E7385" w:rsidP="002E7385">
      <w:pPr>
        <w:pStyle w:val="Prrafodelista"/>
        <w:rPr>
          <w:sz w:val="20"/>
          <w:szCs w:val="20"/>
        </w:rPr>
      </w:pPr>
    </w:p>
    <w:p w14:paraId="6B1F8BC1" w14:textId="78F704C0" w:rsidR="002E7385" w:rsidRDefault="002E7385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3" w:history="1">
        <w:r w:rsidRPr="002E7385">
          <w:rPr>
            <w:rStyle w:val="Hipervnculo"/>
            <w:sz w:val="20"/>
            <w:szCs w:val="20"/>
          </w:rPr>
          <w:t>Recomendación (UE) 2024/1590 de la Comisión, de 28 de mayo de 2024,</w:t>
        </w:r>
      </w:hyperlink>
      <w:r w:rsidRPr="002E7385">
        <w:rPr>
          <w:sz w:val="20"/>
          <w:szCs w:val="20"/>
        </w:rPr>
        <w:t xml:space="preserve"> relativa a la transposición de los artículos 8, 9 y 10, sobre disposiciones en materia de obligación de ahorro de energía, de la Directiva (UE) 2023/1791 del Parlamento Europeo y del Consejo, relativa a la eficiencia energética.</w:t>
      </w:r>
    </w:p>
    <w:p w14:paraId="62D38809" w14:textId="77777777" w:rsidR="002E7385" w:rsidRPr="002E7385" w:rsidRDefault="002E7385" w:rsidP="002E7385">
      <w:pPr>
        <w:pStyle w:val="Prrafodelista"/>
        <w:rPr>
          <w:sz w:val="20"/>
          <w:szCs w:val="20"/>
        </w:rPr>
      </w:pPr>
    </w:p>
    <w:p w14:paraId="7F68640F" w14:textId="0A0D66CC" w:rsidR="002E7385" w:rsidRDefault="00691B5F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4" w:history="1">
        <w:r w:rsidR="00B10EB6" w:rsidRPr="00691B5F">
          <w:rPr>
            <w:rStyle w:val="Hipervnculo"/>
            <w:sz w:val="20"/>
            <w:szCs w:val="20"/>
          </w:rPr>
          <w:t>Reglamento (UE) 2024/1623 del Parlamento Europeo y del Consejo, de 31 de mayo de 2024,</w:t>
        </w:r>
      </w:hyperlink>
      <w:r w:rsidR="00B10EB6" w:rsidRPr="00B10EB6">
        <w:rPr>
          <w:sz w:val="20"/>
          <w:szCs w:val="20"/>
        </w:rPr>
        <w:t xml:space="preserve"> por el que se modifica el Reglamento (UE) nº 575/2013 en lo que respecta a los requisitos para el riesgo de crédito, el riesgo de ajuste de valoración del crédito, el riesgo operativo, el riesgo de mercado y el suelo de los activos ponderados por riesgo.</w:t>
      </w:r>
    </w:p>
    <w:p w14:paraId="18FB3E58" w14:textId="77777777" w:rsidR="00D943F9" w:rsidRPr="00D943F9" w:rsidRDefault="00D943F9" w:rsidP="00D943F9">
      <w:pPr>
        <w:pStyle w:val="Prrafodelista"/>
        <w:rPr>
          <w:sz w:val="20"/>
          <w:szCs w:val="20"/>
        </w:rPr>
      </w:pPr>
    </w:p>
    <w:p w14:paraId="3C761472" w14:textId="758193B6" w:rsidR="00D943F9" w:rsidRDefault="00D943F9" w:rsidP="00D943F9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5" w:history="1">
        <w:r w:rsidRPr="00100E8F">
          <w:rPr>
            <w:rStyle w:val="Hipervnculo"/>
            <w:sz w:val="20"/>
            <w:szCs w:val="20"/>
          </w:rPr>
          <w:t>Directiva (UE) 2024/1711 del Parlamento Europeo y del Consejo, de 13 de junio de 2024,</w:t>
        </w:r>
      </w:hyperlink>
      <w:r w:rsidRPr="006C23CA">
        <w:rPr>
          <w:sz w:val="20"/>
          <w:szCs w:val="20"/>
        </w:rPr>
        <w:t xml:space="preserve"> por la que se modifican las Directivas (UE) 2018/2001 y (UE) 2019/944 en relación con la mejora de la configuración del mercado de la electricidad de la Unión.</w:t>
      </w:r>
    </w:p>
    <w:p w14:paraId="76546336" w14:textId="77777777" w:rsidR="0034566A" w:rsidRPr="0034566A" w:rsidRDefault="0034566A" w:rsidP="0034566A">
      <w:pPr>
        <w:pStyle w:val="Prrafodelista"/>
        <w:rPr>
          <w:sz w:val="20"/>
          <w:szCs w:val="20"/>
        </w:rPr>
      </w:pPr>
    </w:p>
    <w:p w14:paraId="5B5566C4" w14:textId="27556892" w:rsidR="0034566A" w:rsidRDefault="00D24746" w:rsidP="00D943F9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6" w:history="1">
        <w:r w:rsidR="0034566A" w:rsidRPr="00D24746">
          <w:rPr>
            <w:rStyle w:val="Hipervnculo"/>
            <w:sz w:val="20"/>
            <w:szCs w:val="20"/>
          </w:rPr>
          <w:t>Reglamento (UE) 2024/1735 del Parlamento Europeo y del Consejo, de 13 de junio de 2024,</w:t>
        </w:r>
      </w:hyperlink>
      <w:r w:rsidR="0034566A" w:rsidRPr="0034566A">
        <w:rPr>
          <w:sz w:val="20"/>
          <w:szCs w:val="20"/>
        </w:rPr>
        <w:t xml:space="preserve"> por el que se establece un marco de medidas para reforzar el ecosistema europeo de fabricación de tecnologías de cero emisiones netas y se modifica el Reglamento (UE) 2018/1724.</w:t>
      </w:r>
    </w:p>
    <w:p w14:paraId="2DAEF2D1" w14:textId="77777777" w:rsidR="00471230" w:rsidRPr="00471230" w:rsidRDefault="00471230" w:rsidP="00471230">
      <w:pPr>
        <w:pStyle w:val="Prrafodelista"/>
        <w:rPr>
          <w:sz w:val="20"/>
          <w:szCs w:val="20"/>
        </w:rPr>
      </w:pPr>
    </w:p>
    <w:p w14:paraId="29228E04" w14:textId="07C75950" w:rsidR="00471230" w:rsidRPr="00D943F9" w:rsidRDefault="006448B1" w:rsidP="00D943F9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7" w:history="1">
        <w:r w:rsidR="00471230" w:rsidRPr="006448B1">
          <w:rPr>
            <w:rStyle w:val="Hipervnculo"/>
            <w:sz w:val="20"/>
            <w:szCs w:val="20"/>
          </w:rPr>
          <w:t>Reglamento (UE) 2024/1781 del Parlamento Europeo y del Consejo, de 13 de junio de 2024,</w:t>
        </w:r>
      </w:hyperlink>
      <w:r w:rsidR="00471230" w:rsidRPr="00471230">
        <w:rPr>
          <w:sz w:val="20"/>
          <w:szCs w:val="20"/>
        </w:rPr>
        <w:t xml:space="preserve"> por el que se instaura un marco para el establecimiento de requisitos de diseño ecológico aplicables a los productos sostenibles, se modifican la Directiva (UE) 2020/1828 y el Reglamento (UE) 2023/1542 y se deroga la Directiva 2009/125/CE.</w:t>
      </w:r>
    </w:p>
    <w:p w14:paraId="792F7E4C" w14:textId="77777777" w:rsidR="00691B5F" w:rsidRPr="00691B5F" w:rsidRDefault="00691B5F" w:rsidP="00691B5F">
      <w:pPr>
        <w:pStyle w:val="Prrafodelista"/>
        <w:rPr>
          <w:sz w:val="20"/>
          <w:szCs w:val="20"/>
        </w:rPr>
      </w:pPr>
    </w:p>
    <w:p w14:paraId="476B447E" w14:textId="28AADE9B" w:rsidR="00691B5F" w:rsidRDefault="007D6CB1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8" w:history="1">
        <w:r w:rsidRPr="007D6CB1">
          <w:rPr>
            <w:rStyle w:val="Hipervnculo"/>
            <w:sz w:val="20"/>
            <w:szCs w:val="20"/>
          </w:rPr>
          <w:t>Reglamento de Ejecución (UE) 2024/1740 de la Comisión, de 21 de junio de 2024,</w:t>
        </w:r>
      </w:hyperlink>
      <w:r w:rsidRPr="007D6CB1">
        <w:rPr>
          <w:sz w:val="20"/>
          <w:szCs w:val="20"/>
        </w:rPr>
        <w:t xml:space="preserve"> por el que se establecen disposiciones de aplicación del Reglamento (UE) 2023/988 del Parlamento Europeo y del Consejo en lo que respecta a las modalidades del envío de información por parte de los consumidores y otros interesados a la Comisión sobre los productos que podrían presentar un riesgo para la salud y la seguridad de los consumidores, así como de la transmisión de dicha información a las autoridades nacionales de que se trate.</w:t>
      </w:r>
    </w:p>
    <w:p w14:paraId="0795AAF5" w14:textId="77777777" w:rsidR="00100E8F" w:rsidRPr="00D943F9" w:rsidRDefault="00100E8F" w:rsidP="00D943F9">
      <w:pPr>
        <w:rPr>
          <w:sz w:val="20"/>
          <w:szCs w:val="20"/>
        </w:rPr>
      </w:pPr>
    </w:p>
    <w:p w14:paraId="25B76475" w14:textId="7C5021FB" w:rsidR="00100E8F" w:rsidRDefault="00622954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9" w:history="1">
        <w:r w:rsidR="00343C62" w:rsidRPr="00622954">
          <w:rPr>
            <w:rStyle w:val="Hipervnculo"/>
            <w:sz w:val="20"/>
            <w:szCs w:val="20"/>
          </w:rPr>
          <w:t>Reglamento (UE) 2024/1756 de la Comisión, de 25 de junio de 2024,</w:t>
        </w:r>
      </w:hyperlink>
      <w:r w:rsidR="00343C62" w:rsidRPr="00343C62">
        <w:rPr>
          <w:sz w:val="20"/>
          <w:szCs w:val="20"/>
        </w:rPr>
        <w:t xml:space="preserve"> que modifica y corrige el Reglamento (UE) 2023/915 de la Comisión relativo a los límites máximos de determinados contaminantes en los alimentos.</w:t>
      </w:r>
    </w:p>
    <w:p w14:paraId="5F345322" w14:textId="77777777" w:rsidR="002E7385" w:rsidRPr="002E7385" w:rsidRDefault="002E7385" w:rsidP="002E7385">
      <w:pPr>
        <w:pStyle w:val="Prrafodelista"/>
        <w:rPr>
          <w:sz w:val="20"/>
          <w:szCs w:val="20"/>
        </w:rPr>
      </w:pPr>
    </w:p>
    <w:p w14:paraId="23CBDEF0" w14:textId="77777777" w:rsidR="002E7385" w:rsidRPr="002E7385" w:rsidRDefault="002E7385" w:rsidP="002E7385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lastRenderedPageBreak/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1EBFC797" w14:textId="3622FDC7" w:rsidR="00584E4C" w:rsidRDefault="00CB1D6C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0" w:history="1">
        <w:r w:rsidR="008B07FA" w:rsidRPr="00CB1D6C">
          <w:rPr>
            <w:rStyle w:val="Hipervnculo"/>
            <w:sz w:val="20"/>
          </w:rPr>
          <w:t>Resolución de 9 de abril de 2024,</w:t>
        </w:r>
      </w:hyperlink>
      <w:r w:rsidR="008B07FA" w:rsidRPr="008B07FA">
        <w:rPr>
          <w:sz w:val="20"/>
        </w:rPr>
        <w:t xml:space="preserve"> de la Comisión Nacional de los Mercados y la Competencia, por la que se corrigen errores en la de 6 de marzo de 2024, por la que se modifican procedimientos de operación eléctricos para la participación de la demanda y el almacenamiento en los servicios de no frecuencia y en la solución de restricciones técnicas e integración de la hibridación de tecnologías en el proceso de programación.</w:t>
      </w:r>
    </w:p>
    <w:p w14:paraId="0C01C86F" w14:textId="77777777" w:rsidR="00584E4C" w:rsidRDefault="00584E4C" w:rsidP="00584E4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15A627FA" w14:textId="4BFF39F1" w:rsidR="00A02412" w:rsidRDefault="000236E2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1" w:history="1">
        <w:r w:rsidR="00545793" w:rsidRPr="000236E2">
          <w:rPr>
            <w:rStyle w:val="Hipervnculo"/>
            <w:sz w:val="20"/>
          </w:rPr>
          <w:t>Orden TED/353/2024, de 11 de abril,</w:t>
        </w:r>
      </w:hyperlink>
      <w:r w:rsidR="00545793" w:rsidRPr="00545793">
        <w:rPr>
          <w:sz w:val="20"/>
        </w:rPr>
        <w:t xml:space="preserve"> por la que se establecen los valores de la retribución a la operación correspondientes al segundo semestre natural del año 2023, aplicables a determinadas instalaciones de producción de energía eléctrica a partir de fuentes de energía renovables, cogeneración y residuos, y se aprueban nuevas instalaciones tipo y sus correspondientes parámetros retributivos.</w:t>
      </w:r>
    </w:p>
    <w:p w14:paraId="55F68BC0" w14:textId="77777777" w:rsidR="00CC4F3C" w:rsidRPr="00CC4F3C" w:rsidRDefault="00CC4F3C" w:rsidP="00CC4F3C">
      <w:pPr>
        <w:pStyle w:val="Prrafodelista"/>
        <w:rPr>
          <w:sz w:val="20"/>
        </w:rPr>
      </w:pPr>
    </w:p>
    <w:p w14:paraId="5382A4BB" w14:textId="194C6A73" w:rsidR="00CC4F3C" w:rsidRPr="00584E4C" w:rsidRDefault="00056D8C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2" w:history="1">
        <w:r w:rsidR="00CC4F3C" w:rsidRPr="00056D8C">
          <w:rPr>
            <w:rStyle w:val="Hipervnculo"/>
            <w:sz w:val="20"/>
          </w:rPr>
          <w:t>Orden APA/367/2024, de 19 de abril,</w:t>
        </w:r>
      </w:hyperlink>
      <w:r w:rsidR="00CC4F3C" w:rsidRPr="00CC4F3C">
        <w:rPr>
          <w:sz w:val="20"/>
        </w:rPr>
        <w:t xml:space="preserve"> por la que se reconoce al Consejo Regulador de la Denominación de Origen Protegida "Pimentón de Murcia" la condición de Corporación de Derecho Público de ámbito territorial supraautonómico y se aprueban sus estatutos.</w:t>
      </w:r>
    </w:p>
    <w:p w14:paraId="05C5E423" w14:textId="77777777" w:rsidR="00AE516C" w:rsidRDefault="00AE516C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061BB5F0" w14:textId="296CAFF3" w:rsidR="003020C6" w:rsidRDefault="00D3423B" w:rsidP="00A01A43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3" w:history="1">
        <w:r w:rsidR="007B3BB9" w:rsidRPr="00D3423B">
          <w:rPr>
            <w:rStyle w:val="Hipervnculo"/>
            <w:sz w:val="20"/>
          </w:rPr>
          <w:t>Real Decreto 409/2024, de 23 de abril,</w:t>
        </w:r>
      </w:hyperlink>
      <w:r w:rsidR="007B3BB9" w:rsidRPr="007B3BB9">
        <w:rPr>
          <w:sz w:val="20"/>
        </w:rPr>
        <w:t xml:space="preserve"> por el que se desarrolla la estructura orgánica básica del Ministerio de Industria y Turismo.</w:t>
      </w:r>
    </w:p>
    <w:p w14:paraId="677C37E7" w14:textId="77777777" w:rsidR="000D78B3" w:rsidRPr="000D78B3" w:rsidRDefault="000D78B3" w:rsidP="000D78B3">
      <w:pPr>
        <w:pStyle w:val="Prrafodelista"/>
        <w:rPr>
          <w:sz w:val="20"/>
        </w:rPr>
      </w:pPr>
    </w:p>
    <w:p w14:paraId="2EB4C1D1" w14:textId="641F4E8C" w:rsidR="000D78B3" w:rsidRDefault="00043829" w:rsidP="00A01A43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4" w:history="1">
        <w:r w:rsidR="000D78B3" w:rsidRPr="00043829">
          <w:rPr>
            <w:rStyle w:val="Hipervnculo"/>
            <w:sz w:val="20"/>
          </w:rPr>
          <w:t>Resolución de 25 de abril de 2024,</w:t>
        </w:r>
      </w:hyperlink>
      <w:r w:rsidR="000D78B3" w:rsidRPr="000D78B3">
        <w:rPr>
          <w:sz w:val="20"/>
        </w:rPr>
        <w:t xml:space="preserve"> de la Comisión Nacional de los Mercados y la Competencia, por la que se modifican las condiciones relativas al balance y los procedimientos de operación para la participación del sistema eléctrico peninsular español en las plataformas europeas de balance Mari y Picasso.</w:t>
      </w:r>
    </w:p>
    <w:p w14:paraId="3D71FE3F" w14:textId="77777777" w:rsidR="00310E55" w:rsidRPr="00310E55" w:rsidRDefault="00310E55" w:rsidP="00310E55">
      <w:pPr>
        <w:tabs>
          <w:tab w:val="left" w:pos="1422"/>
        </w:tabs>
        <w:ind w:right="1299"/>
        <w:rPr>
          <w:sz w:val="20"/>
        </w:rPr>
      </w:pPr>
    </w:p>
    <w:p w14:paraId="74149433" w14:textId="1BD425E5" w:rsidR="00B02666" w:rsidRDefault="002E20EE" w:rsidP="004A043E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5" w:history="1">
        <w:r w:rsidR="003038DA" w:rsidRPr="002E20EE">
          <w:rPr>
            <w:rStyle w:val="Hipervnculo"/>
            <w:sz w:val="20"/>
          </w:rPr>
          <w:t>Resolución de 23 de mayo de 2024,</w:t>
        </w:r>
      </w:hyperlink>
      <w:r w:rsidR="003038DA" w:rsidRPr="003038DA">
        <w:rPr>
          <w:sz w:val="20"/>
        </w:rPr>
        <w:t xml:space="preserve"> de la Comisión Nacional de los Mercados y la Competencia, por la que se establecen los peajes de acceso a las redes de transporte, redes locales y regasificación para el año de gas 2025.</w:t>
      </w:r>
    </w:p>
    <w:p w14:paraId="026DADB9" w14:textId="77777777" w:rsidR="00AB399C" w:rsidRPr="00AB399C" w:rsidRDefault="00AB399C" w:rsidP="00AB399C">
      <w:pPr>
        <w:pStyle w:val="Prrafodelista"/>
        <w:rPr>
          <w:sz w:val="20"/>
        </w:rPr>
      </w:pPr>
    </w:p>
    <w:p w14:paraId="14C5C6F0" w14:textId="2901F9A3" w:rsidR="00AB399C" w:rsidRDefault="00DD619F" w:rsidP="004A043E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6" w:history="1">
        <w:r w:rsidR="00AB399C" w:rsidRPr="00DD619F">
          <w:rPr>
            <w:rStyle w:val="Hipervnculo"/>
            <w:sz w:val="20"/>
          </w:rPr>
          <w:t>Resolución de 23 de mayo de 2024,</w:t>
        </w:r>
      </w:hyperlink>
      <w:r w:rsidR="00AB399C" w:rsidRPr="00AB399C">
        <w:rPr>
          <w:sz w:val="20"/>
        </w:rPr>
        <w:t xml:space="preserve"> de la Comisión Nacional de los Mercados y la Competencia, por la que aprueban las reglas de funcionamiento de los mercados diario e </w:t>
      </w:r>
      <w:proofErr w:type="spellStart"/>
      <w:r w:rsidR="00AB399C" w:rsidRPr="00AB399C">
        <w:rPr>
          <w:sz w:val="20"/>
        </w:rPr>
        <w:t>intradiario</w:t>
      </w:r>
      <w:proofErr w:type="spellEnd"/>
      <w:r w:rsidR="00AB399C" w:rsidRPr="00AB399C">
        <w:rPr>
          <w:sz w:val="20"/>
        </w:rPr>
        <w:t xml:space="preserve"> de electricidad para su adaptación a las subastas europeas </w:t>
      </w:r>
      <w:proofErr w:type="spellStart"/>
      <w:r w:rsidR="00AB399C" w:rsidRPr="00AB399C">
        <w:rPr>
          <w:sz w:val="20"/>
        </w:rPr>
        <w:t>intradiarias</w:t>
      </w:r>
      <w:proofErr w:type="spellEnd"/>
      <w:r w:rsidR="00AB399C" w:rsidRPr="00AB399C">
        <w:rPr>
          <w:sz w:val="20"/>
        </w:rPr>
        <w:t>.</w:t>
      </w:r>
    </w:p>
    <w:p w14:paraId="54BEBBA8" w14:textId="77777777" w:rsidR="003038DA" w:rsidRPr="003038DA" w:rsidRDefault="003038DA" w:rsidP="003038DA">
      <w:pPr>
        <w:tabs>
          <w:tab w:val="left" w:pos="1422"/>
        </w:tabs>
        <w:ind w:right="1299"/>
        <w:rPr>
          <w:sz w:val="20"/>
        </w:rPr>
      </w:pPr>
    </w:p>
    <w:p w14:paraId="1AA54003" w14:textId="05CF91B1" w:rsidR="009D2467" w:rsidRDefault="00885739" w:rsidP="00CC702D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7" w:history="1">
        <w:r w:rsidR="007E58FD" w:rsidRPr="00885739">
          <w:rPr>
            <w:rStyle w:val="Hipervnculo"/>
            <w:sz w:val="20"/>
          </w:rPr>
          <w:t>Orden TED/526/2024, de 31 de mayo,</w:t>
        </w:r>
      </w:hyperlink>
      <w:r w:rsidR="007E58FD" w:rsidRPr="007E58FD">
        <w:rPr>
          <w:sz w:val="20"/>
        </w:rPr>
        <w:t xml:space="preserve"> por la que se establece la metodología de actualización de la retribución a la operación de las instalaciones tipo de generación de energía eléctrica cuyos costes de explotación dependan esencialmente del precio del combustible y se actualizan sus valores de retribución a la operación de aplicación a partir del 1 de enero de 2024.</w:t>
      </w:r>
    </w:p>
    <w:p w14:paraId="4C5DD1F4" w14:textId="77777777" w:rsidR="007E58FD" w:rsidRPr="007E58FD" w:rsidRDefault="007E58FD" w:rsidP="007E58FD">
      <w:pPr>
        <w:tabs>
          <w:tab w:val="left" w:pos="1422"/>
        </w:tabs>
        <w:ind w:right="1299"/>
        <w:rPr>
          <w:sz w:val="20"/>
        </w:rPr>
      </w:pPr>
    </w:p>
    <w:p w14:paraId="0DFF6A7F" w14:textId="3549A5E4" w:rsidR="009D2467" w:rsidRDefault="001E494D" w:rsidP="00B0266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8" w:history="1">
        <w:r w:rsidR="004D3685" w:rsidRPr="001E494D">
          <w:rPr>
            <w:rStyle w:val="Hipervnculo"/>
            <w:sz w:val="20"/>
          </w:rPr>
          <w:t>Real Decreto 565/2024, de 18 de junio,</w:t>
        </w:r>
      </w:hyperlink>
      <w:r w:rsidR="004D3685" w:rsidRPr="004D3685">
        <w:rPr>
          <w:sz w:val="20"/>
        </w:rPr>
        <w:t xml:space="preserve"> por el que se establece el Curso de especialización de Formación Profesional de Grado Superior en Comercio electrónico y se fijan los aspectos básicos del currículo.</w:t>
      </w:r>
    </w:p>
    <w:p w14:paraId="007FEDED" w14:textId="77777777" w:rsidR="00085E8A" w:rsidRPr="00085E8A" w:rsidRDefault="00085E8A" w:rsidP="00085E8A">
      <w:pPr>
        <w:pStyle w:val="Prrafodelista"/>
        <w:rPr>
          <w:sz w:val="20"/>
        </w:rPr>
      </w:pPr>
    </w:p>
    <w:p w14:paraId="6EC7C290" w14:textId="0E079F07" w:rsidR="00085E8A" w:rsidRDefault="00183315" w:rsidP="00B0266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9" w:history="1">
        <w:r w:rsidR="00085E8A" w:rsidRPr="00183315">
          <w:rPr>
            <w:rStyle w:val="Hipervnculo"/>
            <w:sz w:val="20"/>
          </w:rPr>
          <w:t>Orden HAC/672/2024, de 25 de junio,</w:t>
        </w:r>
      </w:hyperlink>
      <w:r w:rsidR="00085E8A" w:rsidRPr="00085E8A">
        <w:rPr>
          <w:sz w:val="20"/>
        </w:rPr>
        <w:t xml:space="preserve"> por la que se aprueba el modelo 159 de Declaración anual de consumo de energía eléctrica, y se determina la forma y procedimiento para su presentación.</w:t>
      </w:r>
    </w:p>
    <w:p w14:paraId="28C53D12" w14:textId="77777777" w:rsidR="00B02666" w:rsidRPr="00B02666" w:rsidRDefault="00B02666" w:rsidP="00B02666">
      <w:pPr>
        <w:tabs>
          <w:tab w:val="left" w:pos="1422"/>
        </w:tabs>
        <w:ind w:right="1299"/>
        <w:rPr>
          <w:sz w:val="20"/>
        </w:rPr>
      </w:pPr>
    </w:p>
    <w:p w14:paraId="63853425" w14:textId="22F29753" w:rsidR="00184428" w:rsidRDefault="00201F70" w:rsidP="00184428">
      <w:pPr>
        <w:pStyle w:val="Prrafodelista"/>
        <w:numPr>
          <w:ilvl w:val="0"/>
          <w:numId w:val="2"/>
        </w:numPr>
        <w:rPr>
          <w:sz w:val="20"/>
        </w:rPr>
      </w:pPr>
      <w:hyperlink r:id="rId30" w:history="1">
        <w:r w:rsidR="00E62E8C" w:rsidRPr="00201F70">
          <w:rPr>
            <w:rStyle w:val="Hipervnculo"/>
            <w:sz w:val="20"/>
          </w:rPr>
          <w:t>Real Decreto-ley 4/2024, de 26 de junio,</w:t>
        </w:r>
      </w:hyperlink>
      <w:r w:rsidR="00E62E8C" w:rsidRPr="00E62E8C">
        <w:rPr>
          <w:sz w:val="20"/>
        </w:rPr>
        <w:t xml:space="preserve"> por el que se prorrogan determinadas medidas para afrontar las consecuencias económicas y sociales derivadas de los conflictos en Ucrania y Oriente Próximo y se adoptan medidas urgentes en materia fiscal, energética y social.</w:t>
      </w:r>
    </w:p>
    <w:p w14:paraId="737E62FF" w14:textId="77777777" w:rsidR="00201F70" w:rsidRPr="00201F70" w:rsidRDefault="00201F70" w:rsidP="00201F70">
      <w:pPr>
        <w:pStyle w:val="Prrafodelista"/>
        <w:rPr>
          <w:sz w:val="20"/>
        </w:rPr>
      </w:pPr>
    </w:p>
    <w:p w14:paraId="65406C0F" w14:textId="73CCBABA" w:rsidR="00201F70" w:rsidRDefault="00E559FD" w:rsidP="00184428">
      <w:pPr>
        <w:pStyle w:val="Prrafodelista"/>
        <w:numPr>
          <w:ilvl w:val="0"/>
          <w:numId w:val="2"/>
        </w:numPr>
        <w:rPr>
          <w:sz w:val="20"/>
        </w:rPr>
      </w:pPr>
      <w:hyperlink r:id="rId31" w:history="1">
        <w:r w:rsidR="000D3A85" w:rsidRPr="00E559FD">
          <w:rPr>
            <w:rStyle w:val="Hipervnculo"/>
            <w:sz w:val="20"/>
          </w:rPr>
          <w:t>Resolución de 27 de junio de 2024,</w:t>
        </w:r>
      </w:hyperlink>
      <w:r w:rsidR="000D3A85" w:rsidRPr="000D3A85">
        <w:rPr>
          <w:sz w:val="20"/>
        </w:rPr>
        <w:t xml:space="preserve"> de la Secretaría de Estado de Energía, por la que se actualizan los valores de la retribución a la operación correspondientes al tercer trimestre natural del año 2024 de las instalaciones tipo de generación de energía eléctrica cuyos costes de explotación dependan esencialmente del precio del combustible.</w:t>
      </w:r>
    </w:p>
    <w:p w14:paraId="27DB0D4F" w14:textId="77777777" w:rsidR="00C21F72" w:rsidRPr="00217BC3" w:rsidRDefault="00C21F72" w:rsidP="00217BC3">
      <w:pPr>
        <w:rPr>
          <w:sz w:val="20"/>
        </w:rPr>
      </w:pPr>
    </w:p>
    <w:p w14:paraId="0B67CAC8" w14:textId="77777777" w:rsidR="00C21F72" w:rsidRPr="00184428" w:rsidRDefault="00C21F72" w:rsidP="00C21F72">
      <w:pPr>
        <w:pStyle w:val="Prrafodelista"/>
        <w:ind w:firstLine="0"/>
        <w:rPr>
          <w:sz w:val="20"/>
        </w:rPr>
      </w:pPr>
    </w:p>
    <w:p w14:paraId="329A42CD" w14:textId="77777777" w:rsidR="005F4D67" w:rsidRDefault="005F4D67" w:rsidP="005F4D67">
      <w:pPr>
        <w:pStyle w:val="Ttulo3"/>
        <w:numPr>
          <w:ilvl w:val="0"/>
          <w:numId w:val="3"/>
        </w:numPr>
        <w:tabs>
          <w:tab w:val="left" w:pos="1276"/>
        </w:tabs>
        <w:ind w:left="1275" w:hanging="214"/>
      </w:pPr>
      <w:r>
        <w:t>AUTONÓMICA</w:t>
      </w:r>
    </w:p>
    <w:p w14:paraId="63016F2A" w14:textId="77777777" w:rsidR="005F4D67" w:rsidRPr="008B5E83" w:rsidRDefault="005F4D67" w:rsidP="005F4D67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6FE69D94" w14:textId="2F9F7F28" w:rsidR="00CD1F7A" w:rsidRDefault="000A3F6F" w:rsidP="00CD1F7A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32" w:history="1">
        <w:r w:rsidR="00423B59" w:rsidRPr="000A3F6F">
          <w:rPr>
            <w:rStyle w:val="Hipervnculo"/>
            <w:sz w:val="20"/>
            <w:szCs w:val="20"/>
          </w:rPr>
          <w:t>Comunidad Autónoma de las Illes Balears</w:t>
        </w:r>
        <w:r w:rsidR="003D6E85" w:rsidRPr="000A3F6F">
          <w:rPr>
            <w:rStyle w:val="Hipervnculo"/>
            <w:sz w:val="20"/>
            <w:szCs w:val="20"/>
          </w:rPr>
          <w:t xml:space="preserve"> (</w:t>
        </w:r>
        <w:r w:rsidR="00D506C0" w:rsidRPr="000A3F6F">
          <w:rPr>
            <w:rStyle w:val="Hipervnculo"/>
            <w:sz w:val="20"/>
            <w:szCs w:val="20"/>
          </w:rPr>
          <w:t>BOIB</w:t>
        </w:r>
        <w:r w:rsidR="00D506C0" w:rsidRPr="000A3F6F">
          <w:rPr>
            <w:rStyle w:val="Hipervnculo"/>
            <w:sz w:val="20"/>
            <w:szCs w:val="20"/>
          </w:rPr>
          <w:t>,</w:t>
        </w:r>
        <w:r w:rsidR="00D506C0" w:rsidRPr="000A3F6F">
          <w:rPr>
            <w:rStyle w:val="Hipervnculo"/>
            <w:sz w:val="20"/>
            <w:szCs w:val="20"/>
          </w:rPr>
          <w:t xml:space="preserve"> núm. 61, de 9 de mayo de 2024</w:t>
        </w:r>
        <w:r w:rsidR="003D6E85" w:rsidRPr="000A3F6F">
          <w:rPr>
            <w:rStyle w:val="Hipervnculo"/>
            <w:sz w:val="20"/>
            <w:szCs w:val="20"/>
          </w:rPr>
          <w:t>).</w:t>
        </w:r>
      </w:hyperlink>
      <w:r w:rsidR="003D6E85">
        <w:rPr>
          <w:sz w:val="20"/>
          <w:szCs w:val="20"/>
        </w:rPr>
        <w:t xml:space="preserve"> </w:t>
      </w:r>
      <w:r w:rsidR="00423B59" w:rsidRPr="00423B59">
        <w:rPr>
          <w:sz w:val="20"/>
          <w:szCs w:val="20"/>
        </w:rPr>
        <w:t>Ley 3/2024, de 3 de mayo, de medidas urgentes en materia de vivienda</w:t>
      </w:r>
      <w:r w:rsidR="00CD1F7A">
        <w:rPr>
          <w:sz w:val="20"/>
          <w:szCs w:val="20"/>
        </w:rPr>
        <w:t>.</w:t>
      </w:r>
    </w:p>
    <w:p w14:paraId="081AF5D2" w14:textId="77777777" w:rsidR="00CD1F7A" w:rsidRPr="00CD1F7A" w:rsidRDefault="00CD1F7A" w:rsidP="00CD1F7A">
      <w:pPr>
        <w:tabs>
          <w:tab w:val="left" w:pos="1422"/>
        </w:tabs>
        <w:spacing w:before="1"/>
        <w:ind w:left="1062" w:right="1297"/>
        <w:rPr>
          <w:sz w:val="20"/>
          <w:szCs w:val="20"/>
        </w:rPr>
      </w:pPr>
    </w:p>
    <w:p w14:paraId="6D53DACA" w14:textId="77777777" w:rsidR="00CD1F7A" w:rsidRPr="001318F6" w:rsidRDefault="00CD1F7A" w:rsidP="00CD1F7A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33" w:history="1">
        <w:r w:rsidRPr="00272E04">
          <w:rPr>
            <w:rStyle w:val="Hipervnculo"/>
            <w:sz w:val="20"/>
            <w:szCs w:val="20"/>
          </w:rPr>
          <w:t>Comunidad Autónoma del Principado de Asturias (BOE, núm. 134, de 3 de junio de 2024).</w:t>
        </w:r>
      </w:hyperlink>
      <w:r>
        <w:rPr>
          <w:sz w:val="20"/>
          <w:szCs w:val="20"/>
        </w:rPr>
        <w:t xml:space="preserve"> </w:t>
      </w:r>
      <w:r w:rsidRPr="00DB2DF4">
        <w:rPr>
          <w:sz w:val="20"/>
          <w:szCs w:val="20"/>
        </w:rPr>
        <w:t>Ley 2/2024, de 30 de abril, de Impulso Demográfico.</w:t>
      </w:r>
    </w:p>
    <w:p w14:paraId="3553302D" w14:textId="77777777" w:rsidR="00C46B9B" w:rsidRPr="00CD1F7A" w:rsidRDefault="00C46B9B" w:rsidP="00CD1F7A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0F086B17" w14:textId="169B31DA" w:rsidR="00221E83" w:rsidRDefault="00D90FBA" w:rsidP="005F4D67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34" w:history="1">
        <w:r w:rsidR="00DE4CFD" w:rsidRPr="00D90FBA">
          <w:rPr>
            <w:rStyle w:val="Hipervnculo"/>
            <w:sz w:val="20"/>
            <w:szCs w:val="20"/>
          </w:rPr>
          <w:t>Comunidad Autónoma de Aragón (</w:t>
        </w:r>
        <w:r w:rsidR="00112333" w:rsidRPr="00D90FBA">
          <w:rPr>
            <w:rStyle w:val="Hipervnculo"/>
            <w:sz w:val="20"/>
            <w:szCs w:val="20"/>
          </w:rPr>
          <w:t>BOE</w:t>
        </w:r>
        <w:r w:rsidR="00112333" w:rsidRPr="00D90FBA">
          <w:rPr>
            <w:rStyle w:val="Hipervnculo"/>
            <w:sz w:val="20"/>
            <w:szCs w:val="20"/>
          </w:rPr>
          <w:t xml:space="preserve">, </w:t>
        </w:r>
        <w:r w:rsidR="00112333" w:rsidRPr="00D90FBA">
          <w:rPr>
            <w:rStyle w:val="Hipervnculo"/>
            <w:sz w:val="20"/>
            <w:szCs w:val="20"/>
          </w:rPr>
          <w:t>núm. 138, de 7 de junio de 2024</w:t>
        </w:r>
        <w:r w:rsidR="00DE4CFD" w:rsidRPr="00D90FBA">
          <w:rPr>
            <w:rStyle w:val="Hipervnculo"/>
            <w:sz w:val="20"/>
            <w:szCs w:val="20"/>
          </w:rPr>
          <w:t>).</w:t>
        </w:r>
      </w:hyperlink>
      <w:r w:rsidR="00DE4CFD">
        <w:rPr>
          <w:sz w:val="20"/>
          <w:szCs w:val="20"/>
        </w:rPr>
        <w:t xml:space="preserve"> </w:t>
      </w:r>
      <w:r w:rsidR="00221E83" w:rsidRPr="00221E83">
        <w:rPr>
          <w:sz w:val="20"/>
          <w:szCs w:val="20"/>
        </w:rPr>
        <w:t>Ley 2/2024, de 23 de mayo, por la que se crean los Impuestos Medioambientales sobre parques eólicos y sobre parques fotovoltaicos en la Comunidad Autónoma de Aragón y se modifica el Impuesto Medioambiental sobre las instalaciones de transporte de energía eléctrica de alta tensión.</w:t>
      </w:r>
    </w:p>
    <w:p w14:paraId="6553E037" w14:textId="77777777" w:rsidR="005F4D67" w:rsidRPr="00CD1F7A" w:rsidRDefault="005F4D67" w:rsidP="00CD1F7A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5DCD9A49" w14:textId="592DCA5E" w:rsidR="005F4D67" w:rsidRDefault="0017058F" w:rsidP="005F4D67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35" w:history="1">
        <w:bookmarkStart w:id="0" w:name="_Hlk173066812"/>
        <w:r w:rsidR="00F34464" w:rsidRPr="0017058F">
          <w:rPr>
            <w:rStyle w:val="Hipervnculo"/>
            <w:sz w:val="20"/>
            <w:szCs w:val="20"/>
          </w:rPr>
          <w:t>Comunidad Autónoma</w:t>
        </w:r>
        <w:r w:rsidR="005E10D2" w:rsidRPr="0017058F">
          <w:rPr>
            <w:rStyle w:val="Hipervnculo"/>
            <w:sz w:val="20"/>
            <w:szCs w:val="20"/>
          </w:rPr>
          <w:t xml:space="preserve"> de las Illes Balears</w:t>
        </w:r>
        <w:bookmarkEnd w:id="0"/>
        <w:r w:rsidRPr="0017058F">
          <w:rPr>
            <w:rStyle w:val="Hipervnculo"/>
            <w:sz w:val="20"/>
            <w:szCs w:val="20"/>
          </w:rPr>
          <w:t xml:space="preserve"> (</w:t>
        </w:r>
        <w:r w:rsidRPr="0017058F">
          <w:rPr>
            <w:rStyle w:val="Hipervnculo"/>
            <w:sz w:val="20"/>
            <w:szCs w:val="20"/>
          </w:rPr>
          <w:t>BOE</w:t>
        </w:r>
        <w:r w:rsidRPr="0017058F">
          <w:rPr>
            <w:rStyle w:val="Hipervnculo"/>
            <w:sz w:val="20"/>
            <w:szCs w:val="20"/>
          </w:rPr>
          <w:t xml:space="preserve">, </w:t>
        </w:r>
        <w:r w:rsidRPr="0017058F">
          <w:rPr>
            <w:rStyle w:val="Hipervnculo"/>
            <w:sz w:val="20"/>
            <w:szCs w:val="20"/>
          </w:rPr>
          <w:t>núm. 161, de 4 de julio de 2024</w:t>
        </w:r>
        <w:r w:rsidRPr="0017058F">
          <w:rPr>
            <w:rStyle w:val="Hipervnculo"/>
            <w:sz w:val="20"/>
            <w:szCs w:val="20"/>
          </w:rPr>
          <w:t>).</w:t>
        </w:r>
      </w:hyperlink>
      <w:r w:rsidR="00F34464">
        <w:rPr>
          <w:sz w:val="20"/>
          <w:szCs w:val="20"/>
        </w:rPr>
        <w:t xml:space="preserve"> </w:t>
      </w:r>
      <w:r w:rsidR="00F34464" w:rsidRPr="00F34464">
        <w:rPr>
          <w:sz w:val="20"/>
          <w:szCs w:val="20"/>
        </w:rPr>
        <w:t>Decreto-ley 2/2024, de 10 de mayo, por el turismo responsable y la mejora de la calidad en zonas turísticas, de modificación del Decreto-ley 1/2020, de 17 de enero.</w:t>
      </w:r>
    </w:p>
    <w:p w14:paraId="33A4C979" w14:textId="77777777" w:rsidR="005F4D67" w:rsidRPr="007A017F" w:rsidRDefault="005F4D67" w:rsidP="007A017F">
      <w:pPr>
        <w:tabs>
          <w:tab w:val="left" w:pos="1422"/>
        </w:tabs>
        <w:spacing w:before="1"/>
        <w:ind w:left="1062" w:right="1297"/>
        <w:rPr>
          <w:sz w:val="20"/>
          <w:szCs w:val="20"/>
        </w:rPr>
      </w:pPr>
    </w:p>
    <w:p w14:paraId="2ED0561B" w14:textId="77777777" w:rsidR="007F31A1" w:rsidRDefault="007F31A1" w:rsidP="007F31A1">
      <w:pPr>
        <w:pStyle w:val="Prrafodelista"/>
        <w:tabs>
          <w:tab w:val="left" w:pos="1422"/>
        </w:tabs>
        <w:spacing w:before="1"/>
        <w:ind w:right="1297" w:firstLine="0"/>
      </w:pPr>
    </w:p>
    <w:p w14:paraId="0A5CC1B0" w14:textId="77777777" w:rsidR="00FE2172" w:rsidRDefault="00FE2172" w:rsidP="007F31A1">
      <w:pPr>
        <w:pStyle w:val="Prrafodelista"/>
        <w:tabs>
          <w:tab w:val="left" w:pos="1422"/>
        </w:tabs>
        <w:spacing w:before="1"/>
        <w:ind w:right="1297" w:firstLine="0"/>
      </w:pPr>
    </w:p>
    <w:p w14:paraId="64036690" w14:textId="77777777" w:rsidR="00FE2172" w:rsidRDefault="00FE2172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0AF64929" w14:textId="77777777" w:rsidR="00704436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25308133" w14:textId="77777777" w:rsidR="00704436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3C0088ED" w14:textId="77777777" w:rsidR="00704436" w:rsidRPr="007F31A1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77EC30AE" w14:textId="77777777" w:rsidR="00787A7D" w:rsidRPr="00787A7D" w:rsidRDefault="00787A7D" w:rsidP="00787A7D">
      <w:pPr>
        <w:rPr>
          <w:sz w:val="20"/>
          <w:szCs w:val="20"/>
        </w:rPr>
      </w:pPr>
    </w:p>
    <w:p w14:paraId="17AAAA0D" w14:textId="77777777" w:rsidR="007F186E" w:rsidRPr="007F186E" w:rsidRDefault="007F186E" w:rsidP="007F186E">
      <w:pPr>
        <w:pStyle w:val="Prrafodelista"/>
        <w:tabs>
          <w:tab w:val="left" w:pos="1422"/>
        </w:tabs>
        <w:ind w:right="1299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53D4CDC5" w14:textId="38955E68" w:rsidR="00A136EB" w:rsidRPr="002C5862" w:rsidRDefault="00D66276" w:rsidP="002C5862">
      <w:pPr>
        <w:pStyle w:val="Textoindependiente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DBFC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23B007D1" w14:textId="737603AB" w:rsidR="00A136EB" w:rsidRPr="00A136EB" w:rsidRDefault="00A136EB" w:rsidP="009A6212">
      <w:pPr>
        <w:pStyle w:val="Prrafodelista"/>
        <w:ind w:right="1310" w:firstLine="0"/>
        <w:rPr>
          <w:b/>
          <w:bCs/>
          <w:sz w:val="20"/>
          <w:szCs w:val="20"/>
        </w:rPr>
      </w:pPr>
      <w:r w:rsidRPr="00A136EB">
        <w:rPr>
          <w:b/>
          <w:bCs/>
          <w:sz w:val="20"/>
          <w:szCs w:val="20"/>
        </w:rPr>
        <w:t>PRO</w:t>
      </w:r>
      <w:r w:rsidR="00DF5313">
        <w:rPr>
          <w:b/>
          <w:bCs/>
          <w:sz w:val="20"/>
          <w:szCs w:val="20"/>
        </w:rPr>
        <w:t>YECTOS</w:t>
      </w:r>
      <w:r w:rsidRPr="00A136EB">
        <w:rPr>
          <w:b/>
          <w:bCs/>
          <w:sz w:val="20"/>
          <w:szCs w:val="20"/>
        </w:rPr>
        <w:t xml:space="preserve"> DE LEY</w:t>
      </w:r>
    </w:p>
    <w:p w14:paraId="389896CC" w14:textId="54E0E7BB" w:rsidR="00E75D2F" w:rsidRPr="00DF5313" w:rsidRDefault="00E75D2F" w:rsidP="00DF5313">
      <w:pPr>
        <w:ind w:right="1310"/>
        <w:rPr>
          <w:sz w:val="20"/>
          <w:szCs w:val="20"/>
        </w:rPr>
      </w:pPr>
    </w:p>
    <w:p w14:paraId="2BFAB723" w14:textId="152CA508" w:rsidR="00E2194B" w:rsidRDefault="00E2194B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E2194B">
        <w:rPr>
          <w:sz w:val="20"/>
          <w:szCs w:val="20"/>
        </w:rPr>
        <w:t xml:space="preserve">Proyecto de Ley por la que se crea la Autoridad Administrativa Independiente de Defensa del Cliente Financiero para la resolución extrajudicial de conflictos entre las entidades financieras y sus clientes. </w:t>
      </w:r>
      <w:hyperlink r:id="rId36" w:history="1">
        <w:r w:rsidRPr="00BF7DF7">
          <w:rPr>
            <w:rStyle w:val="Hipervnculo"/>
            <w:sz w:val="20"/>
            <w:szCs w:val="20"/>
          </w:rPr>
          <w:t>(121/000018)</w:t>
        </w:r>
      </w:hyperlink>
      <w:r w:rsidR="00BF7DF7">
        <w:rPr>
          <w:sz w:val="20"/>
          <w:szCs w:val="20"/>
        </w:rPr>
        <w:t>.</w:t>
      </w:r>
    </w:p>
    <w:p w14:paraId="7A100F55" w14:textId="77777777" w:rsidR="00BF7DF7" w:rsidRDefault="00BF7DF7" w:rsidP="00BF7DF7">
      <w:pPr>
        <w:pStyle w:val="Prrafodelista"/>
        <w:ind w:right="1310" w:firstLine="0"/>
        <w:rPr>
          <w:sz w:val="20"/>
          <w:szCs w:val="20"/>
        </w:rPr>
      </w:pPr>
    </w:p>
    <w:p w14:paraId="1480D6BC" w14:textId="77777777" w:rsidR="00BF7DF7" w:rsidRDefault="00BF7DF7" w:rsidP="00BF7DF7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F255FE">
        <w:rPr>
          <w:sz w:val="20"/>
          <w:szCs w:val="20"/>
        </w:rPr>
        <w:t xml:space="preserve">Proyecto de Ley por la que se prorrogan las medidas de suspensión de lanzamientos sobre la vivienda habitual para la protección de los colectivos vulnerables (procedente del Real Decreto-ley 1/2024, de 14 de mayo). </w:t>
      </w:r>
      <w:hyperlink r:id="rId37" w:history="1">
        <w:r w:rsidRPr="00F777BA">
          <w:rPr>
            <w:rStyle w:val="Hipervnculo"/>
            <w:sz w:val="20"/>
            <w:szCs w:val="20"/>
          </w:rPr>
          <w:t>(121/000024)</w:t>
        </w:r>
      </w:hyperlink>
      <w:r>
        <w:rPr>
          <w:sz w:val="20"/>
          <w:szCs w:val="20"/>
        </w:rPr>
        <w:t>.</w:t>
      </w:r>
    </w:p>
    <w:p w14:paraId="31DCA8BF" w14:textId="77777777" w:rsidR="00BF7DF7" w:rsidRDefault="00BF7DF7" w:rsidP="00BF7DF7">
      <w:pPr>
        <w:pStyle w:val="Prrafodelista"/>
        <w:ind w:right="1310" w:firstLine="0"/>
        <w:rPr>
          <w:sz w:val="20"/>
          <w:szCs w:val="20"/>
        </w:rPr>
      </w:pPr>
    </w:p>
    <w:p w14:paraId="1B61361A" w14:textId="204C58E3" w:rsidR="00DF060C" w:rsidRDefault="00DF060C" w:rsidP="00126CF1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DF060C">
        <w:rPr>
          <w:sz w:val="20"/>
          <w:szCs w:val="20"/>
        </w:rPr>
        <w:t>Proyecto de Ley del Cine y de la Cultura Audiovisual</w:t>
      </w:r>
      <w:r w:rsidR="0069485A">
        <w:rPr>
          <w:sz w:val="20"/>
          <w:szCs w:val="20"/>
        </w:rPr>
        <w:t xml:space="preserve"> </w:t>
      </w:r>
      <w:hyperlink r:id="rId38" w:history="1">
        <w:r w:rsidR="0069485A" w:rsidRPr="0069485A">
          <w:rPr>
            <w:rStyle w:val="Hipervnculo"/>
            <w:sz w:val="20"/>
            <w:szCs w:val="20"/>
          </w:rPr>
          <w:t>(</w:t>
        </w:r>
        <w:r w:rsidR="0069485A" w:rsidRPr="0069485A">
          <w:rPr>
            <w:rStyle w:val="Hipervnculo"/>
            <w:sz w:val="20"/>
            <w:szCs w:val="20"/>
          </w:rPr>
          <w:t>121/000026</w:t>
        </w:r>
        <w:r w:rsidR="0069485A" w:rsidRPr="0069485A">
          <w:rPr>
            <w:rStyle w:val="Hipervnculo"/>
            <w:sz w:val="20"/>
            <w:szCs w:val="20"/>
          </w:rPr>
          <w:t>)</w:t>
        </w:r>
      </w:hyperlink>
      <w:r w:rsidR="0069485A">
        <w:rPr>
          <w:sz w:val="20"/>
          <w:szCs w:val="20"/>
        </w:rPr>
        <w:t>.</w:t>
      </w:r>
    </w:p>
    <w:p w14:paraId="66EBC069" w14:textId="77777777" w:rsidR="00126CF1" w:rsidRPr="00126CF1" w:rsidRDefault="00126CF1" w:rsidP="00126CF1">
      <w:pPr>
        <w:pStyle w:val="Prrafodelista"/>
        <w:rPr>
          <w:sz w:val="20"/>
          <w:szCs w:val="20"/>
        </w:rPr>
      </w:pPr>
    </w:p>
    <w:p w14:paraId="24AA513C" w14:textId="07D9FCE6" w:rsidR="00D42235" w:rsidRDefault="00E74073" w:rsidP="00B149F9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E74073">
        <w:rPr>
          <w:sz w:val="20"/>
          <w:szCs w:val="20"/>
        </w:rPr>
        <w:t>Proyecto de Ley por la que se modifica la Ley 1/2005, de 9 de marzo, por la que se regula el régimen del comercio de derechos de emisión de gases de efecto invernadero</w:t>
      </w:r>
      <w:r w:rsidR="00C71185">
        <w:rPr>
          <w:sz w:val="20"/>
          <w:szCs w:val="20"/>
        </w:rPr>
        <w:t xml:space="preserve"> </w:t>
      </w:r>
      <w:hyperlink r:id="rId39" w:history="1">
        <w:r w:rsidR="00C71185" w:rsidRPr="00C71185">
          <w:rPr>
            <w:rStyle w:val="Hipervnculo"/>
            <w:sz w:val="20"/>
            <w:szCs w:val="20"/>
          </w:rPr>
          <w:t>(</w:t>
        </w:r>
        <w:r w:rsidR="00C71185" w:rsidRPr="00C71185">
          <w:rPr>
            <w:rStyle w:val="Hipervnculo"/>
            <w:sz w:val="20"/>
            <w:szCs w:val="20"/>
          </w:rPr>
          <w:t>121/000025</w:t>
        </w:r>
        <w:r w:rsidR="00C71185" w:rsidRPr="00C71185">
          <w:rPr>
            <w:rStyle w:val="Hipervnculo"/>
            <w:sz w:val="20"/>
            <w:szCs w:val="20"/>
          </w:rPr>
          <w:t>)</w:t>
        </w:r>
      </w:hyperlink>
      <w:r w:rsidR="00C71185">
        <w:rPr>
          <w:sz w:val="20"/>
          <w:szCs w:val="20"/>
        </w:rPr>
        <w:t>.</w:t>
      </w:r>
    </w:p>
    <w:p w14:paraId="3496DC56" w14:textId="77777777" w:rsidR="00F255FE" w:rsidRDefault="00F255FE" w:rsidP="00F255FE">
      <w:pPr>
        <w:pStyle w:val="Prrafodelista"/>
        <w:rPr>
          <w:sz w:val="20"/>
          <w:szCs w:val="20"/>
        </w:rPr>
      </w:pPr>
    </w:p>
    <w:p w14:paraId="02CDC45E" w14:textId="77777777" w:rsidR="002C5862" w:rsidRDefault="002C5862" w:rsidP="00F255FE">
      <w:pPr>
        <w:pStyle w:val="Prrafodelista"/>
        <w:rPr>
          <w:sz w:val="20"/>
          <w:szCs w:val="20"/>
        </w:rPr>
      </w:pPr>
    </w:p>
    <w:p w14:paraId="79A69DC2" w14:textId="77777777" w:rsidR="002C5862" w:rsidRDefault="002C5862" w:rsidP="002C5862">
      <w:pPr>
        <w:pStyle w:val="Ttulo3"/>
        <w:tabs>
          <w:tab w:val="left" w:pos="1291"/>
        </w:tabs>
        <w:ind w:left="1290" w:firstLine="0"/>
      </w:pPr>
      <w:r>
        <w:t>PROPOSICIONES DE LEY</w:t>
      </w:r>
    </w:p>
    <w:p w14:paraId="07FF14CA" w14:textId="77777777" w:rsidR="002C5862" w:rsidRDefault="002C5862" w:rsidP="002C5862">
      <w:pPr>
        <w:pStyle w:val="Textoindependiente"/>
        <w:spacing w:before="11"/>
        <w:rPr>
          <w:b/>
          <w:sz w:val="19"/>
        </w:rPr>
      </w:pPr>
    </w:p>
    <w:p w14:paraId="5FCD3FDB" w14:textId="77777777" w:rsidR="002C5862" w:rsidRDefault="002C5862" w:rsidP="002C5862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DB5561">
        <w:rPr>
          <w:sz w:val="20"/>
        </w:rPr>
        <w:t>Proposición de Ley de prevención de la especulación y garantías de la vivienda como bien social</w:t>
      </w:r>
      <w:r>
        <w:rPr>
          <w:sz w:val="20"/>
        </w:rPr>
        <w:t xml:space="preserve"> </w:t>
      </w:r>
      <w:hyperlink r:id="rId40" w:history="1">
        <w:r w:rsidRPr="00145F3B">
          <w:rPr>
            <w:rStyle w:val="Hipervnculo"/>
            <w:sz w:val="20"/>
          </w:rPr>
          <w:t>(122/000102)</w:t>
        </w:r>
      </w:hyperlink>
      <w:r>
        <w:rPr>
          <w:sz w:val="20"/>
        </w:rPr>
        <w:t>.</w:t>
      </w: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030C4D3D" w14:textId="77777777" w:rsidR="002C5862" w:rsidRPr="00082341" w:rsidRDefault="002C5862" w:rsidP="002C5862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2D531C">
        <w:rPr>
          <w:sz w:val="20"/>
        </w:rPr>
        <w:t>Proposición de Ley de medidas para garantizar el carácter público del Sistema Nacional de Salud</w:t>
      </w:r>
      <w:r>
        <w:rPr>
          <w:sz w:val="20"/>
        </w:rPr>
        <w:t xml:space="preserve"> </w:t>
      </w:r>
      <w:hyperlink r:id="rId41" w:history="1">
        <w:r w:rsidRPr="00966BA6">
          <w:rPr>
            <w:rStyle w:val="Hipervnculo"/>
            <w:sz w:val="20"/>
          </w:rPr>
          <w:t>(122/000082)</w:t>
        </w:r>
      </w:hyperlink>
      <w:r>
        <w:rPr>
          <w:sz w:val="20"/>
        </w:rPr>
        <w:t>.</w:t>
      </w:r>
    </w:p>
    <w:p w14:paraId="09FBD403" w14:textId="77777777" w:rsidR="002C5862" w:rsidRPr="00DE17AB" w:rsidRDefault="002C5862" w:rsidP="002C5862">
      <w:pPr>
        <w:pStyle w:val="Prrafodelista"/>
        <w:rPr>
          <w:sz w:val="20"/>
          <w:szCs w:val="20"/>
        </w:rPr>
      </w:pPr>
    </w:p>
    <w:p w14:paraId="1D012912" w14:textId="77777777" w:rsidR="002C5862" w:rsidRPr="00AC04C3" w:rsidRDefault="002C5862" w:rsidP="002C5862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7F5BA2">
        <w:rPr>
          <w:sz w:val="20"/>
          <w:szCs w:val="20"/>
        </w:rPr>
        <w:t>Proposición de Ley Orgánica de garantía del derecho a la información veraz y lucha contra la desinformación</w:t>
      </w:r>
      <w:r>
        <w:rPr>
          <w:sz w:val="20"/>
          <w:szCs w:val="20"/>
        </w:rPr>
        <w:t xml:space="preserve"> </w:t>
      </w:r>
      <w:hyperlink r:id="rId42" w:history="1">
        <w:r w:rsidRPr="00293F77">
          <w:rPr>
            <w:rStyle w:val="Hipervnculo"/>
            <w:sz w:val="20"/>
            <w:szCs w:val="20"/>
          </w:rPr>
          <w:t>(122/000107)</w:t>
        </w:r>
      </w:hyperlink>
      <w:r>
        <w:rPr>
          <w:sz w:val="20"/>
          <w:szCs w:val="20"/>
        </w:rPr>
        <w:t>.</w:t>
      </w:r>
    </w:p>
    <w:p w14:paraId="488562F4" w14:textId="77777777" w:rsidR="002C5862" w:rsidRPr="00F255FE" w:rsidRDefault="002C5862" w:rsidP="00F255FE">
      <w:pPr>
        <w:pStyle w:val="Prrafodelista"/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43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01E82" w14:textId="77777777" w:rsidR="00C51057" w:rsidRDefault="00C51057">
      <w:r>
        <w:separator/>
      </w:r>
    </w:p>
  </w:endnote>
  <w:endnote w:type="continuationSeparator" w:id="0">
    <w:p w14:paraId="13098C89" w14:textId="77777777" w:rsidR="00C51057" w:rsidRDefault="00C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E21C" w14:textId="77777777" w:rsidR="00C51057" w:rsidRDefault="00C51057">
      <w:r>
        <w:separator/>
      </w:r>
    </w:p>
  </w:footnote>
  <w:footnote w:type="continuationSeparator" w:id="0">
    <w:p w14:paraId="4F6D7200" w14:textId="77777777" w:rsidR="00C51057" w:rsidRDefault="00C5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 w16cid:durableId="1836410069">
    <w:abstractNumId w:val="3"/>
  </w:num>
  <w:num w:numId="2" w16cid:durableId="750396900">
    <w:abstractNumId w:val="1"/>
  </w:num>
  <w:num w:numId="3" w16cid:durableId="89740682">
    <w:abstractNumId w:val="0"/>
  </w:num>
  <w:num w:numId="4" w16cid:durableId="68597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0"/>
    <w:rsid w:val="000028F4"/>
    <w:rsid w:val="00021A61"/>
    <w:rsid w:val="000236E2"/>
    <w:rsid w:val="00043829"/>
    <w:rsid w:val="0004694D"/>
    <w:rsid w:val="00046C51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F2352"/>
    <w:rsid w:val="00100E8F"/>
    <w:rsid w:val="0010781B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C5862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A2883"/>
    <w:rsid w:val="003B072A"/>
    <w:rsid w:val="003B4BFF"/>
    <w:rsid w:val="003B4E85"/>
    <w:rsid w:val="003C04E5"/>
    <w:rsid w:val="003C14B7"/>
    <w:rsid w:val="003C41D6"/>
    <w:rsid w:val="003D0789"/>
    <w:rsid w:val="003D6E85"/>
    <w:rsid w:val="003E28CB"/>
    <w:rsid w:val="003E4474"/>
    <w:rsid w:val="003E4939"/>
    <w:rsid w:val="003F0FA3"/>
    <w:rsid w:val="00407D4A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46B3"/>
    <w:rsid w:val="00544B2E"/>
    <w:rsid w:val="00545793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E10D2"/>
    <w:rsid w:val="005F193E"/>
    <w:rsid w:val="005F24A8"/>
    <w:rsid w:val="005F4D67"/>
    <w:rsid w:val="00600D80"/>
    <w:rsid w:val="00602642"/>
    <w:rsid w:val="006055A8"/>
    <w:rsid w:val="00622954"/>
    <w:rsid w:val="00627FDD"/>
    <w:rsid w:val="00643297"/>
    <w:rsid w:val="006445F7"/>
    <w:rsid w:val="006448B1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675F"/>
    <w:rsid w:val="006F6FB2"/>
    <w:rsid w:val="00704436"/>
    <w:rsid w:val="0070500B"/>
    <w:rsid w:val="007135A5"/>
    <w:rsid w:val="0073278B"/>
    <w:rsid w:val="00753E83"/>
    <w:rsid w:val="00756E25"/>
    <w:rsid w:val="007611E8"/>
    <w:rsid w:val="00761FCE"/>
    <w:rsid w:val="0078627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85739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D2467"/>
    <w:rsid w:val="009D3663"/>
    <w:rsid w:val="009D4AF0"/>
    <w:rsid w:val="009D5219"/>
    <w:rsid w:val="009E422F"/>
    <w:rsid w:val="009E49DA"/>
    <w:rsid w:val="009F0FA4"/>
    <w:rsid w:val="00A01081"/>
    <w:rsid w:val="00A02412"/>
    <w:rsid w:val="00A136EB"/>
    <w:rsid w:val="00A24904"/>
    <w:rsid w:val="00A30FD7"/>
    <w:rsid w:val="00A31AAE"/>
    <w:rsid w:val="00A33816"/>
    <w:rsid w:val="00A4044F"/>
    <w:rsid w:val="00A433F3"/>
    <w:rsid w:val="00A53237"/>
    <w:rsid w:val="00A53745"/>
    <w:rsid w:val="00A61B4F"/>
    <w:rsid w:val="00A80F90"/>
    <w:rsid w:val="00A84041"/>
    <w:rsid w:val="00A94654"/>
    <w:rsid w:val="00AA6C4A"/>
    <w:rsid w:val="00AB399C"/>
    <w:rsid w:val="00AB5DBC"/>
    <w:rsid w:val="00AC04C3"/>
    <w:rsid w:val="00AD03C5"/>
    <w:rsid w:val="00AD2978"/>
    <w:rsid w:val="00AE34B6"/>
    <w:rsid w:val="00AE436F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5F15"/>
    <w:rsid w:val="00C21F72"/>
    <w:rsid w:val="00C34B1A"/>
    <w:rsid w:val="00C41481"/>
    <w:rsid w:val="00C46B9B"/>
    <w:rsid w:val="00C46C3E"/>
    <w:rsid w:val="00C51057"/>
    <w:rsid w:val="00C51068"/>
    <w:rsid w:val="00C71185"/>
    <w:rsid w:val="00C72D15"/>
    <w:rsid w:val="00C81975"/>
    <w:rsid w:val="00C86A61"/>
    <w:rsid w:val="00C92A38"/>
    <w:rsid w:val="00C92CBB"/>
    <w:rsid w:val="00CA2D1F"/>
    <w:rsid w:val="00CB1D6C"/>
    <w:rsid w:val="00CB266B"/>
    <w:rsid w:val="00CB496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41900"/>
    <w:rsid w:val="00E51610"/>
    <w:rsid w:val="00E559FD"/>
    <w:rsid w:val="00E57A37"/>
    <w:rsid w:val="00E62E8C"/>
    <w:rsid w:val="00E6394A"/>
    <w:rsid w:val="00E72531"/>
    <w:rsid w:val="00E74073"/>
    <w:rsid w:val="00E75D2F"/>
    <w:rsid w:val="00E80F0F"/>
    <w:rsid w:val="00E84B12"/>
    <w:rsid w:val="00EC167A"/>
    <w:rsid w:val="00EC1C53"/>
    <w:rsid w:val="00EF2397"/>
    <w:rsid w:val="00F05936"/>
    <w:rsid w:val="00F156C1"/>
    <w:rsid w:val="00F2083C"/>
    <w:rsid w:val="00F255FE"/>
    <w:rsid w:val="00F34464"/>
    <w:rsid w:val="00F448FD"/>
    <w:rsid w:val="00F50B42"/>
    <w:rsid w:val="00F55E6C"/>
    <w:rsid w:val="00F5612B"/>
    <w:rsid w:val="00F614BC"/>
    <w:rsid w:val="00F658ED"/>
    <w:rsid w:val="00F77731"/>
    <w:rsid w:val="00F777BA"/>
    <w:rsid w:val="00F830A3"/>
    <w:rsid w:val="00F8331B"/>
    <w:rsid w:val="00F91159"/>
    <w:rsid w:val="00FB1730"/>
    <w:rsid w:val="00FB1BAA"/>
    <w:rsid w:val="00FD4801"/>
    <w:rsid w:val="00FE2172"/>
    <w:rsid w:val="00FF0A83"/>
    <w:rsid w:val="00FF0C64"/>
    <w:rsid w:val="00FF15CF"/>
    <w:rsid w:val="00FF29CA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7FC1773E-873D-4023-A684-24C63F8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buscar/doc.php?id=DOUE-L-2024-80854" TargetMode="External"/><Relationship Id="rId18" Type="http://schemas.openxmlformats.org/officeDocument/2006/relationships/hyperlink" Target="https://www.boe.es/buscar/doc.php?id=DOUE-L-2024-80936" TargetMode="External"/><Relationship Id="rId26" Type="http://schemas.openxmlformats.org/officeDocument/2006/relationships/hyperlink" Target="https://www.boe.es/buscar/doc.php?id=BOE-A-2024-11958" TargetMode="External"/><Relationship Id="rId39" Type="http://schemas.openxmlformats.org/officeDocument/2006/relationships/hyperlink" Target="https://www.congreso.es/public_oficiales/L15/CONG/BOCG/A/BOCG-15-A-25-1.PDF" TargetMode="External"/><Relationship Id="rId21" Type="http://schemas.openxmlformats.org/officeDocument/2006/relationships/hyperlink" Target="https://www.boe.es/buscar/doc.php?id=BOE-A-2024-8067" TargetMode="External"/><Relationship Id="rId34" Type="http://schemas.openxmlformats.org/officeDocument/2006/relationships/hyperlink" Target="https://www.boe.es/buscar/doc.php?id=BOE-A-2024-11538" TargetMode="External"/><Relationship Id="rId42" Type="http://schemas.openxmlformats.org/officeDocument/2006/relationships/hyperlink" Target="https://www.congreso.es/public_oficiales/L15/CONG/BOCG/B/BOCG-15-B-119-1.PDF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DOUE-L-2024-80991" TargetMode="External"/><Relationship Id="rId29" Type="http://schemas.openxmlformats.org/officeDocument/2006/relationships/hyperlink" Target="https://www.boe.es/buscar/doc.php?id=BOE-A-2024-134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doc.php?id=DOUE-L-2024-80669" TargetMode="External"/><Relationship Id="rId24" Type="http://schemas.openxmlformats.org/officeDocument/2006/relationships/hyperlink" Target="https://www.boe.es/buscar/doc.php?id=BOE-A-2024-11535" TargetMode="External"/><Relationship Id="rId32" Type="http://schemas.openxmlformats.org/officeDocument/2006/relationships/hyperlink" Target="https://www.boe.es/ccaa/boib/2024/061/i21177-21206.pdf" TargetMode="External"/><Relationship Id="rId37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24-1.CODI.)" TargetMode="External"/><Relationship Id="rId40" Type="http://schemas.openxmlformats.org/officeDocument/2006/relationships/hyperlink" Target="https://www.congreso.es/public_oficiales/L15/CONG/BOCG/B/BOCG-15-B-115-1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doc.php?id=DOUE-L-2024-80973" TargetMode="External"/><Relationship Id="rId23" Type="http://schemas.openxmlformats.org/officeDocument/2006/relationships/hyperlink" Target="https://www.boe.es/buscar/doc.php?id=BOE-A-2024-8193" TargetMode="External"/><Relationship Id="rId28" Type="http://schemas.openxmlformats.org/officeDocument/2006/relationships/hyperlink" Target="https://www.boe.es/buscar/doc.php?id=BOE-A-2024-12502" TargetMode="External"/><Relationship Id="rId36" Type="http://schemas.openxmlformats.org/officeDocument/2006/relationships/hyperlink" Target="https://www.congreso.es/es/proyectos-de-ley?p_p_id=iniciativas&amp;p_p_lifecycle=0&amp;p_p_state=normal&amp;p_p_mode=view&amp;_iniciativas_mode=mostrarDetalle&amp;_iniciativas_legislatura=XV&amp;_iniciativas_id=121%2F000018" TargetMode="External"/><Relationship Id="rId10" Type="http://schemas.openxmlformats.org/officeDocument/2006/relationships/hyperlink" Target="https://www.boe.es/buscar/doc.php?id=DOUE-L-2024-80556" TargetMode="External"/><Relationship Id="rId19" Type="http://schemas.openxmlformats.org/officeDocument/2006/relationships/hyperlink" Target="https://www.boe.es/buscar/doc.php?id=DOUE-L-2024-80976" TargetMode="External"/><Relationship Id="rId31" Type="http://schemas.openxmlformats.org/officeDocument/2006/relationships/hyperlink" Target="https://www.boe.es/buscar/doc.php?id=BOE-A-2024-1316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DOUE-L-2024-80911" TargetMode="External"/><Relationship Id="rId22" Type="http://schemas.openxmlformats.org/officeDocument/2006/relationships/hyperlink" Target="https://www.boe.es/buscar/doc.php?id=BOE-A-2024-8262" TargetMode="External"/><Relationship Id="rId27" Type="http://schemas.openxmlformats.org/officeDocument/2006/relationships/hyperlink" Target="https://www.boe.es/buscar/doc.php?id=BOE-A-2024-11291" TargetMode="External"/><Relationship Id="rId30" Type="http://schemas.openxmlformats.org/officeDocument/2006/relationships/hyperlink" Target="https://www.boe.es/buscar/doc.php?id=BOE-A-2024-12944" TargetMode="External"/><Relationship Id="rId35" Type="http://schemas.openxmlformats.org/officeDocument/2006/relationships/hyperlink" Target="https://www.boe.es/buscar/doc.php?id=BOE-A-2024-13580" TargetMode="External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boe.es/buscar/doc.php?id=DOUE-L-2024-80775" TargetMode="External"/><Relationship Id="rId17" Type="http://schemas.openxmlformats.org/officeDocument/2006/relationships/hyperlink" Target="https://www.boe.es/buscar/doc.php?id=DOUE-L-2024-80992" TargetMode="External"/><Relationship Id="rId25" Type="http://schemas.openxmlformats.org/officeDocument/2006/relationships/hyperlink" Target="https://www.boe.es/buscar/doc.php?id=BOE-A-2024-10936" TargetMode="External"/><Relationship Id="rId33" Type="http://schemas.openxmlformats.org/officeDocument/2006/relationships/hyperlink" Target="https://www.boe.es/buscar/doc.php?id=BOE-A-2024-11191" TargetMode="External"/><Relationship Id="rId38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26-1.CODI.)" TargetMode="External"/><Relationship Id="rId20" Type="http://schemas.openxmlformats.org/officeDocument/2006/relationships/hyperlink" Target="https://www.boe.es/buscar/doc.php?id=BOE-A-2024-7254" TargetMode="External"/><Relationship Id="rId41" Type="http://schemas.openxmlformats.org/officeDocument/2006/relationships/hyperlink" Target="https://www.congreso.es/public_oficiales/L15/CONG/BOCG/B/BOCG-15-B-96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1865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 del Águila Martínez</dc:creator>
  <cp:lastModifiedBy>Jesús del Águila Martínez</cp:lastModifiedBy>
  <cp:revision>97</cp:revision>
  <cp:lastPrinted>2024-01-23T15:55:00Z</cp:lastPrinted>
  <dcterms:created xsi:type="dcterms:W3CDTF">2024-07-23T19:08:00Z</dcterms:created>
  <dcterms:modified xsi:type="dcterms:W3CDTF">2024-07-28T13:11:00Z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