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7E7D2B2D" w:rsidR="00827C04" w:rsidRDefault="0096235F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Julio</w:t>
                            </w:r>
                            <w:r w:rsidR="00A64D45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Septiembre</w:t>
                            </w:r>
                            <w:r w:rsidR="0068726D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2024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Víctor Bastante Granell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1051A3DC" w:rsidR="00827C04" w:rsidRPr="00EE05FD" w:rsidRDefault="00F475F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Profesor</w:t>
                            </w:r>
                            <w:r w:rsidR="006872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Titular de Universidad</w:t>
                            </w:r>
                            <w:r w:rsidR="00827C04"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D715D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" filled="f" stroked="f" strokeweight=".5pt">
                <v:textbox>
                  <w:txbxContent>
                    <w:p w14:paraId="4D436CF4" w14:textId="7E7D2B2D" w:rsidR="00827C04" w:rsidRDefault="0096235F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Julio</w:t>
                      </w:r>
                      <w:r w:rsidR="00A64D45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Septiembre</w:t>
                      </w:r>
                      <w:r w:rsidR="0068726D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2024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Víctor Bastante Granell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1051A3DC" w:rsidR="00827C04" w:rsidRPr="00EE05FD" w:rsidRDefault="00F475F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Profesor</w:t>
                      </w:r>
                      <w:r w:rsidR="006872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Titular de Universidad</w:t>
                      </w:r>
                      <w:r w:rsidR="00827C04"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4A92"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3673D5DB">
            <wp:simplePos x="0" y="0"/>
            <wp:positionH relativeFrom="column">
              <wp:posOffset>-952500</wp:posOffset>
            </wp:positionH>
            <wp:positionV relativeFrom="paragraph">
              <wp:posOffset>-1898650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D940F1" w14:textId="71BEA4EE" w:rsidR="00827C04" w:rsidRDefault="0096235F" w:rsidP="00567AAA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Julio-Septiembre</w:t>
                            </w:r>
                            <w:r w:rsidR="0068726D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495B1"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31D940F1" w14:textId="71BEA4EE" w:rsidR="00827C04" w:rsidRDefault="0096235F" w:rsidP="00567AAA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Julio-Septiembre</w:t>
                      </w:r>
                      <w:r w:rsidR="0068726D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1AFD"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1A8FE9A3" w14:textId="77777777" w:rsidR="0068726D" w:rsidRPr="001563A1" w:rsidRDefault="0068726D" w:rsidP="001563A1">
      <w:pPr>
        <w:spacing w:after="0" w:line="240" w:lineRule="auto"/>
        <w:jc w:val="both"/>
        <w:rPr>
          <w:sz w:val="20"/>
          <w:szCs w:val="20"/>
        </w:rPr>
      </w:pPr>
    </w:p>
    <w:p w14:paraId="0D0CB962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Landa Reza, Idoia. “La protección de datos desde el diseño y por defecto como obligación legal preventiva de la domótica”: </w:t>
      </w:r>
      <w:r w:rsidRPr="00A4243B">
        <w:rPr>
          <w:i/>
          <w:sz w:val="20"/>
          <w:szCs w:val="20"/>
        </w:rPr>
        <w:t xml:space="preserve">Revista Electrónica de </w:t>
      </w:r>
      <w:proofErr w:type="spellStart"/>
      <w:r w:rsidRPr="00A4243B">
        <w:rPr>
          <w:i/>
          <w:sz w:val="20"/>
          <w:szCs w:val="20"/>
        </w:rPr>
        <w:t>Direito</w:t>
      </w:r>
      <w:proofErr w:type="spellEnd"/>
      <w:r w:rsidRPr="00A4243B">
        <w:rPr>
          <w:sz w:val="20"/>
          <w:szCs w:val="20"/>
        </w:rPr>
        <w:t>. RED, Vol. 34, Nº. 2, 2024.</w:t>
      </w:r>
    </w:p>
    <w:p w14:paraId="7A8BD535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3C30AE42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Camões</w:t>
      </w:r>
      <w:proofErr w:type="spellEnd"/>
      <w:r w:rsidRPr="00A4243B">
        <w:rPr>
          <w:sz w:val="20"/>
          <w:szCs w:val="20"/>
        </w:rPr>
        <w:t>, Diana. “</w:t>
      </w:r>
      <w:proofErr w:type="spellStart"/>
      <w:r w:rsidRPr="00A4243B">
        <w:rPr>
          <w:sz w:val="20"/>
          <w:szCs w:val="20"/>
        </w:rPr>
        <w:t>Direito</w:t>
      </w:r>
      <w:proofErr w:type="spellEnd"/>
      <w:r w:rsidRPr="00A4243B">
        <w:rPr>
          <w:sz w:val="20"/>
          <w:szCs w:val="20"/>
        </w:rPr>
        <w:t xml:space="preserve"> da </w:t>
      </w:r>
      <w:proofErr w:type="spellStart"/>
      <w:r w:rsidRPr="00A4243B">
        <w:rPr>
          <w:sz w:val="20"/>
          <w:szCs w:val="20"/>
        </w:rPr>
        <w:t>Proteção</w:t>
      </w:r>
      <w:proofErr w:type="spellEnd"/>
      <w:r w:rsidRPr="00A4243B">
        <w:rPr>
          <w:sz w:val="20"/>
          <w:szCs w:val="20"/>
        </w:rPr>
        <w:t xml:space="preserve"> de Dados e </w:t>
      </w:r>
      <w:proofErr w:type="spellStart"/>
      <w:r w:rsidRPr="00A4243B">
        <w:rPr>
          <w:sz w:val="20"/>
          <w:szCs w:val="20"/>
        </w:rPr>
        <w:t>Arbitragem</w:t>
      </w:r>
      <w:proofErr w:type="spellEnd"/>
      <w:r w:rsidRPr="00A4243B">
        <w:rPr>
          <w:sz w:val="20"/>
          <w:szCs w:val="20"/>
        </w:rPr>
        <w:t xml:space="preserve"> Internacional: Como </w:t>
      </w:r>
      <w:proofErr w:type="spellStart"/>
      <w:r w:rsidRPr="00A4243B">
        <w:rPr>
          <w:sz w:val="20"/>
          <w:szCs w:val="20"/>
        </w:rPr>
        <w:t>fazer</w:t>
      </w:r>
      <w:proofErr w:type="spellEnd"/>
      <w:r w:rsidRPr="00A4243B">
        <w:rPr>
          <w:sz w:val="20"/>
          <w:szCs w:val="20"/>
        </w:rPr>
        <w:t xml:space="preserve"> estes </w:t>
      </w:r>
      <w:proofErr w:type="spellStart"/>
      <w:r w:rsidRPr="00A4243B">
        <w:rPr>
          <w:sz w:val="20"/>
          <w:szCs w:val="20"/>
        </w:rPr>
        <w:t>dois</w:t>
      </w:r>
      <w:proofErr w:type="spellEnd"/>
      <w:r w:rsidRPr="00A4243B">
        <w:rPr>
          <w:sz w:val="20"/>
          <w:szCs w:val="20"/>
        </w:rPr>
        <w:t xml:space="preserve"> mundos coexistir na era digital”: </w:t>
      </w:r>
      <w:r w:rsidRPr="00A4243B">
        <w:rPr>
          <w:i/>
          <w:sz w:val="20"/>
          <w:szCs w:val="20"/>
        </w:rPr>
        <w:t xml:space="preserve">Revista Electrónica de </w:t>
      </w:r>
      <w:proofErr w:type="spellStart"/>
      <w:r w:rsidRPr="00A4243B">
        <w:rPr>
          <w:i/>
          <w:sz w:val="20"/>
          <w:szCs w:val="20"/>
        </w:rPr>
        <w:t>Direito</w:t>
      </w:r>
      <w:proofErr w:type="spellEnd"/>
      <w:r w:rsidRPr="00A4243B">
        <w:rPr>
          <w:sz w:val="20"/>
          <w:szCs w:val="20"/>
        </w:rPr>
        <w:t>. RED, Vol. 34, Nº. 2, 2024.</w:t>
      </w:r>
    </w:p>
    <w:p w14:paraId="617F512E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3299E2A8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Arnau Raventós, </w:t>
      </w:r>
      <w:proofErr w:type="spellStart"/>
      <w:r w:rsidRPr="00A4243B">
        <w:rPr>
          <w:sz w:val="20"/>
          <w:szCs w:val="20"/>
        </w:rPr>
        <w:t>Lídia</w:t>
      </w:r>
      <w:proofErr w:type="spellEnd"/>
      <w:r w:rsidRPr="00A4243B">
        <w:rPr>
          <w:sz w:val="20"/>
          <w:szCs w:val="20"/>
        </w:rPr>
        <w:t xml:space="preserve">. “Derecho de desistimiento y faltas informativas relativas al precio”: </w:t>
      </w:r>
      <w:r w:rsidRPr="00A4243B">
        <w:rPr>
          <w:i/>
          <w:sz w:val="20"/>
          <w:szCs w:val="20"/>
        </w:rPr>
        <w:t xml:space="preserve">Revista Electrónica de </w:t>
      </w:r>
      <w:proofErr w:type="spellStart"/>
      <w:r w:rsidRPr="00A4243B">
        <w:rPr>
          <w:i/>
          <w:sz w:val="20"/>
          <w:szCs w:val="20"/>
        </w:rPr>
        <w:t>Direito</w:t>
      </w:r>
      <w:proofErr w:type="spellEnd"/>
      <w:r w:rsidRPr="00A4243B">
        <w:rPr>
          <w:sz w:val="20"/>
          <w:szCs w:val="20"/>
        </w:rPr>
        <w:t>. RED, Vol. 34, Nº. 2, 2024.</w:t>
      </w:r>
    </w:p>
    <w:p w14:paraId="6C5A4686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54992836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Dolores </w:t>
      </w:r>
      <w:proofErr w:type="spellStart"/>
      <w:r w:rsidRPr="00A4243B">
        <w:rPr>
          <w:sz w:val="20"/>
          <w:szCs w:val="20"/>
        </w:rPr>
        <w:t>Finocchiaro</w:t>
      </w:r>
      <w:proofErr w:type="spellEnd"/>
      <w:r w:rsidRPr="00A4243B">
        <w:rPr>
          <w:sz w:val="20"/>
          <w:szCs w:val="20"/>
        </w:rPr>
        <w:t xml:space="preserve">, </w:t>
      </w:r>
      <w:proofErr w:type="spellStart"/>
      <w:r w:rsidRPr="00A4243B">
        <w:rPr>
          <w:sz w:val="20"/>
          <w:szCs w:val="20"/>
        </w:rPr>
        <w:t>Giusella</w:t>
      </w:r>
      <w:proofErr w:type="spellEnd"/>
      <w:r w:rsidRPr="00A4243B">
        <w:rPr>
          <w:sz w:val="20"/>
          <w:szCs w:val="20"/>
        </w:rPr>
        <w:t>; Montilla Polla, Rafael. “</w:t>
      </w:r>
      <w:proofErr w:type="spellStart"/>
      <w:r w:rsidRPr="00A4243B">
        <w:rPr>
          <w:sz w:val="20"/>
          <w:szCs w:val="20"/>
        </w:rPr>
        <w:t>Inteligência</w:t>
      </w:r>
      <w:proofErr w:type="spellEnd"/>
      <w:r w:rsidRPr="00A4243B">
        <w:rPr>
          <w:sz w:val="20"/>
          <w:szCs w:val="20"/>
        </w:rPr>
        <w:t xml:space="preserve"> artificial e </w:t>
      </w:r>
      <w:proofErr w:type="spellStart"/>
      <w:r w:rsidRPr="00A4243B">
        <w:rPr>
          <w:sz w:val="20"/>
          <w:szCs w:val="20"/>
        </w:rPr>
        <w:t>proteção</w:t>
      </w:r>
      <w:proofErr w:type="spellEnd"/>
      <w:r w:rsidRPr="00A4243B">
        <w:rPr>
          <w:sz w:val="20"/>
          <w:szCs w:val="20"/>
        </w:rPr>
        <w:t xml:space="preserve"> de dados </w:t>
      </w:r>
      <w:proofErr w:type="spellStart"/>
      <w:r w:rsidRPr="00A4243B">
        <w:rPr>
          <w:sz w:val="20"/>
          <w:szCs w:val="20"/>
        </w:rPr>
        <w:t>pessoais</w:t>
      </w:r>
      <w:proofErr w:type="spellEnd"/>
      <w:r w:rsidRPr="00A4243B">
        <w:rPr>
          <w:sz w:val="20"/>
          <w:szCs w:val="20"/>
        </w:rPr>
        <w:t xml:space="preserve">”: </w:t>
      </w:r>
      <w:r w:rsidRPr="00A4243B">
        <w:rPr>
          <w:i/>
          <w:sz w:val="20"/>
          <w:szCs w:val="20"/>
        </w:rPr>
        <w:t xml:space="preserve">Revista de </w:t>
      </w:r>
      <w:proofErr w:type="spellStart"/>
      <w:r w:rsidRPr="00A4243B">
        <w:rPr>
          <w:i/>
          <w:sz w:val="20"/>
          <w:szCs w:val="20"/>
        </w:rPr>
        <w:t>Direito</w:t>
      </w:r>
      <w:proofErr w:type="spellEnd"/>
      <w:r w:rsidRPr="00A4243B">
        <w:rPr>
          <w:i/>
          <w:sz w:val="20"/>
          <w:szCs w:val="20"/>
        </w:rPr>
        <w:t xml:space="preserve"> Civil </w:t>
      </w:r>
      <w:proofErr w:type="spellStart"/>
      <w:r w:rsidRPr="00A4243B">
        <w:rPr>
          <w:i/>
          <w:sz w:val="20"/>
          <w:szCs w:val="20"/>
        </w:rPr>
        <w:t>Contemporâneo</w:t>
      </w:r>
      <w:proofErr w:type="spellEnd"/>
      <w:r w:rsidRPr="00A4243B">
        <w:rPr>
          <w:i/>
          <w:sz w:val="20"/>
          <w:szCs w:val="20"/>
        </w:rPr>
        <w:t xml:space="preserve"> - RDCC: </w:t>
      </w:r>
      <w:proofErr w:type="spellStart"/>
      <w:r w:rsidRPr="00A4243B">
        <w:rPr>
          <w:i/>
          <w:sz w:val="20"/>
          <w:szCs w:val="20"/>
        </w:rPr>
        <w:t>Journal</w:t>
      </w:r>
      <w:proofErr w:type="spellEnd"/>
      <w:r w:rsidRPr="00A4243B">
        <w:rPr>
          <w:i/>
          <w:sz w:val="20"/>
          <w:szCs w:val="20"/>
        </w:rPr>
        <w:t xml:space="preserve"> </w:t>
      </w:r>
      <w:proofErr w:type="spellStart"/>
      <w:r w:rsidRPr="00A4243B">
        <w:rPr>
          <w:i/>
          <w:sz w:val="20"/>
          <w:szCs w:val="20"/>
        </w:rPr>
        <w:t>of</w:t>
      </w:r>
      <w:proofErr w:type="spellEnd"/>
      <w:r w:rsidRPr="00A4243B">
        <w:rPr>
          <w:i/>
          <w:sz w:val="20"/>
          <w:szCs w:val="20"/>
        </w:rPr>
        <w:t xml:space="preserve"> </w:t>
      </w:r>
      <w:proofErr w:type="spellStart"/>
      <w:r w:rsidRPr="00A4243B">
        <w:rPr>
          <w:i/>
          <w:sz w:val="20"/>
          <w:szCs w:val="20"/>
        </w:rPr>
        <w:t>Contemporary</w:t>
      </w:r>
      <w:proofErr w:type="spellEnd"/>
      <w:r w:rsidRPr="00A4243B">
        <w:rPr>
          <w:i/>
          <w:sz w:val="20"/>
          <w:szCs w:val="20"/>
        </w:rPr>
        <w:t xml:space="preserve"> Private Law</w:t>
      </w:r>
      <w:r w:rsidRPr="00A4243B">
        <w:rPr>
          <w:sz w:val="20"/>
          <w:szCs w:val="20"/>
        </w:rPr>
        <w:t>, Nº. 36, 2023, págs. 211-229.</w:t>
      </w:r>
    </w:p>
    <w:p w14:paraId="5E506356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12A89003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Espíndola </w:t>
      </w:r>
      <w:proofErr w:type="spellStart"/>
      <w:r w:rsidRPr="00A4243B">
        <w:rPr>
          <w:sz w:val="20"/>
          <w:szCs w:val="20"/>
        </w:rPr>
        <w:t>Corrêa</w:t>
      </w:r>
      <w:proofErr w:type="spellEnd"/>
      <w:r w:rsidRPr="00A4243B">
        <w:rPr>
          <w:sz w:val="20"/>
          <w:szCs w:val="20"/>
        </w:rPr>
        <w:t xml:space="preserve">, Adriana; </w:t>
      </w:r>
      <w:proofErr w:type="spellStart"/>
      <w:r w:rsidRPr="00A4243B">
        <w:rPr>
          <w:sz w:val="20"/>
          <w:szCs w:val="20"/>
        </w:rPr>
        <w:t>Battaglin</w:t>
      </w:r>
      <w:proofErr w:type="spellEnd"/>
      <w:r w:rsidRPr="00A4243B">
        <w:rPr>
          <w:sz w:val="20"/>
          <w:szCs w:val="20"/>
        </w:rPr>
        <w:t xml:space="preserve"> Loureiro, Maria Fernanda. “</w:t>
      </w:r>
      <w:proofErr w:type="spellStart"/>
      <w:r w:rsidRPr="00A4243B">
        <w:rPr>
          <w:sz w:val="20"/>
          <w:szCs w:val="20"/>
        </w:rPr>
        <w:t>Biometria</w:t>
      </w:r>
      <w:proofErr w:type="spellEnd"/>
      <w:r w:rsidRPr="00A4243B">
        <w:rPr>
          <w:sz w:val="20"/>
          <w:szCs w:val="20"/>
        </w:rPr>
        <w:t xml:space="preserve">, </w:t>
      </w:r>
      <w:proofErr w:type="spellStart"/>
      <w:r w:rsidRPr="00A4243B">
        <w:rPr>
          <w:sz w:val="20"/>
          <w:szCs w:val="20"/>
        </w:rPr>
        <w:t>autodeterminação</w:t>
      </w:r>
      <w:proofErr w:type="spellEnd"/>
      <w:r w:rsidRPr="00A4243B">
        <w:rPr>
          <w:sz w:val="20"/>
          <w:szCs w:val="20"/>
        </w:rPr>
        <w:t xml:space="preserve"> informativa e </w:t>
      </w:r>
      <w:proofErr w:type="spellStart"/>
      <w:r w:rsidRPr="00A4243B">
        <w:rPr>
          <w:sz w:val="20"/>
          <w:szCs w:val="20"/>
        </w:rPr>
        <w:t>proteção</w:t>
      </w:r>
      <w:proofErr w:type="spellEnd"/>
      <w:r w:rsidRPr="00A4243B">
        <w:rPr>
          <w:sz w:val="20"/>
          <w:szCs w:val="20"/>
        </w:rPr>
        <w:t xml:space="preserve"> de dados </w:t>
      </w:r>
      <w:proofErr w:type="spellStart"/>
      <w:r w:rsidRPr="00A4243B">
        <w:rPr>
          <w:sz w:val="20"/>
          <w:szCs w:val="20"/>
        </w:rPr>
        <w:t>pessoais</w:t>
      </w:r>
      <w:proofErr w:type="spellEnd"/>
      <w:r w:rsidRPr="00A4243B">
        <w:rPr>
          <w:sz w:val="20"/>
          <w:szCs w:val="20"/>
        </w:rPr>
        <w:t xml:space="preserve">”: </w:t>
      </w:r>
      <w:r w:rsidRPr="00A4243B">
        <w:rPr>
          <w:i/>
          <w:sz w:val="20"/>
          <w:szCs w:val="20"/>
        </w:rPr>
        <w:t xml:space="preserve">Revista de </w:t>
      </w:r>
      <w:proofErr w:type="spellStart"/>
      <w:r w:rsidRPr="00A4243B">
        <w:rPr>
          <w:i/>
          <w:sz w:val="20"/>
          <w:szCs w:val="20"/>
        </w:rPr>
        <w:t>Direito</w:t>
      </w:r>
      <w:proofErr w:type="spellEnd"/>
      <w:r w:rsidRPr="00A4243B">
        <w:rPr>
          <w:i/>
          <w:sz w:val="20"/>
          <w:szCs w:val="20"/>
        </w:rPr>
        <w:t xml:space="preserve"> Civil </w:t>
      </w:r>
      <w:proofErr w:type="spellStart"/>
      <w:r w:rsidRPr="00A4243B">
        <w:rPr>
          <w:i/>
          <w:sz w:val="20"/>
          <w:szCs w:val="20"/>
        </w:rPr>
        <w:t>Contemporâneo</w:t>
      </w:r>
      <w:proofErr w:type="spellEnd"/>
      <w:r w:rsidRPr="00A4243B">
        <w:rPr>
          <w:i/>
          <w:sz w:val="20"/>
          <w:szCs w:val="20"/>
        </w:rPr>
        <w:t xml:space="preserve"> - RDCC: </w:t>
      </w:r>
      <w:proofErr w:type="spellStart"/>
      <w:r w:rsidRPr="00A4243B">
        <w:rPr>
          <w:i/>
          <w:sz w:val="20"/>
          <w:szCs w:val="20"/>
        </w:rPr>
        <w:t>Journal</w:t>
      </w:r>
      <w:proofErr w:type="spellEnd"/>
      <w:r w:rsidRPr="00A4243B">
        <w:rPr>
          <w:i/>
          <w:sz w:val="20"/>
          <w:szCs w:val="20"/>
        </w:rPr>
        <w:t xml:space="preserve"> </w:t>
      </w:r>
      <w:proofErr w:type="spellStart"/>
      <w:r w:rsidRPr="00A4243B">
        <w:rPr>
          <w:i/>
          <w:sz w:val="20"/>
          <w:szCs w:val="20"/>
        </w:rPr>
        <w:t>of</w:t>
      </w:r>
      <w:proofErr w:type="spellEnd"/>
      <w:r w:rsidRPr="00A4243B">
        <w:rPr>
          <w:i/>
          <w:sz w:val="20"/>
          <w:szCs w:val="20"/>
        </w:rPr>
        <w:t xml:space="preserve"> </w:t>
      </w:r>
      <w:proofErr w:type="spellStart"/>
      <w:r w:rsidRPr="00A4243B">
        <w:rPr>
          <w:i/>
          <w:sz w:val="20"/>
          <w:szCs w:val="20"/>
        </w:rPr>
        <w:t>Contemporary</w:t>
      </w:r>
      <w:proofErr w:type="spellEnd"/>
      <w:r w:rsidRPr="00A4243B">
        <w:rPr>
          <w:i/>
          <w:sz w:val="20"/>
          <w:szCs w:val="20"/>
        </w:rPr>
        <w:t xml:space="preserve"> Private Law</w:t>
      </w:r>
      <w:r w:rsidRPr="00A4243B">
        <w:rPr>
          <w:sz w:val="20"/>
          <w:szCs w:val="20"/>
        </w:rPr>
        <w:t>, Nº. 36, 2023, págs. 47-74.</w:t>
      </w:r>
    </w:p>
    <w:p w14:paraId="4CFFC05E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7A9883F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Arribas Ruiz, Juan Antonio. “Publicidad en el </w:t>
      </w:r>
      <w:proofErr w:type="spellStart"/>
      <w:r w:rsidRPr="00A4243B">
        <w:rPr>
          <w:sz w:val="20"/>
          <w:szCs w:val="20"/>
        </w:rPr>
        <w:t>ámbito</w:t>
      </w:r>
      <w:proofErr w:type="spellEnd"/>
      <w:r w:rsidRPr="00A4243B">
        <w:rPr>
          <w:sz w:val="20"/>
          <w:szCs w:val="20"/>
        </w:rPr>
        <w:t xml:space="preserve"> financiero. Paquete normativo de </w:t>
      </w:r>
      <w:proofErr w:type="spellStart"/>
      <w:r w:rsidRPr="00A4243B">
        <w:rPr>
          <w:sz w:val="20"/>
          <w:szCs w:val="20"/>
        </w:rPr>
        <w:t>protección</w:t>
      </w:r>
      <w:proofErr w:type="spellEnd"/>
      <w:r w:rsidRPr="00A4243B">
        <w:rPr>
          <w:sz w:val="20"/>
          <w:szCs w:val="20"/>
        </w:rPr>
        <w:t xml:space="preserve"> del inversor minorista. Directiva Europea que regula la </w:t>
      </w:r>
      <w:proofErr w:type="spellStart"/>
      <w:r w:rsidRPr="00A4243B">
        <w:rPr>
          <w:sz w:val="20"/>
          <w:szCs w:val="20"/>
        </w:rPr>
        <w:t>prestación</w:t>
      </w:r>
      <w:proofErr w:type="spellEnd"/>
      <w:r w:rsidRPr="00A4243B">
        <w:rPr>
          <w:sz w:val="20"/>
          <w:szCs w:val="20"/>
        </w:rPr>
        <w:t xml:space="preserve"> de servicios de </w:t>
      </w:r>
      <w:proofErr w:type="spellStart"/>
      <w:r w:rsidRPr="00A4243B">
        <w:rPr>
          <w:sz w:val="20"/>
          <w:szCs w:val="20"/>
        </w:rPr>
        <w:t>inversión</w:t>
      </w:r>
      <w:proofErr w:type="spellEnd"/>
      <w:r w:rsidRPr="00A4243B">
        <w:rPr>
          <w:sz w:val="20"/>
          <w:szCs w:val="20"/>
        </w:rPr>
        <w:t xml:space="preserve"> (MIFID) y la Directiva de Seguros”: </w:t>
      </w:r>
      <w:r w:rsidRPr="00A4243B">
        <w:rPr>
          <w:i/>
          <w:sz w:val="20"/>
          <w:szCs w:val="20"/>
        </w:rPr>
        <w:t>Comunicaciones en propiedad industrial y derecho de la competencia</w:t>
      </w:r>
      <w:r w:rsidRPr="00A4243B">
        <w:rPr>
          <w:sz w:val="20"/>
          <w:szCs w:val="20"/>
        </w:rPr>
        <w:t>, Nº. 101 (enero-abril), 2024, págs. 213-235.</w:t>
      </w:r>
    </w:p>
    <w:p w14:paraId="0A83C618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DDCCBD3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Da Costa Fraga Bastos Torres, André </w:t>
      </w:r>
      <w:proofErr w:type="spellStart"/>
      <w:r w:rsidRPr="00A4243B">
        <w:rPr>
          <w:sz w:val="20"/>
          <w:szCs w:val="20"/>
        </w:rPr>
        <w:t>Gonçalo</w:t>
      </w:r>
      <w:proofErr w:type="spellEnd"/>
      <w:r w:rsidRPr="00A4243B">
        <w:rPr>
          <w:sz w:val="20"/>
          <w:szCs w:val="20"/>
        </w:rPr>
        <w:t>. “</w:t>
      </w:r>
      <w:proofErr w:type="spellStart"/>
      <w:r w:rsidRPr="00A4243B">
        <w:rPr>
          <w:sz w:val="20"/>
          <w:szCs w:val="20"/>
        </w:rPr>
        <w:t>Análise</w:t>
      </w:r>
      <w:proofErr w:type="spellEnd"/>
      <w:r w:rsidRPr="00A4243B">
        <w:rPr>
          <w:sz w:val="20"/>
          <w:szCs w:val="20"/>
        </w:rPr>
        <w:t xml:space="preserve"> da </w:t>
      </w:r>
      <w:proofErr w:type="spellStart"/>
      <w:r w:rsidRPr="00A4243B">
        <w:rPr>
          <w:sz w:val="20"/>
          <w:szCs w:val="20"/>
        </w:rPr>
        <w:t>Resolução</w:t>
      </w:r>
      <w:proofErr w:type="spellEnd"/>
      <w:r w:rsidRPr="00A4243B">
        <w:rPr>
          <w:sz w:val="20"/>
          <w:szCs w:val="20"/>
        </w:rPr>
        <w:t xml:space="preserve"> do Parlamento </w:t>
      </w:r>
      <w:proofErr w:type="spellStart"/>
      <w:r w:rsidRPr="00A4243B">
        <w:rPr>
          <w:sz w:val="20"/>
          <w:szCs w:val="20"/>
        </w:rPr>
        <w:t>Europeu</w:t>
      </w:r>
      <w:proofErr w:type="spellEnd"/>
      <w:r w:rsidRPr="00A4243B">
        <w:rPr>
          <w:sz w:val="20"/>
          <w:szCs w:val="20"/>
        </w:rPr>
        <w:t xml:space="preserve">, de 20 de </w:t>
      </w:r>
      <w:proofErr w:type="spellStart"/>
      <w:r w:rsidRPr="00A4243B">
        <w:rPr>
          <w:sz w:val="20"/>
          <w:szCs w:val="20"/>
        </w:rPr>
        <w:t>Outubro</w:t>
      </w:r>
      <w:proofErr w:type="spellEnd"/>
      <w:r w:rsidRPr="00A4243B">
        <w:rPr>
          <w:sz w:val="20"/>
          <w:szCs w:val="20"/>
        </w:rPr>
        <w:t xml:space="preserve"> de 2020, e da </w:t>
      </w:r>
      <w:proofErr w:type="spellStart"/>
      <w:r w:rsidRPr="00A4243B">
        <w:rPr>
          <w:sz w:val="20"/>
          <w:szCs w:val="20"/>
        </w:rPr>
        <w:t>Proposta</w:t>
      </w:r>
      <w:proofErr w:type="spellEnd"/>
      <w:r w:rsidRPr="00A4243B">
        <w:rPr>
          <w:sz w:val="20"/>
          <w:szCs w:val="20"/>
        </w:rPr>
        <w:t xml:space="preserve"> de Directiva do Parlamento </w:t>
      </w:r>
      <w:proofErr w:type="spellStart"/>
      <w:r w:rsidRPr="00A4243B">
        <w:rPr>
          <w:sz w:val="20"/>
          <w:szCs w:val="20"/>
        </w:rPr>
        <w:t>Europeu</w:t>
      </w:r>
      <w:proofErr w:type="spellEnd"/>
      <w:r w:rsidRPr="00A4243B">
        <w:rPr>
          <w:sz w:val="20"/>
          <w:szCs w:val="20"/>
        </w:rPr>
        <w:t xml:space="preserve"> e do </w:t>
      </w:r>
      <w:proofErr w:type="spellStart"/>
      <w:r w:rsidRPr="00A4243B">
        <w:rPr>
          <w:sz w:val="20"/>
          <w:szCs w:val="20"/>
        </w:rPr>
        <w:t>Conselho</w:t>
      </w:r>
      <w:proofErr w:type="spellEnd"/>
      <w:r w:rsidRPr="00A4243B">
        <w:rPr>
          <w:sz w:val="20"/>
          <w:szCs w:val="20"/>
        </w:rPr>
        <w:t xml:space="preserve"> relativa à </w:t>
      </w:r>
      <w:proofErr w:type="spellStart"/>
      <w:r w:rsidRPr="00A4243B">
        <w:rPr>
          <w:sz w:val="20"/>
          <w:szCs w:val="20"/>
        </w:rPr>
        <w:t>adaptação</w:t>
      </w:r>
      <w:proofErr w:type="spellEnd"/>
      <w:r w:rsidRPr="00A4243B">
        <w:rPr>
          <w:sz w:val="20"/>
          <w:szCs w:val="20"/>
        </w:rPr>
        <w:t xml:space="preserve"> das </w:t>
      </w:r>
      <w:proofErr w:type="spellStart"/>
      <w:r w:rsidRPr="00A4243B">
        <w:rPr>
          <w:sz w:val="20"/>
          <w:szCs w:val="20"/>
        </w:rPr>
        <w:t>regras</w:t>
      </w:r>
      <w:proofErr w:type="spellEnd"/>
      <w:r w:rsidRPr="00A4243B">
        <w:rPr>
          <w:sz w:val="20"/>
          <w:szCs w:val="20"/>
        </w:rPr>
        <w:t xml:space="preserve"> de </w:t>
      </w:r>
      <w:proofErr w:type="spellStart"/>
      <w:r w:rsidRPr="00A4243B">
        <w:rPr>
          <w:sz w:val="20"/>
          <w:szCs w:val="20"/>
        </w:rPr>
        <w:t>responsabilidade</w:t>
      </w:r>
      <w:proofErr w:type="spellEnd"/>
      <w:r w:rsidRPr="00A4243B">
        <w:rPr>
          <w:sz w:val="20"/>
          <w:szCs w:val="20"/>
        </w:rPr>
        <w:t xml:space="preserve"> civil </w:t>
      </w:r>
      <w:proofErr w:type="spellStart"/>
      <w:r w:rsidRPr="00A4243B">
        <w:rPr>
          <w:sz w:val="20"/>
          <w:szCs w:val="20"/>
        </w:rPr>
        <w:t>extracontratual</w:t>
      </w:r>
      <w:proofErr w:type="spellEnd"/>
      <w:r w:rsidRPr="00A4243B">
        <w:rPr>
          <w:sz w:val="20"/>
          <w:szCs w:val="20"/>
        </w:rPr>
        <w:t xml:space="preserve"> à </w:t>
      </w:r>
      <w:proofErr w:type="spellStart"/>
      <w:r w:rsidRPr="00A4243B">
        <w:rPr>
          <w:sz w:val="20"/>
          <w:szCs w:val="20"/>
        </w:rPr>
        <w:t>inteligência</w:t>
      </w:r>
      <w:proofErr w:type="spellEnd"/>
      <w:r w:rsidRPr="00A4243B">
        <w:rPr>
          <w:sz w:val="20"/>
          <w:szCs w:val="20"/>
        </w:rPr>
        <w:t xml:space="preserve"> artificial (Directiva </w:t>
      </w:r>
      <w:proofErr w:type="spellStart"/>
      <w:r w:rsidRPr="00A4243B">
        <w:rPr>
          <w:sz w:val="20"/>
          <w:szCs w:val="20"/>
        </w:rPr>
        <w:t>Responsabilidade</w:t>
      </w:r>
      <w:proofErr w:type="spellEnd"/>
      <w:r w:rsidRPr="00A4243B">
        <w:rPr>
          <w:sz w:val="20"/>
          <w:szCs w:val="20"/>
        </w:rPr>
        <w:t xml:space="preserve"> Civil em </w:t>
      </w:r>
      <w:proofErr w:type="spellStart"/>
      <w:r w:rsidRPr="00A4243B">
        <w:rPr>
          <w:sz w:val="20"/>
          <w:szCs w:val="20"/>
        </w:rPr>
        <w:t>Matéria</w:t>
      </w:r>
      <w:proofErr w:type="spellEnd"/>
      <w:r w:rsidRPr="00A4243B">
        <w:rPr>
          <w:sz w:val="20"/>
          <w:szCs w:val="20"/>
        </w:rPr>
        <w:t xml:space="preserve"> de IA)”: </w:t>
      </w:r>
      <w:r w:rsidRPr="00A4243B">
        <w:rPr>
          <w:i/>
          <w:sz w:val="20"/>
          <w:szCs w:val="20"/>
        </w:rPr>
        <w:t xml:space="preserve">Revista Electrónica de </w:t>
      </w:r>
      <w:proofErr w:type="spellStart"/>
      <w:r w:rsidRPr="00A4243B">
        <w:rPr>
          <w:i/>
          <w:sz w:val="20"/>
          <w:szCs w:val="20"/>
        </w:rPr>
        <w:t>Direito</w:t>
      </w:r>
      <w:proofErr w:type="spellEnd"/>
      <w:r w:rsidRPr="00A4243B">
        <w:rPr>
          <w:sz w:val="20"/>
          <w:szCs w:val="20"/>
        </w:rPr>
        <w:t>.</w:t>
      </w:r>
      <w:r w:rsidRPr="00A4243B">
        <w:rPr>
          <w:i/>
          <w:sz w:val="20"/>
          <w:szCs w:val="20"/>
        </w:rPr>
        <w:t xml:space="preserve"> RED</w:t>
      </w:r>
      <w:r w:rsidRPr="00A4243B">
        <w:rPr>
          <w:sz w:val="20"/>
          <w:szCs w:val="20"/>
        </w:rPr>
        <w:t>, Vol. 34, Nº. 2, 2024.</w:t>
      </w:r>
    </w:p>
    <w:p w14:paraId="7C53486D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A844FEB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Giménez Sanmartín, Luis. “El beneficio de exoneración del pasivo insatisfecho tras la reforma del texto refundido de la Ley concursal: nuevas limitaciones”: </w:t>
      </w:r>
      <w:proofErr w:type="spellStart"/>
      <w:r w:rsidRPr="00A4243B">
        <w:rPr>
          <w:i/>
          <w:sz w:val="20"/>
          <w:szCs w:val="20"/>
        </w:rPr>
        <w:t>CEFLegal</w:t>
      </w:r>
      <w:proofErr w:type="spellEnd"/>
      <w:r w:rsidRPr="00A4243B">
        <w:rPr>
          <w:i/>
          <w:sz w:val="20"/>
          <w:szCs w:val="20"/>
        </w:rPr>
        <w:t>: Revista práctica de derecho. Comentarios y casos prácticos</w:t>
      </w:r>
      <w:r w:rsidRPr="00A4243B">
        <w:rPr>
          <w:sz w:val="20"/>
          <w:szCs w:val="20"/>
        </w:rPr>
        <w:t>, Nº. 282, 2024, págs. 5-28.</w:t>
      </w:r>
    </w:p>
    <w:p w14:paraId="220E8944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50FAC45C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Martínez </w:t>
      </w:r>
      <w:proofErr w:type="spellStart"/>
      <w:r w:rsidRPr="00A4243B">
        <w:rPr>
          <w:sz w:val="20"/>
          <w:szCs w:val="20"/>
        </w:rPr>
        <w:t>Martínez</w:t>
      </w:r>
      <w:proofErr w:type="spellEnd"/>
      <w:r w:rsidRPr="00A4243B">
        <w:rPr>
          <w:sz w:val="20"/>
          <w:szCs w:val="20"/>
        </w:rPr>
        <w:t xml:space="preserve">, Ricard. “Inteligencia Artificial y Protección de Datos”: </w:t>
      </w:r>
      <w:r w:rsidRPr="00A4243B">
        <w:rPr>
          <w:i/>
          <w:sz w:val="20"/>
          <w:szCs w:val="20"/>
        </w:rPr>
        <w:t>La Ley privacidad</w:t>
      </w:r>
      <w:r w:rsidRPr="00A4243B">
        <w:rPr>
          <w:sz w:val="20"/>
          <w:szCs w:val="20"/>
        </w:rPr>
        <w:t>, Nº. 20, 2024.</w:t>
      </w:r>
    </w:p>
    <w:p w14:paraId="22B4BF5C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3F4BDD08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Hernández Sainz, Esther. “Conversión del tipo de interés variable en un tipo fijo en los préstamos hipotecarios como remedio ante la subida de los tipos de interés tras el RD-Ley 19/2022”: </w:t>
      </w:r>
      <w:r w:rsidRPr="00A4243B">
        <w:rPr>
          <w:i/>
          <w:sz w:val="20"/>
          <w:szCs w:val="20"/>
        </w:rPr>
        <w:t>Revista Crítica de Derecho Inmobiliario</w:t>
      </w:r>
      <w:r w:rsidRPr="00A4243B">
        <w:rPr>
          <w:sz w:val="20"/>
          <w:szCs w:val="20"/>
        </w:rPr>
        <w:t>, Año nº 100, Nº 803, 2024, págs. 1429-1488.</w:t>
      </w:r>
    </w:p>
    <w:p w14:paraId="0B1DF51B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5C6B4D0D" w14:textId="77777777" w:rsidR="00A4243B" w:rsidRP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Rodríguez de Almeida, Mª Goñi. “La distribución de la responsabilidad hipotecaria y su relación con la indivisibilidad de la hipoteca”: </w:t>
      </w:r>
      <w:r w:rsidRPr="00A4243B">
        <w:rPr>
          <w:i/>
          <w:sz w:val="20"/>
          <w:szCs w:val="20"/>
        </w:rPr>
        <w:t>Revista Crítica de Derecho Inmobiliario</w:t>
      </w:r>
      <w:r w:rsidRPr="00A4243B">
        <w:rPr>
          <w:sz w:val="20"/>
          <w:szCs w:val="20"/>
        </w:rPr>
        <w:t>, Año nº 100, Nº 803, 2024, págs. 1817-1839.</w:t>
      </w:r>
    </w:p>
    <w:p w14:paraId="1B77E110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lastRenderedPageBreak/>
        <w:t xml:space="preserve">Reinhart Schuller, Robert. “Gastos hipotecarios. sobre el "dies a quo" tras las sentencias del TJUE”: </w:t>
      </w:r>
      <w:r w:rsidRPr="00A4243B">
        <w:rPr>
          <w:i/>
          <w:sz w:val="20"/>
          <w:szCs w:val="20"/>
        </w:rPr>
        <w:t>Revista Crítica de Derecho Inmobiliario</w:t>
      </w:r>
      <w:r w:rsidRPr="00A4243B">
        <w:rPr>
          <w:sz w:val="20"/>
          <w:szCs w:val="20"/>
        </w:rPr>
        <w:t>, Año nº 100, Nº 803, 2024, págs. 1841-1863.</w:t>
      </w:r>
    </w:p>
    <w:p w14:paraId="1750C7A1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101E785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Rodin, </w:t>
      </w:r>
      <w:proofErr w:type="spellStart"/>
      <w:r w:rsidRPr="00A4243B">
        <w:rPr>
          <w:sz w:val="20"/>
          <w:szCs w:val="20"/>
        </w:rPr>
        <w:t>Sinisa</w:t>
      </w:r>
      <w:proofErr w:type="spellEnd"/>
      <w:r w:rsidRPr="00A4243B">
        <w:rPr>
          <w:sz w:val="20"/>
          <w:szCs w:val="20"/>
        </w:rPr>
        <w:t xml:space="preserve">. “Derechos de los pasajeros aéreos: la falta de personal aeroportuario para la carga de equipajes que causó un gran retraso en un vuelo puede constituir una «circunstancia extraordinaria»: TJ, Sala Novena, S 16 May. 2024. Asunto. C–405/23: </w:t>
      </w:r>
      <w:proofErr w:type="spellStart"/>
      <w:r w:rsidRPr="00A4243B">
        <w:rPr>
          <w:sz w:val="20"/>
          <w:szCs w:val="20"/>
        </w:rPr>
        <w:t>Touristic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Aviation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Services</w:t>
      </w:r>
      <w:proofErr w:type="spellEnd"/>
      <w:r w:rsidRPr="00A4243B">
        <w:rPr>
          <w:sz w:val="20"/>
          <w:szCs w:val="20"/>
        </w:rPr>
        <w:t xml:space="preserve">”: </w:t>
      </w:r>
      <w:r w:rsidRPr="00A4243B">
        <w:rPr>
          <w:i/>
          <w:sz w:val="20"/>
          <w:szCs w:val="20"/>
        </w:rPr>
        <w:t>La Ley Unión Europea</w:t>
      </w:r>
      <w:r w:rsidRPr="00A4243B">
        <w:rPr>
          <w:sz w:val="20"/>
          <w:szCs w:val="20"/>
        </w:rPr>
        <w:t>, número 126, 2024.</w:t>
      </w:r>
    </w:p>
    <w:p w14:paraId="11073585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211BC8D0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Blanes Jover, Jorge. “Comentarios a la STS 857/2024, de 14 de junio, sobre reclamación de gastos hipotecarios, analizados desde el punto de vista de la Unión Europea”: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10537, 2024.</w:t>
      </w:r>
    </w:p>
    <w:p w14:paraId="5C9CF479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1F391D4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Vitalis, </w:t>
      </w:r>
      <w:proofErr w:type="spellStart"/>
      <w:r w:rsidRPr="00A4243B">
        <w:rPr>
          <w:sz w:val="20"/>
          <w:szCs w:val="20"/>
        </w:rPr>
        <w:t>Nils</w:t>
      </w:r>
      <w:proofErr w:type="spellEnd"/>
      <w:r w:rsidRPr="00A4243B">
        <w:rPr>
          <w:sz w:val="20"/>
          <w:szCs w:val="20"/>
        </w:rPr>
        <w:t xml:space="preserve">. “Le </w:t>
      </w:r>
      <w:proofErr w:type="spellStart"/>
      <w:r w:rsidRPr="00A4243B">
        <w:rPr>
          <w:sz w:val="20"/>
          <w:szCs w:val="20"/>
        </w:rPr>
        <w:t>renforcement</w:t>
      </w:r>
      <w:proofErr w:type="spellEnd"/>
      <w:r w:rsidRPr="00A4243B">
        <w:rPr>
          <w:sz w:val="20"/>
          <w:szCs w:val="20"/>
        </w:rPr>
        <w:t xml:space="preserve"> de la </w:t>
      </w:r>
      <w:proofErr w:type="spellStart"/>
      <w:r w:rsidRPr="00A4243B">
        <w:rPr>
          <w:sz w:val="20"/>
          <w:szCs w:val="20"/>
        </w:rPr>
        <w:t>protection</w:t>
      </w:r>
      <w:proofErr w:type="spellEnd"/>
      <w:r w:rsidRPr="00A4243B">
        <w:rPr>
          <w:sz w:val="20"/>
          <w:szCs w:val="20"/>
        </w:rPr>
        <w:t xml:space="preserve"> des </w:t>
      </w:r>
      <w:proofErr w:type="spellStart"/>
      <w:r w:rsidRPr="00A4243B">
        <w:rPr>
          <w:sz w:val="20"/>
          <w:szCs w:val="20"/>
        </w:rPr>
        <w:t>voyageurs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ferroviaires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depuis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l'entrée</w:t>
      </w:r>
      <w:proofErr w:type="spellEnd"/>
      <w:r w:rsidRPr="00A4243B">
        <w:rPr>
          <w:sz w:val="20"/>
          <w:szCs w:val="20"/>
        </w:rPr>
        <w:t xml:space="preserve"> en </w:t>
      </w:r>
      <w:proofErr w:type="spellStart"/>
      <w:r w:rsidRPr="00A4243B">
        <w:rPr>
          <w:sz w:val="20"/>
          <w:szCs w:val="20"/>
        </w:rPr>
        <w:t>vigueur</w:t>
      </w:r>
      <w:proofErr w:type="spellEnd"/>
      <w:r w:rsidRPr="00A4243B">
        <w:rPr>
          <w:sz w:val="20"/>
          <w:szCs w:val="20"/>
        </w:rPr>
        <w:t xml:space="preserve"> de </w:t>
      </w:r>
      <w:proofErr w:type="spellStart"/>
      <w:r w:rsidRPr="00A4243B">
        <w:rPr>
          <w:sz w:val="20"/>
          <w:szCs w:val="20"/>
        </w:rPr>
        <w:t>règlement</w:t>
      </w:r>
      <w:proofErr w:type="spellEnd"/>
      <w:r w:rsidRPr="00A4243B">
        <w:rPr>
          <w:sz w:val="20"/>
          <w:szCs w:val="20"/>
        </w:rPr>
        <w:t xml:space="preserve"> 2021/782 (</w:t>
      </w:r>
      <w:proofErr w:type="spellStart"/>
      <w:r w:rsidRPr="00A4243B">
        <w:rPr>
          <w:sz w:val="20"/>
          <w:szCs w:val="20"/>
        </w:rPr>
        <w:t>dit</w:t>
      </w:r>
      <w:proofErr w:type="spellEnd"/>
      <w:r w:rsidRPr="00A4243B">
        <w:rPr>
          <w:sz w:val="20"/>
          <w:szCs w:val="20"/>
        </w:rPr>
        <w:t xml:space="preserve"> RPRR)”: </w:t>
      </w:r>
      <w:proofErr w:type="spellStart"/>
      <w:r w:rsidRPr="00A4243B">
        <w:rPr>
          <w:i/>
          <w:sz w:val="20"/>
          <w:szCs w:val="20"/>
        </w:rPr>
        <w:t>Revue</w:t>
      </w:r>
      <w:proofErr w:type="spellEnd"/>
      <w:r w:rsidRPr="00A4243B">
        <w:rPr>
          <w:i/>
          <w:sz w:val="20"/>
          <w:szCs w:val="20"/>
        </w:rPr>
        <w:t xml:space="preserve"> de </w:t>
      </w:r>
      <w:proofErr w:type="spellStart"/>
      <w:r w:rsidRPr="00A4243B">
        <w:rPr>
          <w:i/>
          <w:sz w:val="20"/>
          <w:szCs w:val="20"/>
        </w:rPr>
        <w:t>l'Union</w:t>
      </w:r>
      <w:proofErr w:type="spellEnd"/>
      <w:r w:rsidRPr="00A4243B">
        <w:rPr>
          <w:i/>
          <w:sz w:val="20"/>
          <w:szCs w:val="20"/>
        </w:rPr>
        <w:t xml:space="preserve"> </w:t>
      </w:r>
      <w:proofErr w:type="spellStart"/>
      <w:r w:rsidRPr="00A4243B">
        <w:rPr>
          <w:i/>
          <w:sz w:val="20"/>
          <w:szCs w:val="20"/>
        </w:rPr>
        <w:t>Européenne</w:t>
      </w:r>
      <w:proofErr w:type="spellEnd"/>
      <w:r w:rsidRPr="00A4243B">
        <w:rPr>
          <w:sz w:val="20"/>
          <w:szCs w:val="20"/>
        </w:rPr>
        <w:t>, Nº 680, 2024, págs. 439-442.</w:t>
      </w:r>
    </w:p>
    <w:p w14:paraId="0C5BB8E7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382E49AF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Trujillo Cabrera, Carlos. “Los nuevos cookie </w:t>
      </w:r>
      <w:proofErr w:type="spellStart"/>
      <w:r w:rsidRPr="00A4243B">
        <w:rPr>
          <w:sz w:val="20"/>
          <w:szCs w:val="20"/>
        </w:rPr>
        <w:t>walls</w:t>
      </w:r>
      <w:proofErr w:type="spellEnd"/>
      <w:r w:rsidRPr="00A4243B">
        <w:rPr>
          <w:sz w:val="20"/>
          <w:szCs w:val="20"/>
        </w:rPr>
        <w:t>: «</w:t>
      </w:r>
      <w:proofErr w:type="spellStart"/>
      <w:r w:rsidRPr="00A4243B">
        <w:rPr>
          <w:sz w:val="20"/>
          <w:szCs w:val="20"/>
        </w:rPr>
        <w:t>consent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or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pay</w:t>
      </w:r>
      <w:proofErr w:type="spellEnd"/>
      <w:r w:rsidRPr="00A4243B">
        <w:rPr>
          <w:sz w:val="20"/>
          <w:szCs w:val="20"/>
        </w:rPr>
        <w:t xml:space="preserve">». A propósito de la Sentencia del Tribunal de Justicia de la Unión Europea de 4 de julio de 2023”: </w:t>
      </w:r>
      <w:r w:rsidRPr="00A4243B">
        <w:rPr>
          <w:i/>
          <w:sz w:val="20"/>
          <w:szCs w:val="20"/>
        </w:rPr>
        <w:t>Revista de Derecho Civil</w:t>
      </w:r>
      <w:r w:rsidRPr="00A4243B">
        <w:rPr>
          <w:sz w:val="20"/>
          <w:szCs w:val="20"/>
        </w:rPr>
        <w:t>, Vol. 11, Nº. 2, 2024, págs. 75-112.</w:t>
      </w:r>
    </w:p>
    <w:p w14:paraId="35D11B75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2CD85FB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Díaz </w:t>
      </w:r>
      <w:proofErr w:type="spellStart"/>
      <w:r w:rsidRPr="00A4243B">
        <w:rPr>
          <w:sz w:val="20"/>
          <w:szCs w:val="20"/>
        </w:rPr>
        <w:t>Cabiale</w:t>
      </w:r>
      <w:proofErr w:type="spellEnd"/>
      <w:r w:rsidRPr="00A4243B">
        <w:rPr>
          <w:sz w:val="20"/>
          <w:szCs w:val="20"/>
        </w:rPr>
        <w:t>, José Antonio. “Activismo judicial en materia de consumidores y el derecho al Juez imparcial y el principio dispositivo: el Tribunal, las normas imperativas y el orden público (</w:t>
      </w:r>
      <w:proofErr w:type="spellStart"/>
      <w:r w:rsidRPr="00A4243B">
        <w:rPr>
          <w:sz w:val="20"/>
          <w:szCs w:val="20"/>
        </w:rPr>
        <w:t>ossia</w:t>
      </w:r>
      <w:proofErr w:type="spellEnd"/>
      <w:r w:rsidRPr="00A4243B">
        <w:rPr>
          <w:sz w:val="20"/>
          <w:szCs w:val="20"/>
        </w:rPr>
        <w:t xml:space="preserve"> una cosa rara) (Primera Parte)”: </w:t>
      </w:r>
      <w:r w:rsidRPr="00A4243B">
        <w:rPr>
          <w:i/>
          <w:sz w:val="20"/>
          <w:szCs w:val="20"/>
        </w:rPr>
        <w:t>Revista General de Derecho Procesal</w:t>
      </w:r>
      <w:r w:rsidRPr="00A4243B">
        <w:rPr>
          <w:sz w:val="20"/>
          <w:szCs w:val="20"/>
        </w:rPr>
        <w:t>, ISSN-e 1696-9642, Nº. 63, 2024.</w:t>
      </w:r>
    </w:p>
    <w:p w14:paraId="3ECFAE83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0199CBFF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Reyes López, María José. “El "dies a quo" de la prescripción por cantidades anticipadas en cláusulas abusivas”: </w:t>
      </w:r>
      <w:r w:rsidRPr="00A4243B">
        <w:rPr>
          <w:i/>
          <w:sz w:val="20"/>
          <w:szCs w:val="20"/>
        </w:rPr>
        <w:t>Revista Jurídica del Notariado</w:t>
      </w:r>
      <w:r w:rsidRPr="00A4243B">
        <w:rPr>
          <w:sz w:val="20"/>
          <w:szCs w:val="20"/>
        </w:rPr>
        <w:t>, Nº 118, 2024, págs. 371-410.</w:t>
      </w:r>
    </w:p>
    <w:p w14:paraId="3217316B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0433B900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>Campos Rivera, Gonzalo. “</w:t>
      </w:r>
      <w:proofErr w:type="spellStart"/>
      <w:r w:rsidRPr="00A4243B">
        <w:rPr>
          <w:sz w:val="20"/>
          <w:szCs w:val="20"/>
        </w:rPr>
        <w:t>Credit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Scoring</w:t>
      </w:r>
      <w:proofErr w:type="spellEnd"/>
      <w:r w:rsidRPr="00A4243B">
        <w:rPr>
          <w:sz w:val="20"/>
          <w:szCs w:val="20"/>
        </w:rPr>
        <w:t xml:space="preserve"> como tratamiento de datos personales a la luz del RGPD. Análisis de su finalidad e influencia en los posibles usos secundarios de los datos”: </w:t>
      </w:r>
      <w:r w:rsidRPr="00A4243B">
        <w:rPr>
          <w:i/>
          <w:sz w:val="20"/>
          <w:szCs w:val="20"/>
        </w:rPr>
        <w:t>RDUNED. Revista de derecho UNED</w:t>
      </w:r>
      <w:r w:rsidRPr="00A4243B">
        <w:rPr>
          <w:sz w:val="20"/>
          <w:szCs w:val="20"/>
        </w:rPr>
        <w:t>, Nº. 33, 2024, págs. 111-150.</w:t>
      </w:r>
    </w:p>
    <w:p w14:paraId="4066ACDC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F4CF3CA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Morán Arias, Manuel Israel. “Seguros de personas y deber de declaración del riesgo: Jurisprudencia reciente sobre el artículo 10 LCS”: </w:t>
      </w:r>
      <w:r w:rsidRPr="00A4243B">
        <w:rPr>
          <w:i/>
          <w:sz w:val="20"/>
          <w:szCs w:val="20"/>
        </w:rPr>
        <w:t>RDUNED. Revista de derecho UNED</w:t>
      </w:r>
      <w:r w:rsidRPr="00A4243B">
        <w:rPr>
          <w:sz w:val="20"/>
          <w:szCs w:val="20"/>
        </w:rPr>
        <w:t>, Nº. 33, 2024, págs. 541-558.</w:t>
      </w:r>
    </w:p>
    <w:p w14:paraId="3E024286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563179F6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Subuh</w:t>
      </w:r>
      <w:proofErr w:type="spellEnd"/>
      <w:r w:rsidRPr="00A4243B">
        <w:rPr>
          <w:sz w:val="20"/>
          <w:szCs w:val="20"/>
        </w:rPr>
        <w:t xml:space="preserve"> Falero, Nader. “La responsabilidad civil derivada de productos defectuosos. Situación actual y análisis de la propuesta de una nueva directiva”: </w:t>
      </w:r>
      <w:r w:rsidRPr="00A4243B">
        <w:rPr>
          <w:i/>
          <w:sz w:val="20"/>
          <w:szCs w:val="20"/>
        </w:rPr>
        <w:t>Responsabilidad civil, seguro y trafico: cuaderno jurídico</w:t>
      </w:r>
      <w:r w:rsidRPr="00A4243B">
        <w:rPr>
          <w:sz w:val="20"/>
          <w:szCs w:val="20"/>
        </w:rPr>
        <w:t>, Nº. 87, 2024, págs. 11-25.</w:t>
      </w:r>
    </w:p>
    <w:p w14:paraId="77BED6E8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320AA55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Mendoza </w:t>
      </w:r>
      <w:proofErr w:type="spellStart"/>
      <w:r w:rsidRPr="00A4243B">
        <w:rPr>
          <w:sz w:val="20"/>
          <w:szCs w:val="20"/>
        </w:rPr>
        <w:t>Losana</w:t>
      </w:r>
      <w:proofErr w:type="spellEnd"/>
      <w:r w:rsidRPr="00A4243B">
        <w:rPr>
          <w:sz w:val="20"/>
          <w:szCs w:val="20"/>
        </w:rPr>
        <w:t xml:space="preserve">, Ana I.  “Abusividad de la modificación unilateral de precios en contratos de servicios esenciales: comentario a la STS 1694/2023, de 4 diciembre (RJ 2023, 6117)”: </w:t>
      </w:r>
      <w:r w:rsidRPr="00A4243B">
        <w:rPr>
          <w:i/>
          <w:sz w:val="20"/>
          <w:szCs w:val="20"/>
        </w:rPr>
        <w:t>Cuadernos Civitas de jurisprudencia civil</w:t>
      </w:r>
      <w:r w:rsidRPr="00A4243B">
        <w:rPr>
          <w:sz w:val="20"/>
          <w:szCs w:val="20"/>
        </w:rPr>
        <w:t>, Nº 125, 2024, págs. 257-270.</w:t>
      </w:r>
    </w:p>
    <w:p w14:paraId="6F478661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57336228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Hijas Cid, E. “Las compras con financiación hipotecaria tras la sentencia del Tribunal Supremo de 8 de mayo de 2024”: </w:t>
      </w:r>
      <w:r w:rsidRPr="00A4243B">
        <w:rPr>
          <w:i/>
          <w:sz w:val="20"/>
          <w:szCs w:val="20"/>
        </w:rPr>
        <w:t>El notario del siglo XXI: revista del Colegio Notarial de Madrid</w:t>
      </w:r>
      <w:r w:rsidRPr="00A4243B">
        <w:rPr>
          <w:sz w:val="20"/>
          <w:szCs w:val="20"/>
        </w:rPr>
        <w:t>, Nº. 116, 2024, págs. 28-31.</w:t>
      </w:r>
    </w:p>
    <w:p w14:paraId="25FB1A12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9498C38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Hernández </w:t>
      </w:r>
      <w:proofErr w:type="spellStart"/>
      <w:r w:rsidRPr="00A4243B">
        <w:rPr>
          <w:sz w:val="20"/>
          <w:szCs w:val="20"/>
        </w:rPr>
        <w:t>Meni</w:t>
      </w:r>
      <w:proofErr w:type="spellEnd"/>
      <w:r w:rsidRPr="00A4243B">
        <w:rPr>
          <w:sz w:val="20"/>
          <w:szCs w:val="20"/>
        </w:rPr>
        <w:t xml:space="preserve">, Ignacio. “Resistencia de la fianza a la exoneración del deudor y objetivos del mecanismo de segunda oportunidad”: </w:t>
      </w:r>
      <w:r w:rsidRPr="00A4243B">
        <w:rPr>
          <w:i/>
          <w:sz w:val="20"/>
          <w:szCs w:val="20"/>
        </w:rPr>
        <w:t>Cuadernos de derecho privado: CDP</w:t>
      </w:r>
      <w:r w:rsidRPr="00A4243B">
        <w:rPr>
          <w:sz w:val="20"/>
          <w:szCs w:val="20"/>
        </w:rPr>
        <w:t>, Nº. 9, 2024, págs. 76-98.</w:t>
      </w:r>
    </w:p>
    <w:p w14:paraId="2D23EE7F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5952B91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lastRenderedPageBreak/>
        <w:t xml:space="preserve">Botero, Julián; Domínguez, María Paula; Martínez, Sofía; Quintero, Paula. “El vacío legal existente en la relación contractual entre oferente y consumidor en el </w:t>
      </w:r>
      <w:proofErr w:type="spellStart"/>
      <w:r w:rsidRPr="00A4243B">
        <w:rPr>
          <w:sz w:val="20"/>
          <w:szCs w:val="20"/>
        </w:rPr>
        <w:t>negodio</w:t>
      </w:r>
      <w:proofErr w:type="spellEnd"/>
      <w:r w:rsidRPr="00A4243B">
        <w:rPr>
          <w:sz w:val="20"/>
          <w:szCs w:val="20"/>
        </w:rPr>
        <w:t xml:space="preserve"> jurídico de </w:t>
      </w:r>
      <w:proofErr w:type="spellStart"/>
      <w:r w:rsidRPr="00A4243B">
        <w:rPr>
          <w:sz w:val="20"/>
          <w:szCs w:val="20"/>
        </w:rPr>
        <w:t>AirBNB</w:t>
      </w:r>
      <w:proofErr w:type="spellEnd"/>
      <w:r w:rsidRPr="00A4243B">
        <w:rPr>
          <w:sz w:val="20"/>
          <w:szCs w:val="20"/>
        </w:rPr>
        <w:t xml:space="preserve"> dentro del ordenamiento jurídico colombiano”: </w:t>
      </w:r>
      <w:proofErr w:type="spellStart"/>
      <w:r w:rsidRPr="00A4243B">
        <w:rPr>
          <w:i/>
          <w:sz w:val="20"/>
          <w:szCs w:val="20"/>
        </w:rPr>
        <w:t>Universitas</w:t>
      </w:r>
      <w:proofErr w:type="spellEnd"/>
      <w:r w:rsidRPr="00A4243B">
        <w:rPr>
          <w:i/>
          <w:sz w:val="20"/>
          <w:szCs w:val="20"/>
        </w:rPr>
        <w:t xml:space="preserve"> Estudiantes</w:t>
      </w:r>
      <w:r w:rsidRPr="00A4243B">
        <w:rPr>
          <w:sz w:val="20"/>
          <w:szCs w:val="20"/>
        </w:rPr>
        <w:t>, Nº. 29, 2024, págs. 11-30.</w:t>
      </w:r>
    </w:p>
    <w:p w14:paraId="56813C53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06B530BF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Zambrano Olivera, Mariana; Rodríguez León, Lina Andrea; Duque López, Valentina. “La reglamentación de los títulos valores electrónicos: un camino hacia la consolidación del comercio electrónico”: </w:t>
      </w:r>
      <w:proofErr w:type="spellStart"/>
      <w:r w:rsidRPr="00A4243B">
        <w:rPr>
          <w:i/>
          <w:sz w:val="20"/>
          <w:szCs w:val="20"/>
        </w:rPr>
        <w:t>Universitas</w:t>
      </w:r>
      <w:proofErr w:type="spellEnd"/>
      <w:r w:rsidRPr="00A4243B">
        <w:rPr>
          <w:i/>
          <w:sz w:val="20"/>
          <w:szCs w:val="20"/>
        </w:rPr>
        <w:t xml:space="preserve"> Estudiantes</w:t>
      </w:r>
      <w:r w:rsidRPr="00A4243B">
        <w:rPr>
          <w:sz w:val="20"/>
          <w:szCs w:val="20"/>
        </w:rPr>
        <w:t>, Nº. 29, 2024, págs. 109-132.</w:t>
      </w:r>
    </w:p>
    <w:p w14:paraId="36F43337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701BC568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De las Salas Isaza, Juliana; </w:t>
      </w:r>
      <w:proofErr w:type="spellStart"/>
      <w:r w:rsidRPr="00A4243B">
        <w:rPr>
          <w:sz w:val="20"/>
          <w:szCs w:val="20"/>
        </w:rPr>
        <w:t>Armisén</w:t>
      </w:r>
      <w:proofErr w:type="spellEnd"/>
      <w:r w:rsidRPr="00A4243B">
        <w:rPr>
          <w:sz w:val="20"/>
          <w:szCs w:val="20"/>
        </w:rPr>
        <w:t xml:space="preserve"> Ruiz, María José; Barrero Ramírez, Laura; Restrepo de la Roche, María José. “Naturaleza jurídica de los perfiles en Instagram destinados a la comercialización de bienes y servicios: ¿pueden ser considerados establecimientos de comercio?”: </w:t>
      </w:r>
      <w:proofErr w:type="spellStart"/>
      <w:r w:rsidRPr="00A4243B">
        <w:rPr>
          <w:i/>
          <w:sz w:val="20"/>
          <w:szCs w:val="20"/>
        </w:rPr>
        <w:t>Universitas</w:t>
      </w:r>
      <w:proofErr w:type="spellEnd"/>
      <w:r w:rsidRPr="00A4243B">
        <w:rPr>
          <w:i/>
          <w:sz w:val="20"/>
          <w:szCs w:val="20"/>
        </w:rPr>
        <w:t xml:space="preserve"> Estudiantes</w:t>
      </w:r>
      <w:r w:rsidRPr="00A4243B">
        <w:rPr>
          <w:sz w:val="20"/>
          <w:szCs w:val="20"/>
        </w:rPr>
        <w:t>, Nº. 29, 2024, págs. 151-176.</w:t>
      </w:r>
    </w:p>
    <w:p w14:paraId="515D9082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7471258F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De Miguel Asensio, Pedro Alberto. “Límites a la licitud de los modelos de «consentimiento o pago» en materia de datos personales”: </w:t>
      </w:r>
      <w:r w:rsidRPr="00A4243B">
        <w:rPr>
          <w:i/>
          <w:sz w:val="20"/>
          <w:szCs w:val="20"/>
        </w:rPr>
        <w:t>La Ley Unión Europea</w:t>
      </w:r>
      <w:r w:rsidRPr="00A4243B">
        <w:rPr>
          <w:sz w:val="20"/>
          <w:szCs w:val="20"/>
        </w:rPr>
        <w:t>, número 127, 2024 (Ejemplar dedicado a: Límites a la licitud de los modelos de "consentimiento o pago" en materia de datos personales).</w:t>
      </w:r>
    </w:p>
    <w:p w14:paraId="0D7DA8AA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33BAC5AD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López Díaz Logo, Patricia. “Las prácticas abusivas como un atentado a la dignidad del consumidor: Una aproximación y sistematización desde el derecho chileno”: </w:t>
      </w:r>
      <w:r w:rsidRPr="00A4243B">
        <w:rPr>
          <w:i/>
          <w:sz w:val="20"/>
          <w:szCs w:val="20"/>
        </w:rPr>
        <w:t>Revista de Derecho</w:t>
      </w:r>
      <w:r w:rsidRPr="00A4243B">
        <w:rPr>
          <w:sz w:val="20"/>
          <w:szCs w:val="20"/>
        </w:rPr>
        <w:t>, Nº. 255, 2024, págs. 15-51.</w:t>
      </w:r>
    </w:p>
    <w:p w14:paraId="28BC48A4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1F3E58E3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Delgado Fredes Logo, Yoselin. “Consumidores con vulnerabilidad agravada o </w:t>
      </w:r>
      <w:proofErr w:type="spellStart"/>
      <w:r w:rsidRPr="00A4243B">
        <w:rPr>
          <w:sz w:val="20"/>
          <w:szCs w:val="20"/>
        </w:rPr>
        <w:t>hipervulnerables</w:t>
      </w:r>
      <w:proofErr w:type="spellEnd"/>
      <w:r w:rsidRPr="00A4243B">
        <w:rPr>
          <w:sz w:val="20"/>
          <w:szCs w:val="20"/>
        </w:rPr>
        <w:t xml:space="preserve"> como categoría jurídica en chile: Concepto y medidas de protección en nuestro ordenamiento jurídico”: </w:t>
      </w:r>
      <w:r w:rsidRPr="00A4243B">
        <w:rPr>
          <w:i/>
          <w:sz w:val="20"/>
          <w:szCs w:val="20"/>
        </w:rPr>
        <w:t>Revista de Derecho</w:t>
      </w:r>
      <w:r w:rsidRPr="00A4243B">
        <w:rPr>
          <w:sz w:val="20"/>
          <w:szCs w:val="20"/>
        </w:rPr>
        <w:t>, Nº. 255, 2024, págs. 229-251.</w:t>
      </w:r>
    </w:p>
    <w:p w14:paraId="5A3B8EF9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35E4CA8B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Planas </w:t>
      </w:r>
      <w:proofErr w:type="spellStart"/>
      <w:r w:rsidRPr="00A4243B">
        <w:rPr>
          <w:sz w:val="20"/>
          <w:szCs w:val="20"/>
        </w:rPr>
        <w:t>Ballvé</w:t>
      </w:r>
      <w:proofErr w:type="spellEnd"/>
      <w:r w:rsidRPr="00A4243B">
        <w:rPr>
          <w:sz w:val="20"/>
          <w:szCs w:val="20"/>
        </w:rPr>
        <w:t xml:space="preserve">, María Logo. “El deber de declaración del riesgo en el contrato de seguro”: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10540, 2024.</w:t>
      </w:r>
    </w:p>
    <w:p w14:paraId="39E8C6AA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253AF450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Velázquez </w:t>
      </w:r>
      <w:proofErr w:type="spellStart"/>
      <w:r w:rsidRPr="00A4243B">
        <w:rPr>
          <w:sz w:val="20"/>
          <w:szCs w:val="20"/>
        </w:rPr>
        <w:t>Vioque</w:t>
      </w:r>
      <w:proofErr w:type="spellEnd"/>
      <w:r w:rsidRPr="00A4243B">
        <w:rPr>
          <w:sz w:val="20"/>
          <w:szCs w:val="20"/>
        </w:rPr>
        <w:t xml:space="preserve">, Sergio. “La nueva litigación financiera: la autoridad administrativa independiente de defensa del cliente financiero y las acciones colectivas”: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10540, 2024.</w:t>
      </w:r>
    </w:p>
    <w:p w14:paraId="321A4A4A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1BB7548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Nacea</w:t>
      </w:r>
      <w:proofErr w:type="spellEnd"/>
      <w:r w:rsidRPr="00A4243B">
        <w:rPr>
          <w:sz w:val="20"/>
          <w:szCs w:val="20"/>
        </w:rPr>
        <w:t xml:space="preserve">, Diana Elena. “Se analiza la tramitación de dos Proyectos de Ley que afectarán de forma significativa a la litigación financiera en un futuro próximo y que supondrá un cambio de paradigma en la litigación financiera”: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10540, 2024.</w:t>
      </w:r>
    </w:p>
    <w:p w14:paraId="35A0CD41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F8F2B49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Notermans</w:t>
      </w:r>
      <w:proofErr w:type="spellEnd"/>
      <w:r w:rsidRPr="00A4243B">
        <w:rPr>
          <w:sz w:val="20"/>
          <w:szCs w:val="20"/>
        </w:rPr>
        <w:t>, Pierre. “</w:t>
      </w:r>
      <w:proofErr w:type="spellStart"/>
      <w:r w:rsidRPr="00A4243B">
        <w:rPr>
          <w:sz w:val="20"/>
          <w:szCs w:val="20"/>
        </w:rPr>
        <w:t>Accès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aux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données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personnelles</w:t>
      </w:r>
      <w:proofErr w:type="spellEnd"/>
      <w:r w:rsidRPr="00A4243B">
        <w:rPr>
          <w:sz w:val="20"/>
          <w:szCs w:val="20"/>
        </w:rPr>
        <w:t xml:space="preserve"> et </w:t>
      </w:r>
      <w:proofErr w:type="spellStart"/>
      <w:r w:rsidRPr="00A4243B">
        <w:rPr>
          <w:sz w:val="20"/>
          <w:szCs w:val="20"/>
        </w:rPr>
        <w:t>reconfiguration</w:t>
      </w:r>
      <w:proofErr w:type="spellEnd"/>
      <w:r w:rsidRPr="00A4243B">
        <w:rPr>
          <w:sz w:val="20"/>
          <w:szCs w:val="20"/>
        </w:rPr>
        <w:t xml:space="preserve"> des </w:t>
      </w:r>
      <w:proofErr w:type="spellStart"/>
      <w:r w:rsidRPr="00A4243B">
        <w:rPr>
          <w:sz w:val="20"/>
          <w:szCs w:val="20"/>
        </w:rPr>
        <w:t>obligations</w:t>
      </w:r>
      <w:proofErr w:type="spellEnd"/>
      <w:r w:rsidRPr="00A4243B">
        <w:rPr>
          <w:sz w:val="20"/>
          <w:szCs w:val="20"/>
        </w:rPr>
        <w:t xml:space="preserve"> du responsable du </w:t>
      </w:r>
      <w:proofErr w:type="spellStart"/>
      <w:r w:rsidRPr="00A4243B">
        <w:rPr>
          <w:sz w:val="20"/>
          <w:szCs w:val="20"/>
        </w:rPr>
        <w:t>traitement</w:t>
      </w:r>
      <w:proofErr w:type="spellEnd"/>
      <w:r w:rsidRPr="00A4243B">
        <w:rPr>
          <w:sz w:val="20"/>
          <w:szCs w:val="20"/>
        </w:rPr>
        <w:t xml:space="preserve"> vis-à-vis de la </w:t>
      </w:r>
      <w:proofErr w:type="spellStart"/>
      <w:r w:rsidRPr="00A4243B">
        <w:rPr>
          <w:sz w:val="20"/>
          <w:szCs w:val="20"/>
        </w:rPr>
        <w:t>personne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concernée</w:t>
      </w:r>
      <w:proofErr w:type="spellEnd"/>
      <w:r w:rsidRPr="00A4243B">
        <w:rPr>
          <w:sz w:val="20"/>
          <w:szCs w:val="20"/>
        </w:rPr>
        <w:t xml:space="preserve">: </w:t>
      </w:r>
      <w:proofErr w:type="spellStart"/>
      <w:r w:rsidRPr="00A4243B">
        <w:rPr>
          <w:sz w:val="20"/>
          <w:szCs w:val="20"/>
        </w:rPr>
        <w:t>prémisses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d'une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transparence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accrue</w:t>
      </w:r>
      <w:proofErr w:type="spellEnd"/>
      <w:r w:rsidRPr="00A4243B">
        <w:rPr>
          <w:sz w:val="20"/>
          <w:szCs w:val="20"/>
        </w:rPr>
        <w:t xml:space="preserve"> en la </w:t>
      </w:r>
      <w:proofErr w:type="spellStart"/>
      <w:r w:rsidRPr="00A4243B">
        <w:rPr>
          <w:sz w:val="20"/>
          <w:szCs w:val="20"/>
        </w:rPr>
        <w:t>matière</w:t>
      </w:r>
      <w:proofErr w:type="spellEnd"/>
      <w:r w:rsidRPr="00A4243B">
        <w:rPr>
          <w:sz w:val="20"/>
          <w:szCs w:val="20"/>
        </w:rPr>
        <w:t xml:space="preserve">, </w:t>
      </w:r>
      <w:proofErr w:type="spellStart"/>
      <w:r w:rsidRPr="00A4243B">
        <w:rPr>
          <w:sz w:val="20"/>
          <w:szCs w:val="20"/>
        </w:rPr>
        <w:t>ou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d'une</w:t>
      </w:r>
      <w:proofErr w:type="spellEnd"/>
      <w:r w:rsidRPr="00A4243B">
        <w:rPr>
          <w:sz w:val="20"/>
          <w:szCs w:val="20"/>
        </w:rPr>
        <w:t xml:space="preserve"> forme de </w:t>
      </w:r>
      <w:proofErr w:type="spellStart"/>
      <w:r w:rsidRPr="00A4243B">
        <w:rPr>
          <w:sz w:val="20"/>
          <w:szCs w:val="20"/>
        </w:rPr>
        <w:t>déresponsabilisation</w:t>
      </w:r>
      <w:proofErr w:type="spellEnd"/>
      <w:r w:rsidRPr="00A4243B">
        <w:rPr>
          <w:sz w:val="20"/>
          <w:szCs w:val="20"/>
        </w:rPr>
        <w:t xml:space="preserve">?”: </w:t>
      </w:r>
      <w:proofErr w:type="spellStart"/>
      <w:r w:rsidRPr="00A4243B">
        <w:rPr>
          <w:i/>
          <w:sz w:val="20"/>
          <w:szCs w:val="20"/>
        </w:rPr>
        <w:t>Revue</w:t>
      </w:r>
      <w:proofErr w:type="spellEnd"/>
      <w:r w:rsidRPr="00A4243B">
        <w:rPr>
          <w:i/>
          <w:sz w:val="20"/>
          <w:szCs w:val="20"/>
        </w:rPr>
        <w:t xml:space="preserve"> </w:t>
      </w:r>
      <w:proofErr w:type="spellStart"/>
      <w:r w:rsidRPr="00A4243B">
        <w:rPr>
          <w:i/>
          <w:sz w:val="20"/>
          <w:szCs w:val="20"/>
        </w:rPr>
        <w:t>trimestrielle</w:t>
      </w:r>
      <w:proofErr w:type="spellEnd"/>
      <w:r w:rsidRPr="00A4243B">
        <w:rPr>
          <w:i/>
          <w:sz w:val="20"/>
          <w:szCs w:val="20"/>
        </w:rPr>
        <w:t xml:space="preserve"> de </w:t>
      </w:r>
      <w:proofErr w:type="spellStart"/>
      <w:r w:rsidRPr="00A4243B">
        <w:rPr>
          <w:i/>
          <w:sz w:val="20"/>
          <w:szCs w:val="20"/>
        </w:rPr>
        <w:t>droit</w:t>
      </w:r>
      <w:proofErr w:type="spellEnd"/>
      <w:r w:rsidRPr="00A4243B">
        <w:rPr>
          <w:i/>
          <w:sz w:val="20"/>
          <w:szCs w:val="20"/>
        </w:rPr>
        <w:t xml:space="preserve"> </w:t>
      </w:r>
      <w:proofErr w:type="spellStart"/>
      <w:r w:rsidRPr="00A4243B">
        <w:rPr>
          <w:i/>
          <w:sz w:val="20"/>
          <w:szCs w:val="20"/>
        </w:rPr>
        <w:t>europeen</w:t>
      </w:r>
      <w:proofErr w:type="spellEnd"/>
      <w:r w:rsidRPr="00A4243B">
        <w:rPr>
          <w:sz w:val="20"/>
          <w:szCs w:val="20"/>
        </w:rPr>
        <w:t>, Vol. 60, Nº 2, 2024, págs. 131-148.</w:t>
      </w:r>
    </w:p>
    <w:p w14:paraId="74EEFE51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27C9172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Buitrón de Vega </w:t>
      </w:r>
      <w:proofErr w:type="spellStart"/>
      <w:r w:rsidRPr="00A4243B">
        <w:rPr>
          <w:sz w:val="20"/>
          <w:szCs w:val="20"/>
        </w:rPr>
        <w:t>Patuel</w:t>
      </w:r>
      <w:proofErr w:type="spellEnd"/>
      <w:r w:rsidRPr="00A4243B">
        <w:rPr>
          <w:sz w:val="20"/>
          <w:szCs w:val="20"/>
        </w:rPr>
        <w:t xml:space="preserve">, Eduardo. “El Reglamento de inteligencia artificial”: </w:t>
      </w:r>
      <w:r w:rsidRPr="00A4243B">
        <w:rPr>
          <w:i/>
          <w:sz w:val="20"/>
          <w:szCs w:val="20"/>
        </w:rPr>
        <w:t>Comunicaciones en propiedad industrial y derecho de la competencia</w:t>
      </w:r>
      <w:r w:rsidRPr="00A4243B">
        <w:rPr>
          <w:sz w:val="20"/>
          <w:szCs w:val="20"/>
        </w:rPr>
        <w:t>, Nº. 102 (mayo-agosto), 2024, págs. 25-38.</w:t>
      </w:r>
    </w:p>
    <w:p w14:paraId="0F9F631D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5FE49B0D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González de Castejón, Paula; Gil del Castillo, Celia. “Análisis de la nueva guía sobre el uso de las cookies”: </w:t>
      </w:r>
      <w:r w:rsidRPr="00A4243B">
        <w:rPr>
          <w:i/>
          <w:sz w:val="20"/>
          <w:szCs w:val="20"/>
        </w:rPr>
        <w:t>Comunicaciones en propiedad industrial y derecho de la competencia</w:t>
      </w:r>
      <w:r w:rsidRPr="00A4243B">
        <w:rPr>
          <w:sz w:val="20"/>
          <w:szCs w:val="20"/>
        </w:rPr>
        <w:t>, Nº. 102 (mayo-agosto), 2024, págs. 69-82.</w:t>
      </w:r>
    </w:p>
    <w:p w14:paraId="70AA0269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01D3D5A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Gerbolés</w:t>
      </w:r>
      <w:proofErr w:type="spellEnd"/>
      <w:r w:rsidRPr="00A4243B">
        <w:rPr>
          <w:sz w:val="20"/>
          <w:szCs w:val="20"/>
        </w:rPr>
        <w:t xml:space="preserve"> López, Anna. “Valoraciones sobre el proyecto de reforma de la publicidad de productos sanitarios: a propósito del Proyecto de Real Decreto de publicidad de productos sanitarios, publicado en febrero de 2024 y el Informe sobre dicho proyecto, publicado por la CNMC en abril de </w:t>
      </w:r>
      <w:r w:rsidRPr="00A4243B">
        <w:rPr>
          <w:sz w:val="20"/>
          <w:szCs w:val="20"/>
        </w:rPr>
        <w:lastRenderedPageBreak/>
        <w:t xml:space="preserve">2024”: </w:t>
      </w:r>
      <w:r w:rsidRPr="00A4243B">
        <w:rPr>
          <w:i/>
          <w:sz w:val="20"/>
          <w:szCs w:val="20"/>
        </w:rPr>
        <w:t>Comunicaciones en propiedad industrial y derecho de la competencia</w:t>
      </w:r>
      <w:r w:rsidRPr="00A4243B">
        <w:rPr>
          <w:sz w:val="20"/>
          <w:szCs w:val="20"/>
        </w:rPr>
        <w:t>, Nº. 102 (mayo-agosto), 2024, págs. 95-109.</w:t>
      </w:r>
    </w:p>
    <w:p w14:paraId="452B5CCC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5CC79AA8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Castañón Garcia-Alix, Elvira. “El recurso de apelación frente a la denegación del EPI y la necesidad de encontrar una solución para el deudor que tiene su vivienda habitual ejecutada con una sobre garantía”: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10543, 2024.</w:t>
      </w:r>
    </w:p>
    <w:p w14:paraId="2B93D241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70850D9F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Albiez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Dohrmann</w:t>
      </w:r>
      <w:proofErr w:type="spellEnd"/>
      <w:r w:rsidRPr="00A4243B">
        <w:rPr>
          <w:sz w:val="20"/>
          <w:szCs w:val="20"/>
        </w:rPr>
        <w:t xml:space="preserve">, Klaus Jochen. “¿Dónde ubicamos las condiciones generales de la contratación en el ordenamiento jurídico?”: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10551, 2024.</w:t>
      </w:r>
    </w:p>
    <w:p w14:paraId="60F5E0C7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3B6890DC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Planas </w:t>
      </w:r>
      <w:proofErr w:type="spellStart"/>
      <w:r w:rsidRPr="00A4243B">
        <w:rPr>
          <w:sz w:val="20"/>
          <w:szCs w:val="20"/>
        </w:rPr>
        <w:t>Ballvé</w:t>
      </w:r>
      <w:proofErr w:type="spellEnd"/>
      <w:r w:rsidRPr="00A4243B">
        <w:rPr>
          <w:sz w:val="20"/>
          <w:szCs w:val="20"/>
        </w:rPr>
        <w:t xml:space="preserve">, María. “Determinación del inicio del cómputo del plazo de ejercicio de la acción de restitución de las cantidades pagadas por gastos hipotecarios”: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10550, 2024.</w:t>
      </w:r>
    </w:p>
    <w:p w14:paraId="53BD11FA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358A2AC1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Viceira</w:t>
      </w:r>
      <w:proofErr w:type="spellEnd"/>
      <w:r w:rsidRPr="00A4243B">
        <w:rPr>
          <w:sz w:val="20"/>
          <w:szCs w:val="20"/>
        </w:rPr>
        <w:t xml:space="preserve"> Ortega, Patricia. “Dependencia económica y cláusulas contractuales en la contratación con plataformas de alojamiento: una perspectiva europea”: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10550, 2024.</w:t>
      </w:r>
    </w:p>
    <w:p w14:paraId="17677BF0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1096F7FF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>Fuentes-</w:t>
      </w:r>
      <w:proofErr w:type="spellStart"/>
      <w:r w:rsidRPr="00A4243B">
        <w:rPr>
          <w:sz w:val="20"/>
          <w:szCs w:val="20"/>
        </w:rPr>
        <w:t>Lojo</w:t>
      </w:r>
      <w:proofErr w:type="spellEnd"/>
      <w:r w:rsidRPr="00A4243B">
        <w:rPr>
          <w:sz w:val="20"/>
          <w:szCs w:val="20"/>
        </w:rPr>
        <w:t xml:space="preserve"> Rius, Alejandro. “La facultad resolutoria del comprador de vivienda en construcción”: </w:t>
      </w:r>
      <w:r w:rsidRPr="00A4243B">
        <w:rPr>
          <w:i/>
          <w:sz w:val="20"/>
          <w:szCs w:val="20"/>
        </w:rPr>
        <w:t>Diario La Ley</w:t>
      </w:r>
      <w:r w:rsidRPr="00A4243B">
        <w:rPr>
          <w:sz w:val="20"/>
          <w:szCs w:val="20"/>
        </w:rPr>
        <w:t>, Nº 10549, 2024.</w:t>
      </w:r>
    </w:p>
    <w:p w14:paraId="780A710A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0AB4A8DD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Argelich</w:t>
      </w:r>
      <w:proofErr w:type="spellEnd"/>
      <w:r w:rsidRPr="00A4243B">
        <w:rPr>
          <w:sz w:val="20"/>
          <w:szCs w:val="20"/>
        </w:rPr>
        <w:t xml:space="preserve"> </w:t>
      </w:r>
      <w:proofErr w:type="spellStart"/>
      <w:r w:rsidRPr="00A4243B">
        <w:rPr>
          <w:sz w:val="20"/>
          <w:szCs w:val="20"/>
        </w:rPr>
        <w:t>Comelles</w:t>
      </w:r>
      <w:proofErr w:type="spellEnd"/>
      <w:r w:rsidRPr="00A4243B">
        <w:rPr>
          <w:sz w:val="20"/>
          <w:szCs w:val="20"/>
        </w:rPr>
        <w:t xml:space="preserve">, Cristina. “Contratación con inteligencia artificial y contratos algorítmicos: repensando el derecho civil ante el informe español de la legislación de consumo y mercantil para la Comisión Europea”: </w:t>
      </w:r>
      <w:r w:rsidRPr="00A4243B">
        <w:rPr>
          <w:i/>
          <w:sz w:val="20"/>
          <w:szCs w:val="20"/>
        </w:rPr>
        <w:t>Revista Crítica de Derecho Inmobiliario</w:t>
      </w:r>
      <w:r w:rsidRPr="00A4243B">
        <w:rPr>
          <w:sz w:val="20"/>
          <w:szCs w:val="20"/>
        </w:rPr>
        <w:t>, ISSN 0210-0444, Año nº 100, Nº 804, 2024, págs. 2033-2071.</w:t>
      </w:r>
    </w:p>
    <w:p w14:paraId="439F7815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FBED4BD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Mora Astaburuaga, Aitor. “El control de transparencia en las acciones colectivas ¿objetivo o subjetivo?”: </w:t>
      </w:r>
      <w:r w:rsidRPr="00A4243B">
        <w:rPr>
          <w:i/>
          <w:sz w:val="20"/>
          <w:szCs w:val="20"/>
        </w:rPr>
        <w:t>Revista Crítica de Derecho Inmobiliario</w:t>
      </w:r>
      <w:r w:rsidRPr="00A4243B">
        <w:rPr>
          <w:sz w:val="20"/>
          <w:szCs w:val="20"/>
        </w:rPr>
        <w:t>, Año nº 100, Nº 804, 2024, págs. 2291-2302.</w:t>
      </w:r>
    </w:p>
    <w:p w14:paraId="57CE8363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6F4482D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proofErr w:type="spellStart"/>
      <w:r w:rsidRPr="00A4243B">
        <w:rPr>
          <w:sz w:val="20"/>
          <w:szCs w:val="20"/>
        </w:rPr>
        <w:t>Palá</w:t>
      </w:r>
      <w:proofErr w:type="spellEnd"/>
      <w:r w:rsidRPr="00A4243B">
        <w:rPr>
          <w:sz w:val="20"/>
          <w:szCs w:val="20"/>
        </w:rPr>
        <w:t xml:space="preserve"> Laguna, Reyes. “Diez años de la </w:t>
      </w:r>
      <w:proofErr w:type="spellStart"/>
      <w:r w:rsidRPr="00A4243B">
        <w:rPr>
          <w:sz w:val="20"/>
          <w:szCs w:val="20"/>
        </w:rPr>
        <w:t>MiFID</w:t>
      </w:r>
      <w:proofErr w:type="spellEnd"/>
      <w:r w:rsidRPr="00A4243B">
        <w:rPr>
          <w:sz w:val="20"/>
          <w:szCs w:val="20"/>
        </w:rPr>
        <w:t xml:space="preserve"> II: hacia un régimen único de los mercados de valores y de quienes en ellos participan”: </w:t>
      </w:r>
      <w:r w:rsidRPr="00A4243B">
        <w:rPr>
          <w:i/>
          <w:sz w:val="20"/>
          <w:szCs w:val="20"/>
        </w:rPr>
        <w:t>La Ley mercantil</w:t>
      </w:r>
      <w:r w:rsidRPr="00A4243B">
        <w:rPr>
          <w:sz w:val="20"/>
          <w:szCs w:val="20"/>
        </w:rPr>
        <w:t>, Nº. 116 (septiembre), 2024.</w:t>
      </w:r>
    </w:p>
    <w:p w14:paraId="28934AED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481C74E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Martín Faba, José María. “El TJUE privilegia la transparencia en acciones colectivas”: </w:t>
      </w:r>
      <w:r w:rsidRPr="00A4243B">
        <w:rPr>
          <w:i/>
          <w:sz w:val="20"/>
          <w:szCs w:val="20"/>
        </w:rPr>
        <w:t>Revista CESCO de Derecho de Consumo</w:t>
      </w:r>
      <w:r w:rsidRPr="00A4243B">
        <w:rPr>
          <w:sz w:val="20"/>
          <w:szCs w:val="20"/>
        </w:rPr>
        <w:t xml:space="preserve">, Año 2024, Nº 51, pp. 1-15. </w:t>
      </w:r>
    </w:p>
    <w:p w14:paraId="35AE3765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1C7D6D3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>Carrasco Perera, Ángel. “Repensar la prescripción extintiva de la restitución en virtud de una cláusula nula de repercusión de gastos hipotecarios. (I) Los plazos”:</w:t>
      </w:r>
      <w:r w:rsidRPr="00A4243B">
        <w:rPr>
          <w:i/>
          <w:sz w:val="20"/>
          <w:szCs w:val="20"/>
        </w:rPr>
        <w:t xml:space="preserve"> Revista CESCO de Derecho de Consumo</w:t>
      </w:r>
      <w:r w:rsidRPr="00A4243B">
        <w:rPr>
          <w:sz w:val="20"/>
          <w:szCs w:val="20"/>
        </w:rPr>
        <w:t xml:space="preserve">, Año 2024, Nº 51, pp. 16-43. </w:t>
      </w:r>
    </w:p>
    <w:p w14:paraId="778FFA99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2A892E2D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Martínez Espín, Pascual. “Análisis del Real Decreto 713/2024 sobre el Sistema Arbitral de Consumo”: </w:t>
      </w:r>
      <w:r w:rsidRPr="00A4243B">
        <w:rPr>
          <w:i/>
          <w:sz w:val="20"/>
          <w:szCs w:val="20"/>
        </w:rPr>
        <w:t>Revista CESCO de Derecho de Consumo</w:t>
      </w:r>
      <w:r w:rsidRPr="00A4243B">
        <w:rPr>
          <w:sz w:val="20"/>
          <w:szCs w:val="20"/>
        </w:rPr>
        <w:t xml:space="preserve">, Año 2024, Nº 51, pp. 57-88. </w:t>
      </w:r>
    </w:p>
    <w:p w14:paraId="698DC8C6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6BBD3FCC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Martínez Espín, Pascual. “La protección contra la insolvencia del organizador de viajes combinados también se extiende a los casos en los que el viajero ha cancelado el viaje, antes de que ocurra la insolvencia, debido a circunstancias inevitables y extraordinarias”: </w:t>
      </w:r>
      <w:r w:rsidRPr="00A4243B">
        <w:rPr>
          <w:i/>
          <w:sz w:val="20"/>
          <w:szCs w:val="20"/>
        </w:rPr>
        <w:t>Revista CESCO de Derecho de Consumo</w:t>
      </w:r>
      <w:r w:rsidRPr="00A4243B">
        <w:rPr>
          <w:sz w:val="20"/>
          <w:szCs w:val="20"/>
        </w:rPr>
        <w:t xml:space="preserve">, Año 2024, Nº 51, pp. 118-131. </w:t>
      </w:r>
    </w:p>
    <w:p w14:paraId="7F5C443E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564571F0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Verdún Pérez, Francisco. “Comentarios sobre las disposiciones concernientes al Derecho de consumidores contenidas en el Real Decreto-ley 6/2023, de 19 de diciembre”: </w:t>
      </w:r>
      <w:r w:rsidRPr="00A4243B">
        <w:rPr>
          <w:i/>
          <w:sz w:val="20"/>
          <w:szCs w:val="20"/>
        </w:rPr>
        <w:t>Revista CESCO de Derecho de Consumo</w:t>
      </w:r>
      <w:r w:rsidRPr="00A4243B">
        <w:rPr>
          <w:sz w:val="20"/>
          <w:szCs w:val="20"/>
        </w:rPr>
        <w:t xml:space="preserve">, Año 2024, Nº 51, pp. 132-162. </w:t>
      </w:r>
    </w:p>
    <w:p w14:paraId="11B30972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4130F5B4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lastRenderedPageBreak/>
        <w:t xml:space="preserve">Garreta Medina, Albert. “El desafío de la autonomía del consumidor digital en la era de las cookies “: </w:t>
      </w:r>
      <w:r w:rsidRPr="00A4243B">
        <w:rPr>
          <w:i/>
          <w:sz w:val="20"/>
          <w:szCs w:val="20"/>
        </w:rPr>
        <w:t xml:space="preserve">Revista de Derecho </w:t>
      </w:r>
      <w:proofErr w:type="spellStart"/>
      <w:r w:rsidRPr="00A4243B">
        <w:rPr>
          <w:i/>
          <w:sz w:val="20"/>
          <w:szCs w:val="20"/>
        </w:rPr>
        <w:t>vLex</w:t>
      </w:r>
      <w:proofErr w:type="spellEnd"/>
      <w:r w:rsidRPr="00A4243B">
        <w:rPr>
          <w:sz w:val="20"/>
          <w:szCs w:val="20"/>
        </w:rPr>
        <w:t xml:space="preserve">, Nº  242, Julio 2024. </w:t>
      </w:r>
    </w:p>
    <w:p w14:paraId="1C7E04E7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0E4EDB5A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Mate </w:t>
      </w:r>
      <w:proofErr w:type="spellStart"/>
      <w:r w:rsidRPr="00A4243B">
        <w:rPr>
          <w:sz w:val="20"/>
          <w:szCs w:val="20"/>
        </w:rPr>
        <w:t>Satué</w:t>
      </w:r>
      <w:proofErr w:type="spellEnd"/>
      <w:r w:rsidRPr="00A4243B">
        <w:rPr>
          <w:sz w:val="20"/>
          <w:szCs w:val="20"/>
        </w:rPr>
        <w:t xml:space="preserve">,  Loreto Carmen. “El instituto de la prescripción, la acción de restitución de cantidades y la protección de los consumidores”: </w:t>
      </w:r>
      <w:r w:rsidRPr="00A4243B">
        <w:rPr>
          <w:i/>
          <w:sz w:val="20"/>
          <w:szCs w:val="20"/>
        </w:rPr>
        <w:t>Revista Crítica de Derecho Inmobiliario</w:t>
      </w:r>
      <w:r w:rsidRPr="00A4243B">
        <w:rPr>
          <w:sz w:val="20"/>
          <w:szCs w:val="20"/>
        </w:rPr>
        <w:t xml:space="preserve">, Nº 804, Julio 2024. </w:t>
      </w:r>
    </w:p>
    <w:p w14:paraId="298EC505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0241C0D3" w14:textId="77777777" w:rsid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Sánchez García, Jesus Mª. “El precio del dinero en el crédito revolving: TIN, TAE y TEDR”: </w:t>
      </w:r>
      <w:r w:rsidRPr="00A4243B">
        <w:rPr>
          <w:i/>
          <w:sz w:val="20"/>
          <w:szCs w:val="20"/>
        </w:rPr>
        <w:t xml:space="preserve">Revista de Derecho </w:t>
      </w:r>
      <w:proofErr w:type="spellStart"/>
      <w:r w:rsidRPr="00A4243B">
        <w:rPr>
          <w:i/>
          <w:sz w:val="20"/>
          <w:szCs w:val="20"/>
        </w:rPr>
        <w:t>vLex</w:t>
      </w:r>
      <w:proofErr w:type="spellEnd"/>
      <w:r w:rsidRPr="00A4243B">
        <w:rPr>
          <w:sz w:val="20"/>
          <w:szCs w:val="20"/>
        </w:rPr>
        <w:t xml:space="preserve">, Nº 244, Septiembre 2024. </w:t>
      </w:r>
    </w:p>
    <w:p w14:paraId="65292602" w14:textId="77777777" w:rsidR="00A4243B" w:rsidRPr="00A4243B" w:rsidRDefault="00A4243B" w:rsidP="00A4243B">
      <w:pPr>
        <w:pStyle w:val="Prrafodelista"/>
        <w:ind w:left="360"/>
        <w:jc w:val="both"/>
        <w:rPr>
          <w:sz w:val="20"/>
          <w:szCs w:val="20"/>
        </w:rPr>
      </w:pPr>
    </w:p>
    <w:p w14:paraId="2F8F09D0" w14:textId="77777777" w:rsidR="00A4243B" w:rsidRPr="00A4243B" w:rsidRDefault="00A4243B" w:rsidP="00A4243B">
      <w:pPr>
        <w:pStyle w:val="Prrafodelista"/>
        <w:numPr>
          <w:ilvl w:val="0"/>
          <w:numId w:val="16"/>
        </w:numPr>
        <w:ind w:left="360"/>
        <w:jc w:val="both"/>
        <w:rPr>
          <w:sz w:val="20"/>
          <w:szCs w:val="20"/>
        </w:rPr>
      </w:pPr>
      <w:r w:rsidRPr="00A4243B">
        <w:rPr>
          <w:sz w:val="20"/>
          <w:szCs w:val="20"/>
        </w:rPr>
        <w:t xml:space="preserve">López San Luis, Rocio. “Régimen de segunda oportunidad: excepción legal al principio de responsabilidad patrimonial universal en la nueva regulación concursal (Ley 16/2022, de 5 de septiembre de reforma del Texto Refundido de la Ley Concursal, aprobado por el RD legislativo 1/2020, de 5 de mayo)”: </w:t>
      </w:r>
      <w:r w:rsidRPr="00A4243B">
        <w:rPr>
          <w:i/>
          <w:sz w:val="20"/>
          <w:szCs w:val="20"/>
        </w:rPr>
        <w:t>Revista Internacional de Doctrina y Jurisprudencia</w:t>
      </w:r>
      <w:r w:rsidRPr="00A4243B">
        <w:rPr>
          <w:sz w:val="20"/>
          <w:szCs w:val="20"/>
        </w:rPr>
        <w:t xml:space="preserve">, Nº 31, Julio 2024. </w:t>
      </w:r>
    </w:p>
    <w:p w14:paraId="1D783C05" w14:textId="77777777" w:rsidR="00A4243B" w:rsidRPr="00A4243B" w:rsidRDefault="00A4243B" w:rsidP="00A4243B">
      <w:pPr>
        <w:rPr>
          <w:sz w:val="20"/>
          <w:szCs w:val="20"/>
        </w:rPr>
      </w:pPr>
    </w:p>
    <w:p w14:paraId="28A352ED" w14:textId="77777777" w:rsidR="00A4243B" w:rsidRPr="00A4243B" w:rsidRDefault="00A4243B" w:rsidP="00A4243B">
      <w:pPr>
        <w:rPr>
          <w:sz w:val="20"/>
          <w:szCs w:val="20"/>
        </w:rPr>
      </w:pPr>
    </w:p>
    <w:p w14:paraId="198D800B" w14:textId="77777777" w:rsidR="00924BE0" w:rsidRPr="00A4243B" w:rsidRDefault="00924BE0" w:rsidP="00A4243B">
      <w:pPr>
        <w:jc w:val="both"/>
        <w:rPr>
          <w:sz w:val="20"/>
          <w:szCs w:val="20"/>
        </w:rPr>
      </w:pPr>
    </w:p>
    <w:p w14:paraId="5DDC94D1" w14:textId="77777777" w:rsidR="00924BE0" w:rsidRPr="00A4243B" w:rsidRDefault="00924BE0" w:rsidP="00A4243B">
      <w:pPr>
        <w:jc w:val="both"/>
        <w:rPr>
          <w:sz w:val="20"/>
          <w:szCs w:val="20"/>
        </w:rPr>
      </w:pPr>
    </w:p>
    <w:p w14:paraId="7246068A" w14:textId="77777777" w:rsidR="00924BE0" w:rsidRPr="00A4243B" w:rsidRDefault="00924BE0" w:rsidP="00A4243B">
      <w:pPr>
        <w:jc w:val="both"/>
        <w:rPr>
          <w:sz w:val="20"/>
          <w:szCs w:val="20"/>
        </w:rPr>
      </w:pPr>
    </w:p>
    <w:p w14:paraId="0375DC90" w14:textId="77777777" w:rsidR="00924BE0" w:rsidRPr="00A4243B" w:rsidRDefault="00924BE0" w:rsidP="00A4243B">
      <w:pPr>
        <w:jc w:val="both"/>
        <w:rPr>
          <w:sz w:val="20"/>
          <w:szCs w:val="20"/>
        </w:rPr>
      </w:pPr>
    </w:p>
    <w:p w14:paraId="5B9B40AD" w14:textId="77777777" w:rsidR="00924BE0" w:rsidRPr="00A4243B" w:rsidRDefault="00924BE0" w:rsidP="00924BE0">
      <w:pPr>
        <w:jc w:val="both"/>
        <w:rPr>
          <w:sz w:val="20"/>
          <w:szCs w:val="20"/>
        </w:rPr>
      </w:pPr>
    </w:p>
    <w:p w14:paraId="6E0D07CF" w14:textId="77777777" w:rsidR="00924BE0" w:rsidRDefault="00924BE0" w:rsidP="00924BE0">
      <w:pPr>
        <w:jc w:val="both"/>
        <w:rPr>
          <w:sz w:val="20"/>
          <w:szCs w:val="20"/>
        </w:rPr>
      </w:pPr>
    </w:p>
    <w:p w14:paraId="04F17DAC" w14:textId="77777777" w:rsidR="00924BE0" w:rsidRDefault="00924BE0" w:rsidP="00924BE0">
      <w:pPr>
        <w:jc w:val="both"/>
        <w:rPr>
          <w:sz w:val="20"/>
          <w:szCs w:val="20"/>
        </w:rPr>
      </w:pPr>
    </w:p>
    <w:p w14:paraId="3F6EF17F" w14:textId="77777777" w:rsidR="00924BE0" w:rsidRDefault="00924BE0" w:rsidP="00924BE0">
      <w:pPr>
        <w:jc w:val="both"/>
        <w:rPr>
          <w:sz w:val="20"/>
          <w:szCs w:val="20"/>
        </w:rPr>
      </w:pPr>
    </w:p>
    <w:p w14:paraId="1E336FF4" w14:textId="77777777" w:rsidR="00924BE0" w:rsidRDefault="00924BE0" w:rsidP="00924BE0">
      <w:pPr>
        <w:jc w:val="both"/>
        <w:rPr>
          <w:sz w:val="20"/>
          <w:szCs w:val="20"/>
        </w:rPr>
      </w:pPr>
    </w:p>
    <w:p w14:paraId="365A9CD0" w14:textId="77777777" w:rsidR="00924BE0" w:rsidRDefault="00924BE0" w:rsidP="00924BE0">
      <w:pPr>
        <w:jc w:val="both"/>
        <w:rPr>
          <w:sz w:val="20"/>
          <w:szCs w:val="20"/>
        </w:rPr>
      </w:pPr>
    </w:p>
    <w:p w14:paraId="1009CAA1" w14:textId="77777777" w:rsidR="00924BE0" w:rsidRDefault="00924BE0" w:rsidP="00924BE0">
      <w:pPr>
        <w:jc w:val="both"/>
        <w:rPr>
          <w:sz w:val="20"/>
          <w:szCs w:val="20"/>
        </w:rPr>
      </w:pPr>
    </w:p>
    <w:p w14:paraId="76A408B8" w14:textId="77777777" w:rsidR="00A4243B" w:rsidRDefault="00A4243B" w:rsidP="00924BE0">
      <w:pPr>
        <w:jc w:val="both"/>
        <w:rPr>
          <w:sz w:val="20"/>
          <w:szCs w:val="20"/>
        </w:rPr>
      </w:pPr>
    </w:p>
    <w:p w14:paraId="0DEF6D90" w14:textId="77777777" w:rsidR="00A4243B" w:rsidRDefault="00A4243B" w:rsidP="00924BE0">
      <w:pPr>
        <w:jc w:val="both"/>
        <w:rPr>
          <w:sz w:val="20"/>
          <w:szCs w:val="20"/>
        </w:rPr>
      </w:pPr>
    </w:p>
    <w:p w14:paraId="354AE463" w14:textId="77777777" w:rsidR="00A4243B" w:rsidRDefault="00A4243B" w:rsidP="00924BE0">
      <w:pPr>
        <w:jc w:val="both"/>
        <w:rPr>
          <w:sz w:val="20"/>
          <w:szCs w:val="20"/>
        </w:rPr>
      </w:pPr>
    </w:p>
    <w:p w14:paraId="152870DA" w14:textId="77777777" w:rsidR="00A4243B" w:rsidRDefault="00A4243B" w:rsidP="00924BE0">
      <w:pPr>
        <w:jc w:val="both"/>
        <w:rPr>
          <w:sz w:val="20"/>
          <w:szCs w:val="20"/>
        </w:rPr>
      </w:pPr>
    </w:p>
    <w:p w14:paraId="4B7E083A" w14:textId="77777777" w:rsidR="00A4243B" w:rsidRDefault="00A4243B" w:rsidP="00924BE0">
      <w:pPr>
        <w:jc w:val="both"/>
        <w:rPr>
          <w:sz w:val="20"/>
          <w:szCs w:val="20"/>
        </w:rPr>
      </w:pPr>
    </w:p>
    <w:p w14:paraId="6F4F7B52" w14:textId="77777777" w:rsidR="00A4243B" w:rsidRDefault="00A4243B" w:rsidP="00924BE0">
      <w:pPr>
        <w:jc w:val="both"/>
        <w:rPr>
          <w:sz w:val="20"/>
          <w:szCs w:val="20"/>
        </w:rPr>
      </w:pPr>
    </w:p>
    <w:p w14:paraId="62AF2B53" w14:textId="77777777" w:rsidR="00924BE0" w:rsidRPr="00924BE0" w:rsidRDefault="00924BE0" w:rsidP="00924BE0">
      <w:pPr>
        <w:jc w:val="both"/>
        <w:rPr>
          <w:sz w:val="20"/>
          <w:szCs w:val="20"/>
        </w:rPr>
      </w:pPr>
    </w:p>
    <w:p w14:paraId="73DED83D" w14:textId="551A8FA4" w:rsidR="003F49BB" w:rsidRPr="001563A1" w:rsidRDefault="003F49BB" w:rsidP="001563A1">
      <w:pPr>
        <w:jc w:val="center"/>
        <w:rPr>
          <w:sz w:val="20"/>
          <w:szCs w:val="20"/>
        </w:rPr>
      </w:pPr>
      <w:r w:rsidRPr="001563A1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informe, en el periodo correspondiente.</w:t>
      </w:r>
    </w:p>
    <w:sectPr w:rsidR="003F49BB" w:rsidRPr="001563A1" w:rsidSect="000562B1"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68581" w14:textId="77777777" w:rsidR="00090962" w:rsidRDefault="00090962" w:rsidP="000562B1">
      <w:pPr>
        <w:spacing w:after="0" w:line="240" w:lineRule="auto"/>
      </w:pPr>
      <w:r>
        <w:separator/>
      </w:r>
    </w:p>
  </w:endnote>
  <w:endnote w:type="continuationSeparator" w:id="0">
    <w:p w14:paraId="5D78DE6E" w14:textId="77777777" w:rsidR="00090962" w:rsidRDefault="00090962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F8300F">
          <w:rPr>
            <w:rFonts w:cstheme="minorHAnsi"/>
            <w:noProof/>
          </w:rPr>
          <w:t>5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F4F6B" w14:textId="77777777" w:rsidR="00090962" w:rsidRDefault="00090962" w:rsidP="000562B1">
      <w:pPr>
        <w:spacing w:after="0" w:line="240" w:lineRule="auto"/>
      </w:pPr>
      <w:r>
        <w:separator/>
      </w:r>
    </w:p>
  </w:footnote>
  <w:footnote w:type="continuationSeparator" w:id="0">
    <w:p w14:paraId="77256D8D" w14:textId="77777777" w:rsidR="00090962" w:rsidRDefault="00090962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32ECE"/>
    <w:multiLevelType w:val="hybridMultilevel"/>
    <w:tmpl w:val="BE9875C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4B3C"/>
    <w:multiLevelType w:val="hybridMultilevel"/>
    <w:tmpl w:val="19FC5322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47798"/>
    <w:multiLevelType w:val="hybridMultilevel"/>
    <w:tmpl w:val="932C875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B0E10"/>
    <w:multiLevelType w:val="hybridMultilevel"/>
    <w:tmpl w:val="4638664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54DE8"/>
    <w:multiLevelType w:val="hybridMultilevel"/>
    <w:tmpl w:val="1266592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481EEE"/>
    <w:multiLevelType w:val="hybridMultilevel"/>
    <w:tmpl w:val="80E67DC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C31BE"/>
    <w:multiLevelType w:val="hybridMultilevel"/>
    <w:tmpl w:val="2716F1F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651F6"/>
    <w:multiLevelType w:val="hybridMultilevel"/>
    <w:tmpl w:val="373EAE1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4221C"/>
    <w:multiLevelType w:val="hybridMultilevel"/>
    <w:tmpl w:val="AB76505C"/>
    <w:lvl w:ilvl="0" w:tplc="45FE9F5A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758669">
    <w:abstractNumId w:val="15"/>
  </w:num>
  <w:num w:numId="2" w16cid:durableId="922839993">
    <w:abstractNumId w:val="1"/>
  </w:num>
  <w:num w:numId="3" w16cid:durableId="1285379756">
    <w:abstractNumId w:val="14"/>
  </w:num>
  <w:num w:numId="4" w16cid:durableId="894462722">
    <w:abstractNumId w:val="8"/>
  </w:num>
  <w:num w:numId="5" w16cid:durableId="445584434">
    <w:abstractNumId w:val="5"/>
  </w:num>
  <w:num w:numId="6" w16cid:durableId="1239166861">
    <w:abstractNumId w:val="6"/>
  </w:num>
  <w:num w:numId="7" w16cid:durableId="1855611347">
    <w:abstractNumId w:val="10"/>
  </w:num>
  <w:num w:numId="8" w16cid:durableId="2082865825">
    <w:abstractNumId w:val="7"/>
  </w:num>
  <w:num w:numId="9" w16cid:durableId="1110978635">
    <w:abstractNumId w:val="4"/>
  </w:num>
  <w:num w:numId="10" w16cid:durableId="2111385929">
    <w:abstractNumId w:val="13"/>
  </w:num>
  <w:num w:numId="11" w16cid:durableId="294289048">
    <w:abstractNumId w:val="12"/>
  </w:num>
  <w:num w:numId="12" w16cid:durableId="2065712302">
    <w:abstractNumId w:val="9"/>
  </w:num>
  <w:num w:numId="13" w16cid:durableId="909582751">
    <w:abstractNumId w:val="3"/>
  </w:num>
  <w:num w:numId="14" w16cid:durableId="2095278978">
    <w:abstractNumId w:val="2"/>
  </w:num>
  <w:num w:numId="15" w16cid:durableId="1626620725">
    <w:abstractNumId w:val="0"/>
  </w:num>
  <w:num w:numId="16" w16cid:durableId="1615479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8D6"/>
    <w:rsid w:val="00020F4E"/>
    <w:rsid w:val="000562B1"/>
    <w:rsid w:val="00090962"/>
    <w:rsid w:val="0012310A"/>
    <w:rsid w:val="001342BF"/>
    <w:rsid w:val="001563A1"/>
    <w:rsid w:val="0017035A"/>
    <w:rsid w:val="00181687"/>
    <w:rsid w:val="001A3DC8"/>
    <w:rsid w:val="001B39D6"/>
    <w:rsid w:val="001E467C"/>
    <w:rsid w:val="00226C2F"/>
    <w:rsid w:val="002321F9"/>
    <w:rsid w:val="00237E7A"/>
    <w:rsid w:val="0024425F"/>
    <w:rsid w:val="002920B4"/>
    <w:rsid w:val="002C3D5D"/>
    <w:rsid w:val="00311051"/>
    <w:rsid w:val="003248F1"/>
    <w:rsid w:val="00326C94"/>
    <w:rsid w:val="00353898"/>
    <w:rsid w:val="003559D9"/>
    <w:rsid w:val="003662F8"/>
    <w:rsid w:val="003A1A16"/>
    <w:rsid w:val="003C5AFC"/>
    <w:rsid w:val="003C79EE"/>
    <w:rsid w:val="003C7E66"/>
    <w:rsid w:val="003E66AA"/>
    <w:rsid w:val="003F49BB"/>
    <w:rsid w:val="003F4BCA"/>
    <w:rsid w:val="00410FE1"/>
    <w:rsid w:val="004158D3"/>
    <w:rsid w:val="00467E42"/>
    <w:rsid w:val="00474518"/>
    <w:rsid w:val="004A2F0A"/>
    <w:rsid w:val="004C5AA1"/>
    <w:rsid w:val="004D2AB4"/>
    <w:rsid w:val="004D794A"/>
    <w:rsid w:val="0051297C"/>
    <w:rsid w:val="00520087"/>
    <w:rsid w:val="00534CB9"/>
    <w:rsid w:val="005524C4"/>
    <w:rsid w:val="005527B0"/>
    <w:rsid w:val="00567AAA"/>
    <w:rsid w:val="005B7019"/>
    <w:rsid w:val="005E340F"/>
    <w:rsid w:val="005F0DEC"/>
    <w:rsid w:val="005F1DFB"/>
    <w:rsid w:val="005F3752"/>
    <w:rsid w:val="006306D2"/>
    <w:rsid w:val="00633110"/>
    <w:rsid w:val="00656A1A"/>
    <w:rsid w:val="00673A7C"/>
    <w:rsid w:val="0068726D"/>
    <w:rsid w:val="006B172C"/>
    <w:rsid w:val="007834BC"/>
    <w:rsid w:val="007C2FE3"/>
    <w:rsid w:val="007C69EA"/>
    <w:rsid w:val="00816AAB"/>
    <w:rsid w:val="008251E3"/>
    <w:rsid w:val="00827C04"/>
    <w:rsid w:val="00846866"/>
    <w:rsid w:val="008D2AC3"/>
    <w:rsid w:val="008D6849"/>
    <w:rsid w:val="008F19D1"/>
    <w:rsid w:val="00916F83"/>
    <w:rsid w:val="00923CBC"/>
    <w:rsid w:val="00924BE0"/>
    <w:rsid w:val="0093649B"/>
    <w:rsid w:val="009432D4"/>
    <w:rsid w:val="00952BF5"/>
    <w:rsid w:val="0096235F"/>
    <w:rsid w:val="009C07E8"/>
    <w:rsid w:val="009E399E"/>
    <w:rsid w:val="009E7932"/>
    <w:rsid w:val="009F6F15"/>
    <w:rsid w:val="00A00862"/>
    <w:rsid w:val="00A02CFB"/>
    <w:rsid w:val="00A030AD"/>
    <w:rsid w:val="00A145E4"/>
    <w:rsid w:val="00A15646"/>
    <w:rsid w:val="00A178D6"/>
    <w:rsid w:val="00A21DDE"/>
    <w:rsid w:val="00A4243B"/>
    <w:rsid w:val="00A4262A"/>
    <w:rsid w:val="00A535EC"/>
    <w:rsid w:val="00A64D45"/>
    <w:rsid w:val="00A95CE0"/>
    <w:rsid w:val="00AA7735"/>
    <w:rsid w:val="00AB05F9"/>
    <w:rsid w:val="00B00158"/>
    <w:rsid w:val="00B03532"/>
    <w:rsid w:val="00B065EF"/>
    <w:rsid w:val="00B40032"/>
    <w:rsid w:val="00B42623"/>
    <w:rsid w:val="00B436F4"/>
    <w:rsid w:val="00B44604"/>
    <w:rsid w:val="00B55B74"/>
    <w:rsid w:val="00B917BF"/>
    <w:rsid w:val="00BE3615"/>
    <w:rsid w:val="00C41A52"/>
    <w:rsid w:val="00C45C39"/>
    <w:rsid w:val="00C660D0"/>
    <w:rsid w:val="00C67BF4"/>
    <w:rsid w:val="00C67C8B"/>
    <w:rsid w:val="00C73ED8"/>
    <w:rsid w:val="00C943B2"/>
    <w:rsid w:val="00C97832"/>
    <w:rsid w:val="00CA6AA7"/>
    <w:rsid w:val="00CB0586"/>
    <w:rsid w:val="00CE63DC"/>
    <w:rsid w:val="00D364FB"/>
    <w:rsid w:val="00D37249"/>
    <w:rsid w:val="00D827B7"/>
    <w:rsid w:val="00DA30E6"/>
    <w:rsid w:val="00DB719B"/>
    <w:rsid w:val="00DC326F"/>
    <w:rsid w:val="00E37172"/>
    <w:rsid w:val="00E53C19"/>
    <w:rsid w:val="00E618E3"/>
    <w:rsid w:val="00E7533D"/>
    <w:rsid w:val="00E843AB"/>
    <w:rsid w:val="00E86324"/>
    <w:rsid w:val="00EE05FD"/>
    <w:rsid w:val="00EF0B72"/>
    <w:rsid w:val="00F475F0"/>
    <w:rsid w:val="00F8300F"/>
    <w:rsid w:val="00FA6DED"/>
    <w:rsid w:val="00FD1E51"/>
    <w:rsid w:val="00FD741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1F9BF5"/>
  <w15:docId w15:val="{FCC4190F-07CC-4BBC-884C-78BC1705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44AC7-F849-400E-A21B-B1D976B0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1956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JOSE FELIX MERINO ESCARTIN</cp:lastModifiedBy>
  <cp:revision>4</cp:revision>
  <cp:lastPrinted>2024-12-17T08:50:00Z</cp:lastPrinted>
  <dcterms:created xsi:type="dcterms:W3CDTF">2024-12-17T08:49:00Z</dcterms:created>
  <dcterms:modified xsi:type="dcterms:W3CDTF">2025-01-25T11:42:00Z</dcterms:modified>
</cp:coreProperties>
</file>