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25598EC2">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2997C5E5" w:rsidR="00D37249" w:rsidRDefault="000E1594"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590F0E9A">
                <wp:simplePos x="0" y="0"/>
                <wp:positionH relativeFrom="column">
                  <wp:posOffset>-769427</wp:posOffset>
                </wp:positionH>
                <wp:positionV relativeFrom="paragraph">
                  <wp:posOffset>432435</wp:posOffset>
                </wp:positionV>
                <wp:extent cx="6236970" cy="511746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6236970" cy="511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32303876" w:rsidR="00101C22" w:rsidRPr="0085768E" w:rsidRDefault="00466F15">
                            <w:pPr>
                              <w:rPr>
                                <w:b/>
                                <w:color w:val="FFFFFF" w:themeColor="background1"/>
                                <w:sz w:val="36"/>
                                <w:szCs w:val="36"/>
                              </w:rPr>
                            </w:pPr>
                            <w:r>
                              <w:rPr>
                                <w:b/>
                                <w:color w:val="FFFFFF" w:themeColor="background1"/>
                                <w:sz w:val="36"/>
                                <w:szCs w:val="36"/>
                              </w:rPr>
                              <w:t>J</w:t>
                            </w:r>
                            <w:r w:rsidR="001056D4">
                              <w:rPr>
                                <w:b/>
                                <w:color w:val="FFFFFF" w:themeColor="background1"/>
                                <w:sz w:val="36"/>
                                <w:szCs w:val="36"/>
                              </w:rPr>
                              <w:t xml:space="preserve">ulio a septiembre </w:t>
                            </w:r>
                            <w:r w:rsidR="00751E61">
                              <w:rPr>
                                <w:b/>
                                <w:color w:val="FFFFFF" w:themeColor="background1"/>
                                <w:sz w:val="36"/>
                                <w:szCs w:val="36"/>
                              </w:rPr>
                              <w:t>de 2024</w:t>
                            </w:r>
                          </w:p>
                          <w:p w14:paraId="2EB7BD8F" w14:textId="77777777" w:rsidR="00101C22" w:rsidRPr="0085768E" w:rsidRDefault="00101C22">
                            <w:pPr>
                              <w:rPr>
                                <w:b/>
                                <w:color w:val="FFFFFF" w:themeColor="background1"/>
                                <w:sz w:val="36"/>
                                <w:szCs w:val="36"/>
                              </w:rPr>
                            </w:pPr>
                          </w:p>
                          <w:p w14:paraId="59EFE686" w14:textId="4413EEEA"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w:t>
                            </w:r>
                            <w:r w:rsidR="001056D4">
                              <w:rPr>
                                <w:b/>
                                <w:color w:val="FFFFFF" w:themeColor="background1"/>
                                <w:sz w:val="72"/>
                                <w:szCs w:val="72"/>
                              </w:rPr>
                              <w:t>5</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21F54B52"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w:t>
                            </w:r>
                            <w:r w:rsidR="00423257">
                              <w:rPr>
                                <w:sz w:val="20"/>
                                <w:szCs w:val="20"/>
                              </w:rPr>
                              <w:t>Permanente Laboral</w:t>
                            </w:r>
                            <w:r w:rsidR="0046122C">
                              <w:rPr>
                                <w:sz w:val="20"/>
                                <w:szCs w:val="20"/>
                              </w:rPr>
                              <w:t xml:space="preserve"> de Derecho Procesal</w:t>
                            </w:r>
                            <w:r w:rsidR="005B57B6">
                              <w:rPr>
                                <w:sz w:val="20"/>
                                <w:szCs w:val="20"/>
                              </w:rPr>
                              <w:t xml:space="preserve"> (</w:t>
                            </w:r>
                            <w:r w:rsidR="0046122C">
                              <w:rPr>
                                <w:sz w:val="20"/>
                                <w:szCs w:val="20"/>
                              </w:rPr>
                              <w:t xml:space="preserve">ac. </w:t>
                            </w:r>
                            <w:r w:rsidR="001C29AF">
                              <w:rPr>
                                <w:sz w:val="20"/>
                                <w:szCs w:val="20"/>
                              </w:rPr>
                              <w:t>Prof. Titular</w:t>
                            </w:r>
                            <w:r w:rsidR="005B57B6">
                              <w:rPr>
                                <w:sz w:val="20"/>
                                <w:szCs w:val="20"/>
                              </w:rPr>
                              <w:t>)</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60.6pt;margin-top:34.05pt;width:491.1pt;height:40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" filled="f" stroked="f" strokeweight=".5pt">
                <v:textbox>
                  <w:txbxContent>
                    <w:p w14:paraId="4D436CF4" w14:textId="32303876" w:rsidR="00101C22" w:rsidRPr="0085768E" w:rsidRDefault="00466F15">
                      <w:pPr>
                        <w:rPr>
                          <w:b/>
                          <w:color w:val="FFFFFF" w:themeColor="background1"/>
                          <w:sz w:val="36"/>
                          <w:szCs w:val="36"/>
                        </w:rPr>
                      </w:pPr>
                      <w:r>
                        <w:rPr>
                          <w:b/>
                          <w:color w:val="FFFFFF" w:themeColor="background1"/>
                          <w:sz w:val="36"/>
                          <w:szCs w:val="36"/>
                        </w:rPr>
                        <w:t>J</w:t>
                      </w:r>
                      <w:r w:rsidR="001056D4">
                        <w:rPr>
                          <w:b/>
                          <w:color w:val="FFFFFF" w:themeColor="background1"/>
                          <w:sz w:val="36"/>
                          <w:szCs w:val="36"/>
                        </w:rPr>
                        <w:t xml:space="preserve">ulio a septiembre </w:t>
                      </w:r>
                      <w:r w:rsidR="00751E61">
                        <w:rPr>
                          <w:b/>
                          <w:color w:val="FFFFFF" w:themeColor="background1"/>
                          <w:sz w:val="36"/>
                          <w:szCs w:val="36"/>
                        </w:rPr>
                        <w:t>de 2024</w:t>
                      </w:r>
                    </w:p>
                    <w:p w14:paraId="2EB7BD8F" w14:textId="77777777" w:rsidR="00101C22" w:rsidRPr="0085768E" w:rsidRDefault="00101C22">
                      <w:pPr>
                        <w:rPr>
                          <w:b/>
                          <w:color w:val="FFFFFF" w:themeColor="background1"/>
                          <w:sz w:val="36"/>
                          <w:szCs w:val="36"/>
                        </w:rPr>
                      </w:pPr>
                    </w:p>
                    <w:p w14:paraId="59EFE686" w14:textId="4413EEEA"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w:t>
                      </w:r>
                      <w:r w:rsidR="001056D4">
                        <w:rPr>
                          <w:b/>
                          <w:color w:val="FFFFFF" w:themeColor="background1"/>
                          <w:sz w:val="72"/>
                          <w:szCs w:val="72"/>
                        </w:rPr>
                        <w:t>5</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21F54B52"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w:t>
                      </w:r>
                      <w:r w:rsidR="00423257">
                        <w:rPr>
                          <w:sz w:val="20"/>
                          <w:szCs w:val="20"/>
                        </w:rPr>
                        <w:t>Permanente Laboral</w:t>
                      </w:r>
                      <w:r w:rsidR="0046122C">
                        <w:rPr>
                          <w:sz w:val="20"/>
                          <w:szCs w:val="20"/>
                        </w:rPr>
                        <w:t xml:space="preserve"> de Derecho Procesal</w:t>
                      </w:r>
                      <w:r w:rsidR="005B57B6">
                        <w:rPr>
                          <w:sz w:val="20"/>
                          <w:szCs w:val="20"/>
                        </w:rPr>
                        <w:t xml:space="preserve"> (</w:t>
                      </w:r>
                      <w:r w:rsidR="0046122C">
                        <w:rPr>
                          <w:sz w:val="20"/>
                          <w:szCs w:val="20"/>
                        </w:rPr>
                        <w:t xml:space="preserve">ac. </w:t>
                      </w:r>
                      <w:r w:rsidR="001C29AF">
                        <w:rPr>
                          <w:sz w:val="20"/>
                          <w:szCs w:val="20"/>
                        </w:rPr>
                        <w:t>Prof. Titular</w:t>
                      </w:r>
                      <w:r w:rsidR="005B57B6">
                        <w:rPr>
                          <w:sz w:val="20"/>
                          <w:szCs w:val="20"/>
                        </w:rPr>
                        <w:t>)</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31E2C271" w14:textId="30D2FF45" w:rsidR="00D37249" w:rsidRDefault="00D37249" w:rsidP="00656A1A">
      <w:pPr>
        <w:spacing w:beforeLines="100" w:before="240" w:afterLines="100" w:after="240"/>
        <w:jc w:val="center"/>
        <w:rPr>
          <w:noProof/>
          <w:lang w:eastAsia="es-ES"/>
        </w:rPr>
      </w:pP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&#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000000" w:rsidP="00226C2F">
      <w:pPr>
        <w:jc w:val="center"/>
        <w:rPr>
          <w:b/>
          <w:color w:val="000000" w:themeColor="text1"/>
        </w:rPr>
      </w:pPr>
      <w:r>
        <w:rPr>
          <w:noProof/>
        </w:rPr>
        <w:pict w14:anchorId="1D053E93">
          <v:rect id="_x0000_i1025"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1EC9D140" w14:textId="3B22A3BD" w:rsidR="00104F0A" w:rsidRDefault="002B1E17" w:rsidP="002B1E17">
      <w:pPr>
        <w:spacing w:after="240"/>
        <w:jc w:val="both"/>
        <w:rPr>
          <w:b/>
          <w:bCs/>
        </w:rPr>
      </w:pPr>
      <w:r w:rsidRPr="002B1E17">
        <w:rPr>
          <w:b/>
          <w:bCs/>
        </w:rPr>
        <w:t>Sentencias</w:t>
      </w:r>
    </w:p>
    <w:p w14:paraId="3AF05D35" w14:textId="7DAE1805" w:rsidR="00253F67" w:rsidRPr="00253F67" w:rsidRDefault="00253F67" w:rsidP="002B1E17">
      <w:pPr>
        <w:spacing w:after="240"/>
        <w:jc w:val="both"/>
      </w:pPr>
      <w:hyperlink r:id="rId9" w:anchor="ctx1" w:history="1">
        <w:r w:rsidRPr="00253F67">
          <w:rPr>
            <w:rStyle w:val="Hipervnculo"/>
          </w:rPr>
          <w:t>Sentencia del Tribunal de Justicia (Sala Cuarta), de 4 de julio de 2024, asunto C-450/22, Caixabank y otros</w:t>
        </w:r>
      </w:hyperlink>
      <w:r>
        <w:t xml:space="preserve">. </w:t>
      </w:r>
      <w:r w:rsidRPr="00253F67">
        <w:t>«Procedimiento prejudicial — Cláusulas abusivas en los contratos celebrados con consumidores — Directiva 93/13/CEE — Contratos de préstamo hipotecario — Cláusulas de limitación de la variación de los tipos de interés — Cláusulas “suelo” — Acción colectiva de cesación del uso de esas cláusulas y de restitución de las cantidades pagadas en virtud de las mismas, que implica a un elevado número de profesionales y de consumidores — Carácter claro y comprensible de dichas cláusulas — Concepto de “consumidor medio, normalmente informado y razonablemente atento y perspicaz”»</w:t>
      </w:r>
      <w:r>
        <w:t>.</w:t>
      </w:r>
    </w:p>
    <w:p w14:paraId="5CA4DDF9" w14:textId="32348209" w:rsidR="00D15501" w:rsidRPr="00D15501" w:rsidRDefault="00D15501" w:rsidP="00253F67">
      <w:pPr>
        <w:jc w:val="both"/>
      </w:pPr>
      <w:hyperlink r:id="rId10" w:anchor="ctx1" w:history="1">
        <w:r w:rsidRPr="00D15501">
          <w:rPr>
            <w:rStyle w:val="Hipervnculo"/>
          </w:rPr>
          <w:t>Sentencia del Tribunal de Justicia (Sala Cuarta), de 11 de julio de 2024, asunto C-757/22, Meta Platforms Ireland</w:t>
        </w:r>
      </w:hyperlink>
      <w:r>
        <w:t xml:space="preserve">. </w:t>
      </w:r>
      <w:r w:rsidRPr="00D15501">
        <w:t>«Procedimiento prejudicial — Protección de las personas físicas en lo que respecta al tratamiento de datos personales — Reglamento (UE) 2016/679 — Artículo 12, apartado 1, primera frase — Transparencia de la información — Artículo 13, apartado 1, letras c) y e) — Obligación de información del responsable del tratamiento — Artículo 80, apartado 2 — Representación de los interesados por una asociación de defensa de los intereses de los consumidores — Acción de representación entablada sin mandato y con independencia de la vulneración de derechos concretos de un interesado — Acción basada en el incumplimiento por parte del responsable del tratamiento de su obligación de información — Concepto de “vulneración de los derechos del interesado como consecuencia del tratamiento”»</w:t>
      </w:r>
      <w:r>
        <w:t>.</w:t>
      </w:r>
    </w:p>
    <w:p w14:paraId="75A574B0" w14:textId="3395981B" w:rsidR="00D15501" w:rsidRDefault="00D15501" w:rsidP="00253F67">
      <w:pPr>
        <w:spacing w:before="240" w:after="240"/>
        <w:jc w:val="both"/>
      </w:pPr>
      <w:hyperlink r:id="rId11" w:anchor="ctx1" w:history="1">
        <w:r w:rsidRPr="00D15501">
          <w:rPr>
            <w:rStyle w:val="Hipervnculo"/>
          </w:rPr>
          <w:t>Sentencia del Tribunal de Justicia (Sala Segunda), de 29 de julio de 2024, asunto C-774/22, FTI Touristik</w:t>
        </w:r>
      </w:hyperlink>
      <w:r>
        <w:t xml:space="preserve">. </w:t>
      </w:r>
      <w:r w:rsidRPr="00D15501">
        <w:t>«Procedimiento prejudicial — Cooperación judicial en materia civil — Competencia judicial, reconocimiento y ejecución de resoluciones judiciales en materia civil y mercantil — Reglamento (UE) n.º 1215/2012 — Artículo 18 — Competencia judicial en materia de contratos celebrados por los consumidores — Determinación de la competencia internacional y territorial de los órganos jurisdiccionales de un Estado miembro — Elemento de extranjería — Viaje a un tercer Estado»</w:t>
      </w:r>
      <w:r>
        <w:t>.</w:t>
      </w:r>
    </w:p>
    <w:p w14:paraId="0CF92119" w14:textId="19F13D33" w:rsidR="00D15501" w:rsidRDefault="00D15501" w:rsidP="002B1E17">
      <w:pPr>
        <w:spacing w:after="240"/>
        <w:jc w:val="both"/>
      </w:pPr>
      <w:hyperlink r:id="rId12" w:anchor="ctx1" w:history="1">
        <w:r w:rsidRPr="00D15501">
          <w:rPr>
            <w:rStyle w:val="Hipervnculo"/>
          </w:rPr>
          <w:t>Sentencia del Tribunal de Justicia (Sala Segunda), de 29 de julio de 2024, asuntos acumulados C-771/22 y C-45/23, HDI Global</w:t>
        </w:r>
      </w:hyperlink>
      <w:r>
        <w:t xml:space="preserve">. </w:t>
      </w:r>
      <w:r w:rsidRPr="00D15501">
        <w:t>«Procedimiento prejudicial — Directiva (UE) 2015/2302 — Viajes combinados y servicios de viaje vinculados — Artículo 12 — Derecho a poner fin al contrato de viaje combinado — Derecho al reembolso completo de los pagos realizados por el viaje combinado — Circunstancias inevitables y extraordinarias — Pandemia de COVID‑19 — Artículo 17 — Insolvencia del organizador de viajes — Garantía de reembolso de todos los pagos realizados — Nivel elevado de protección del consumidor — Principio de igualdad de trato»</w:t>
      </w:r>
      <w:r>
        <w:t>.</w:t>
      </w:r>
    </w:p>
    <w:p w14:paraId="56C59E60" w14:textId="78644E74" w:rsidR="00253F67" w:rsidRDefault="00253F67" w:rsidP="002B1E17">
      <w:pPr>
        <w:spacing w:after="240"/>
        <w:jc w:val="both"/>
      </w:pPr>
      <w:hyperlink r:id="rId13" w:anchor="ctx1" w:history="1">
        <w:r w:rsidRPr="00253F67">
          <w:rPr>
            <w:rStyle w:val="Hipervnculo"/>
          </w:rPr>
          <w:t>Sentencia del Tribunal de Justicia (Sala Cuarta), de 5 de septiembre de 2024, asuntos acumulados C-498/22 a C-500/22, Novo Banco</w:t>
        </w:r>
      </w:hyperlink>
      <w:r>
        <w:t xml:space="preserve">. </w:t>
      </w:r>
      <w:r w:rsidRPr="00253F67">
        <w:t>«Procedimiento prejudicial — Saneamiento y liquidación de las entidades de crédito — Directiva 2001/24/CE — Artículos 3 y 6 — Medida de saneamiento adoptada con respecto a una entidad de crédito — Transferencia de las obligaciones y responsabilidades de esta entidad de crédito a un “banco puente” antes de la interposición de una demanda judicial dirigida a obtener el pago de un crédito frente a dicha entidad de crédito — Retransmisión a la misma entidad de crédito de algunas de esas obligaciones y responsabilidades — Ley del Estado miembro de apertura del procedimiento en cuestión (lex concursus) — Efectos de una medida de saneamiento en otros Estados miembros — Reconocimiento mutuo — Efectos del incumplimiento de la obligación de publicidad de la medida de saneamiento — Artículos 17, 21, 38 y 47 de la Carta de los Derechos Fundamentales de la Unión Europea — Derecho de propiedad — Tutela judicial efectiva — Protección de los consumidores — Directiva 93/13/CEE — Artículo 6, apartado 1 — Cláusulas abusivas — Principios de seguridad jurídica y de protección de la confianza legítima — Legitimación pasiva del “banco puente”»</w:t>
      </w:r>
      <w:r>
        <w:t>.</w:t>
      </w:r>
    </w:p>
    <w:p w14:paraId="7CC5F24E" w14:textId="581E9D4B" w:rsidR="001056D4" w:rsidRPr="001056D4" w:rsidRDefault="001056D4" w:rsidP="002B1E17">
      <w:pPr>
        <w:spacing w:after="240"/>
        <w:jc w:val="both"/>
      </w:pPr>
      <w:hyperlink r:id="rId14" w:anchor="ctx1" w:history="1">
        <w:r w:rsidRPr="00D15501">
          <w:rPr>
            <w:rStyle w:val="Hipervnculo"/>
          </w:rPr>
          <w:t>Sen</w:t>
        </w:r>
        <w:r w:rsidR="00D15501" w:rsidRPr="00D15501">
          <w:rPr>
            <w:rStyle w:val="Hipervnculo"/>
          </w:rPr>
          <w:t>tencia del Tribunal de Justicia (Sala Octava), de 26 de septiembre de 2024, asunto C-330/23, Aldi Süd</w:t>
        </w:r>
      </w:hyperlink>
      <w:r w:rsidR="00D15501">
        <w:t xml:space="preserve">. </w:t>
      </w:r>
      <w:r w:rsidR="00D15501" w:rsidRPr="00D15501">
        <w:t>«Procedimiento prejudicial — Protección de los consumidores — Indicación de los precios de los productos — Directiva 98/6/CE — Artículo 6 bis — Anuncios de reducción del precio — Requisitos — Concepto de “precio anterior” — Obligación de determinar la reducción del precio anunciada sobre la base del precio anterior»</w:t>
      </w:r>
      <w:r w:rsidR="00D15501">
        <w:t>.</w:t>
      </w:r>
    </w:p>
    <w:p w14:paraId="4D3CBABA" w14:textId="77777777" w:rsidR="00DE6AA5" w:rsidRPr="00CF3866" w:rsidRDefault="00DE6AA5" w:rsidP="002B1E17">
      <w:pPr>
        <w:spacing w:after="240"/>
        <w:jc w:val="both"/>
        <w:rPr>
          <w:b/>
          <w:bCs/>
        </w:rPr>
      </w:pPr>
    </w:p>
    <w:p w14:paraId="2F486A1A" w14:textId="5529CE06" w:rsidR="002B1E17" w:rsidRPr="002B1E17" w:rsidRDefault="00DA4C0E" w:rsidP="002B1E17">
      <w:pPr>
        <w:spacing w:after="240"/>
        <w:jc w:val="center"/>
        <w:rPr>
          <w:b/>
          <w:bCs/>
        </w:rPr>
      </w:pPr>
      <w:hyperlink r:id="rId15" w:history="1">
        <w:r w:rsidR="00000000">
          <w:rPr>
            <w:noProof/>
          </w:rPr>
          <w:pict w14:anchorId="77D885A1">
            <v:rect id="_x0000_i1026" alt="" style="width:425.2pt;height:.05pt;mso-width-percent:0;mso-height-percent:0;mso-width-percent:0;mso-height-percent:0" o:hralign="center" o:hrstd="t" o:hr="t" fillcolor="#a0a0a0" stroked="f"/>
          </w:pict>
        </w:r>
      </w:hyperlink>
    </w:p>
    <w:p w14:paraId="44358EA1" w14:textId="73C5EEEB" w:rsidR="00DE6AA5" w:rsidRDefault="00DE6AA5" w:rsidP="000D2B7E">
      <w:pPr>
        <w:spacing w:after="240"/>
        <w:rPr>
          <w:b/>
          <w:bCs/>
        </w:rPr>
      </w:pPr>
    </w:p>
    <w:p w14:paraId="0B6BB5D2" w14:textId="77777777" w:rsidR="00E1167D" w:rsidRDefault="00E1167D" w:rsidP="000D2B7E">
      <w:pPr>
        <w:spacing w:after="240"/>
        <w:rPr>
          <w:b/>
          <w:bCs/>
        </w:rPr>
      </w:pPr>
    </w:p>
    <w:p w14:paraId="101F0A4F" w14:textId="2860ADCD" w:rsidR="00B670BA" w:rsidRPr="002E4D27" w:rsidRDefault="00B670BA" w:rsidP="002B1E17">
      <w:pPr>
        <w:spacing w:after="240"/>
        <w:jc w:val="center"/>
        <w:rPr>
          <w:b/>
          <w:bCs/>
          <w:sz w:val="28"/>
          <w:szCs w:val="28"/>
        </w:rPr>
      </w:pPr>
      <w:r w:rsidRPr="000D7986">
        <w:rPr>
          <w:b/>
          <w:bCs/>
          <w:sz w:val="28"/>
          <w:szCs w:val="28"/>
        </w:rPr>
        <w:t>TRIBUNAL CONSTITUCIONAL</w:t>
      </w:r>
    </w:p>
    <w:p w14:paraId="038C0373" w14:textId="77777777" w:rsidR="0046122C" w:rsidRDefault="0046122C" w:rsidP="00B670BA">
      <w:pPr>
        <w:spacing w:after="240"/>
        <w:jc w:val="both"/>
        <w:rPr>
          <w:b/>
          <w:bCs/>
        </w:rPr>
      </w:pPr>
    </w:p>
    <w:p w14:paraId="1FF85B6E" w14:textId="2A4C3CF8" w:rsidR="00B670BA" w:rsidRDefault="00E1167D" w:rsidP="00B670BA">
      <w:pPr>
        <w:spacing w:after="240"/>
        <w:jc w:val="both"/>
        <w:rPr>
          <w:b/>
          <w:bCs/>
        </w:rPr>
      </w:pPr>
      <w:r>
        <w:rPr>
          <w:b/>
          <w:bCs/>
        </w:rPr>
        <w:t>Auto</w:t>
      </w:r>
    </w:p>
    <w:p w14:paraId="0FF342DE" w14:textId="1D5C499B" w:rsidR="00B10541" w:rsidRDefault="00E1167D" w:rsidP="00B670BA">
      <w:pPr>
        <w:spacing w:after="240"/>
        <w:jc w:val="both"/>
      </w:pPr>
      <w:hyperlink r:id="rId16" w:history="1">
        <w:r w:rsidRPr="00E1167D">
          <w:rPr>
            <w:rStyle w:val="Hipervnculo"/>
          </w:rPr>
          <w:t>Pleno. Auto 66/2024, de 2 de julio de 2024</w:t>
        </w:r>
      </w:hyperlink>
      <w:r>
        <w:t>. “</w:t>
      </w:r>
      <w:r w:rsidRPr="00E1167D">
        <w:t>Cuestión de inconstitucionalidad 2672-2024. Inadmite a trámite la cuestión de inconstitucionalidad 2672-2024, planteada por la Sección Tercera de la Sala de lo Contencioso-Administrativo del Tribunal Superior de Justicia de Cataluña, en relación con los artículos 6 y 9 de la Ley del Parlamento de Cataluña 24/2015, de 29 de julio, de medidas urgentes para afrontar la emergencia en el ámbito de la vivienda y la pobreza energética</w:t>
      </w:r>
      <w:r>
        <w:t>”.</w:t>
      </w:r>
    </w:p>
    <w:p w14:paraId="7880799A" w14:textId="77777777" w:rsidR="00E1167D" w:rsidRPr="00B10541" w:rsidRDefault="00E1167D" w:rsidP="00B670BA">
      <w:pPr>
        <w:spacing w:after="240"/>
        <w:jc w:val="both"/>
      </w:pPr>
    </w:p>
    <w:p w14:paraId="237386E8" w14:textId="1A7D90F3" w:rsidR="00B670BA" w:rsidRDefault="00000000" w:rsidP="002B1E17">
      <w:pPr>
        <w:spacing w:after="240"/>
        <w:jc w:val="center"/>
        <w:rPr>
          <w:b/>
          <w:bCs/>
          <w:sz w:val="28"/>
          <w:szCs w:val="28"/>
          <w:highlight w:val="yellow"/>
        </w:rPr>
      </w:pPr>
      <w:r>
        <w:rPr>
          <w:noProof/>
        </w:rPr>
        <w:pict w14:anchorId="1733329C">
          <v:rect id="_x0000_i1027" alt="" style="width:425.2pt;height:.05pt;mso-width-percent:0;mso-height-percent:0;mso-width-percent:0;mso-height-percent:0" o:hralign="center" o:hrstd="t" o:hr="t" fillcolor="#a0a0a0" stroked="f"/>
        </w:pict>
      </w:r>
    </w:p>
    <w:p w14:paraId="219D2AAD" w14:textId="4BC1925C" w:rsidR="00B670BA" w:rsidRPr="00EC2CA3" w:rsidRDefault="00B670BA" w:rsidP="002B1E17">
      <w:pPr>
        <w:spacing w:after="240"/>
        <w:jc w:val="center"/>
        <w:rPr>
          <w:b/>
          <w:bCs/>
          <w:sz w:val="28"/>
          <w:szCs w:val="28"/>
        </w:rPr>
      </w:pPr>
    </w:p>
    <w:p w14:paraId="6CD7E1B6" w14:textId="220B2BD4" w:rsidR="002B1E17" w:rsidRPr="00440EC2" w:rsidRDefault="002B1E17" w:rsidP="002B1E17">
      <w:pPr>
        <w:spacing w:after="240"/>
        <w:jc w:val="center"/>
        <w:rPr>
          <w:b/>
          <w:bCs/>
          <w:sz w:val="28"/>
          <w:szCs w:val="28"/>
        </w:rPr>
      </w:pPr>
      <w:r w:rsidRPr="00D838BF">
        <w:rPr>
          <w:b/>
          <w:bCs/>
          <w:sz w:val="28"/>
          <w:szCs w:val="28"/>
        </w:rPr>
        <w:lastRenderedPageBreak/>
        <w:t>TRIBUNAL SUPREMO</w:t>
      </w:r>
      <w:r w:rsidR="00C47765" w:rsidRPr="00D838BF">
        <w:rPr>
          <w:b/>
          <w:bCs/>
          <w:sz w:val="28"/>
          <w:szCs w:val="28"/>
        </w:rPr>
        <w:t xml:space="preserve"> (CENDOJ – Selección)</w:t>
      </w:r>
    </w:p>
    <w:p w14:paraId="1655A519" w14:textId="77777777" w:rsidR="00AF4B65" w:rsidRDefault="00AF4B65" w:rsidP="00D637F0">
      <w:pPr>
        <w:spacing w:after="240"/>
        <w:jc w:val="both"/>
        <w:rPr>
          <w:b/>
          <w:bCs/>
        </w:rPr>
      </w:pPr>
    </w:p>
    <w:p w14:paraId="1F88A802" w14:textId="3BA5EADD" w:rsidR="000F487E" w:rsidRDefault="000F487E" w:rsidP="00A8324B">
      <w:pPr>
        <w:spacing w:after="240"/>
        <w:jc w:val="both"/>
        <w:rPr>
          <w:b/>
          <w:bCs/>
        </w:rPr>
      </w:pPr>
      <w:r w:rsidRPr="000F487E">
        <w:rPr>
          <w:b/>
          <w:bCs/>
        </w:rPr>
        <w:t>Cláusulas abusivas. Condición de consumidor</w:t>
      </w:r>
    </w:p>
    <w:p w14:paraId="672FFE2B" w14:textId="4314B289" w:rsidR="00BD092B" w:rsidRPr="00BD092B" w:rsidRDefault="00BD092B" w:rsidP="00A8324B">
      <w:pPr>
        <w:spacing w:after="240"/>
        <w:jc w:val="both"/>
      </w:pPr>
      <w:hyperlink r:id="rId17" w:history="1">
        <w:r w:rsidRPr="00BD092B">
          <w:rPr>
            <w:rStyle w:val="Hipervnculo"/>
          </w:rPr>
          <w:t>STS, Sala Primera, 1059/2024, de 22 de julio de 2024</w:t>
        </w:r>
      </w:hyperlink>
      <w:r>
        <w:t>. “</w:t>
      </w:r>
      <w:r w:rsidRPr="00BD092B">
        <w:t>Préstamo hipotecario multidivisa para la compra de un inmueble dedicado al turismo rural. Condición de consumidor. Concepto ajustado a la jurisprudencia del Tribunal de Justicia de la Unión Europea, referido al ámbito objetivo de la operación</w:t>
      </w:r>
      <w:r>
        <w:t xml:space="preserve">”. </w:t>
      </w:r>
    </w:p>
    <w:p w14:paraId="377C8497" w14:textId="3A051825" w:rsidR="00E1167D" w:rsidRDefault="003871CA" w:rsidP="00A8324B">
      <w:pPr>
        <w:spacing w:after="240"/>
        <w:jc w:val="both"/>
      </w:pPr>
      <w:hyperlink r:id="rId18" w:history="1">
        <w:r w:rsidRPr="003871CA">
          <w:rPr>
            <w:rStyle w:val="Hipervnculo"/>
          </w:rPr>
          <w:t>STS, Sala Primera, 1104/2024, de 16 de septiembre de 2024</w:t>
        </w:r>
      </w:hyperlink>
      <w:r>
        <w:t>. “</w:t>
      </w:r>
      <w:r w:rsidRPr="003871CA">
        <w:t>Nulidad de cláusula suelo en préstamo hipotecario. Prestatario que es una asociación sin ánimo de lucro: condición de consumidor. Interpretación del concepto de consumidor según la Directiva y jurisprudencia comunitaria</w:t>
      </w:r>
      <w:r>
        <w:t xml:space="preserve">”. </w:t>
      </w:r>
    </w:p>
    <w:p w14:paraId="707C1902" w14:textId="77777777" w:rsidR="00DB3973" w:rsidRDefault="00DB3973" w:rsidP="00A8324B">
      <w:pPr>
        <w:spacing w:after="240"/>
        <w:jc w:val="both"/>
      </w:pPr>
    </w:p>
    <w:p w14:paraId="660AA13B" w14:textId="15199652" w:rsidR="00C850E3" w:rsidRDefault="00904AD1" w:rsidP="00A8324B">
      <w:pPr>
        <w:spacing w:after="240"/>
        <w:jc w:val="both"/>
        <w:rPr>
          <w:b/>
          <w:bCs/>
        </w:rPr>
      </w:pPr>
      <w:r>
        <w:rPr>
          <w:b/>
          <w:bCs/>
        </w:rPr>
        <w:t>Préstamos con garantía hipotecaria. Cláusula</w:t>
      </w:r>
      <w:r w:rsidR="0046122C">
        <w:rPr>
          <w:b/>
          <w:bCs/>
        </w:rPr>
        <w:t>s</w:t>
      </w:r>
      <w:r>
        <w:rPr>
          <w:b/>
          <w:bCs/>
        </w:rPr>
        <w:t xml:space="preserve"> “suelo”</w:t>
      </w:r>
      <w:r w:rsidR="00CD66C6">
        <w:rPr>
          <w:b/>
          <w:bCs/>
        </w:rPr>
        <w:t xml:space="preserve"> </w:t>
      </w:r>
    </w:p>
    <w:p w14:paraId="11A87E7D" w14:textId="149DE8F2" w:rsidR="00BD092B" w:rsidRPr="00BD092B" w:rsidRDefault="00BD092B" w:rsidP="00A8324B">
      <w:pPr>
        <w:spacing w:after="240"/>
        <w:jc w:val="both"/>
      </w:pPr>
      <w:hyperlink r:id="rId19" w:history="1">
        <w:r w:rsidRPr="00BD092B">
          <w:rPr>
            <w:rStyle w:val="Hipervnculo"/>
          </w:rPr>
          <w:t>STS, Sala Primera, 1028/2024, de 17 de julio de 2024</w:t>
        </w:r>
      </w:hyperlink>
      <w:r>
        <w:t>. “</w:t>
      </w:r>
      <w:r w:rsidRPr="00BD092B">
        <w:t>Cláusula suelo. Acuerdos posteriores que primero reducen y luego suprimen la cláusula e incluyen una renuncia de acciones genérica. Validez del acuerdo novatorio porque supera el control de transparencia. Nulidad de la cláusula de renuncia de acciones</w:t>
      </w:r>
      <w:r>
        <w:t xml:space="preserve">”. </w:t>
      </w:r>
    </w:p>
    <w:p w14:paraId="532BED05" w14:textId="469F13C6" w:rsidR="003871CA" w:rsidRPr="003871CA" w:rsidRDefault="003871CA" w:rsidP="00A8324B">
      <w:pPr>
        <w:spacing w:after="240"/>
        <w:jc w:val="both"/>
      </w:pPr>
      <w:hyperlink r:id="rId20" w:history="1">
        <w:r w:rsidRPr="003871CA">
          <w:rPr>
            <w:rStyle w:val="Hipervnculo"/>
          </w:rPr>
          <w:t>STS, Sala Primera, 1097/2024, de 10 de septiembre de 2024</w:t>
        </w:r>
      </w:hyperlink>
      <w:r>
        <w:t>. “</w:t>
      </w:r>
      <w:r w:rsidRPr="003871CA">
        <w:t>Cláusula suelo. Acuerdo novatorio que suprime la cláusula suelo y contienen una cláusula de renuncia de acciones. Control de transparencia</w:t>
      </w:r>
      <w:r>
        <w:t xml:space="preserve">”. </w:t>
      </w:r>
    </w:p>
    <w:p w14:paraId="74BDC559" w14:textId="404C6C5C" w:rsidR="00165179" w:rsidRPr="00165179" w:rsidRDefault="00165179" w:rsidP="00A8324B">
      <w:pPr>
        <w:spacing w:after="240"/>
        <w:jc w:val="both"/>
      </w:pPr>
      <w:hyperlink r:id="rId21" w:history="1">
        <w:r w:rsidRPr="00165179">
          <w:rPr>
            <w:rStyle w:val="Hipervnculo"/>
          </w:rPr>
          <w:t>STS, Sala Primera, 1105/2024, de 16 de septiembre de 2024</w:t>
        </w:r>
      </w:hyperlink>
      <w:r>
        <w:t>. “</w:t>
      </w:r>
      <w:r w:rsidRPr="00165179">
        <w:t>Condiciones generales de la contratación. Juicio de transparencia de cláusula suelo incluida en préstamo hipotecario celebrado con consumidores. Novación de cláusula suelo antes de la STS de 9 de mayo de 2013</w:t>
      </w:r>
      <w:r>
        <w:t xml:space="preserve">”. </w:t>
      </w:r>
    </w:p>
    <w:p w14:paraId="7C82A1CD" w14:textId="6597D1FE" w:rsidR="00862FE9" w:rsidRPr="00862FE9" w:rsidRDefault="00862FE9" w:rsidP="00A8324B">
      <w:pPr>
        <w:spacing w:after="240"/>
        <w:jc w:val="both"/>
      </w:pPr>
      <w:hyperlink r:id="rId22" w:history="1">
        <w:r w:rsidRPr="00862FE9">
          <w:rPr>
            <w:rStyle w:val="Hipervnculo"/>
          </w:rPr>
          <w:t>STS, Sala Primera, 1134/2024, de 17 de septiembre de 2024</w:t>
        </w:r>
      </w:hyperlink>
      <w:r>
        <w:t>. “</w:t>
      </w:r>
      <w:r w:rsidRPr="00862FE9">
        <w:t>Validez de la estipulación del contrato privado que modifica la originaria cláusula suelo y nulidad de la cláusula de renuncia de acciones. Reiteración de jurisprudencia</w:t>
      </w:r>
      <w:r>
        <w:t xml:space="preserve">”. </w:t>
      </w:r>
    </w:p>
    <w:p w14:paraId="051BDE32" w14:textId="530D4F6C" w:rsidR="00C850E3" w:rsidRPr="00C850E3" w:rsidRDefault="00C850E3" w:rsidP="00A8324B">
      <w:pPr>
        <w:spacing w:after="240"/>
        <w:jc w:val="both"/>
      </w:pPr>
      <w:hyperlink r:id="rId23" w:history="1">
        <w:r w:rsidRPr="00C850E3">
          <w:rPr>
            <w:rStyle w:val="Hipervnculo"/>
          </w:rPr>
          <w:t>STS, Sala Primera, 1145/2024, de 18 de septiembre de 2024</w:t>
        </w:r>
      </w:hyperlink>
      <w:r>
        <w:t>. “</w:t>
      </w:r>
      <w:r w:rsidRPr="00C850E3">
        <w:t>Préstamo hipotecario con consumidores. Cláusula suelo. Acuerdo que suprime la inicial cláusula suelo y contiene una renuncia de acciones. Nulidad de la renuncia. Nulidad de la cláusula suelo. Control de transparencia. Costas procesales</w:t>
      </w:r>
      <w:r>
        <w:t>”.</w:t>
      </w:r>
    </w:p>
    <w:p w14:paraId="42D569AF" w14:textId="26AD0D27" w:rsidR="00C850E3" w:rsidRPr="00C850E3" w:rsidRDefault="00C850E3" w:rsidP="00A8324B">
      <w:pPr>
        <w:spacing w:after="240"/>
        <w:jc w:val="both"/>
      </w:pPr>
      <w:hyperlink r:id="rId24" w:history="1">
        <w:r w:rsidRPr="00C850E3">
          <w:rPr>
            <w:rStyle w:val="Hipervnculo"/>
          </w:rPr>
          <w:t>STS, Sala Primera, 1157/2024, de 23 de septiembre de 2024</w:t>
        </w:r>
      </w:hyperlink>
      <w:r>
        <w:t>. “</w:t>
      </w:r>
      <w:r w:rsidRPr="00C850E3">
        <w:t>Préstamo hipotecario con consumidores. Cláusula suelo. Acuerdo posterior que elimina la cláusula e incluye una renuncia de acciones. Nulidad de la renuncia por no superar el control de transparencia. Reiteración de jurisprudencia</w:t>
      </w:r>
      <w:r>
        <w:t xml:space="preserve">”. </w:t>
      </w:r>
    </w:p>
    <w:p w14:paraId="2D773F6F" w14:textId="40D83E28" w:rsidR="00C850E3" w:rsidRPr="00C850E3" w:rsidRDefault="00C850E3" w:rsidP="00A8324B">
      <w:pPr>
        <w:spacing w:after="240"/>
        <w:jc w:val="both"/>
      </w:pPr>
      <w:hyperlink r:id="rId25" w:history="1">
        <w:r w:rsidRPr="00C850E3">
          <w:rPr>
            <w:rStyle w:val="Hipervnculo"/>
          </w:rPr>
          <w:t>STS, Sala Primera, 1168/2024, de 24 de septiembre de 2024</w:t>
        </w:r>
      </w:hyperlink>
      <w:r>
        <w:t>. “</w:t>
      </w:r>
      <w:r w:rsidRPr="00C850E3">
        <w:t>Novación cláusula suelo de préstamos hipotecarios y renuncia de acciones. Valoración de su transparencia y abusividad. Reiteración de jurisprudencia</w:t>
      </w:r>
      <w:r>
        <w:t xml:space="preserve">”. </w:t>
      </w:r>
    </w:p>
    <w:p w14:paraId="5C2B71B3" w14:textId="3F4A3F48" w:rsidR="00E01210" w:rsidRDefault="00C850E3" w:rsidP="00E1167D">
      <w:pPr>
        <w:spacing w:after="240"/>
        <w:jc w:val="both"/>
      </w:pPr>
      <w:hyperlink r:id="rId26" w:history="1">
        <w:r w:rsidRPr="00C850E3">
          <w:rPr>
            <w:rStyle w:val="Hipervnculo"/>
          </w:rPr>
          <w:t>STS, Sala Primera, 1169/2024, de 24 de septiembre de 2024</w:t>
        </w:r>
      </w:hyperlink>
      <w:r>
        <w:t>. “</w:t>
      </w:r>
      <w:r w:rsidRPr="00C850E3">
        <w:t>Préstamo hipotecario con consumidores. Cláusula suelo. Acuerdo posterior que elimina la cláusula e incluye una renuncia de acciones. Validez de los acuerdos novatorios. Nulidad de la cláusula de renuncia de acciones. Costas procesales</w:t>
      </w:r>
      <w:r>
        <w:t xml:space="preserve">”. </w:t>
      </w:r>
    </w:p>
    <w:p w14:paraId="2720FA3E" w14:textId="393B5B33" w:rsidR="00C850E3" w:rsidRDefault="00C850E3" w:rsidP="00E1167D">
      <w:pPr>
        <w:spacing w:after="240"/>
        <w:jc w:val="both"/>
      </w:pPr>
      <w:hyperlink r:id="rId27" w:history="1">
        <w:r w:rsidRPr="00C850E3">
          <w:rPr>
            <w:rStyle w:val="Hipervnculo"/>
          </w:rPr>
          <w:t>STS, Sala Primera, 1172/2024, de 24 de septiembre de 2024</w:t>
        </w:r>
      </w:hyperlink>
      <w:r>
        <w:t>. “</w:t>
      </w:r>
      <w:r w:rsidRPr="00C850E3">
        <w:t>Novación de cláusula suelo de préstamos hipotecarios con consumidores. Nulidad de la cláusula de renuncia de acciones. Valoración de su transparencia y abusividad. Reiteración de jurisprudencia</w:t>
      </w:r>
      <w:r>
        <w:t xml:space="preserve">”. </w:t>
      </w:r>
    </w:p>
    <w:p w14:paraId="352672D8" w14:textId="77777777" w:rsidR="00DB3973" w:rsidRDefault="00DB3973" w:rsidP="00E1167D">
      <w:pPr>
        <w:spacing w:after="240"/>
        <w:jc w:val="both"/>
      </w:pPr>
    </w:p>
    <w:p w14:paraId="11C7B3CB" w14:textId="5B5286A8" w:rsidR="00D43ECE" w:rsidRDefault="00D43ECE" w:rsidP="00D43ECE">
      <w:pPr>
        <w:spacing w:after="240"/>
        <w:jc w:val="both"/>
        <w:rPr>
          <w:b/>
          <w:bCs/>
        </w:rPr>
      </w:pPr>
      <w:r>
        <w:rPr>
          <w:b/>
          <w:bCs/>
        </w:rPr>
        <w:t>Préstamos con garantía hipotecaria. Cláusula</w:t>
      </w:r>
      <w:r w:rsidR="00DB3973">
        <w:rPr>
          <w:b/>
          <w:bCs/>
        </w:rPr>
        <w:t>s</w:t>
      </w:r>
      <w:r>
        <w:rPr>
          <w:b/>
          <w:bCs/>
        </w:rPr>
        <w:t xml:space="preserve"> de gastos </w:t>
      </w:r>
    </w:p>
    <w:p w14:paraId="2CB40D0F" w14:textId="51C4D3C8" w:rsidR="007B22DB" w:rsidRPr="007B22DB" w:rsidRDefault="007B22DB" w:rsidP="00D43ECE">
      <w:pPr>
        <w:spacing w:after="240"/>
        <w:jc w:val="both"/>
      </w:pPr>
      <w:hyperlink r:id="rId28" w:history="1">
        <w:r w:rsidRPr="007B22DB">
          <w:rPr>
            <w:rStyle w:val="Hipervnculo"/>
          </w:rPr>
          <w:t>STS, Sala Primera, 966/2024, de 9 de julio de 2024</w:t>
        </w:r>
      </w:hyperlink>
      <w:r>
        <w:t>. “</w:t>
      </w:r>
      <w:r w:rsidRPr="007B22DB">
        <w:t xml:space="preserve">Acción de nulidad de la cláusula que imputa al prestatario los gastos relativos a la escritura de compraventa con subrogación en el préstamo hipotecario. Costas en procedimientos sobre cláusulas abusivas en contratos con </w:t>
      </w:r>
      <w:r>
        <w:t xml:space="preserve">consumidores”. </w:t>
      </w:r>
    </w:p>
    <w:p w14:paraId="04BF0BA7" w14:textId="61FCDA52" w:rsidR="003871CA" w:rsidRPr="003871CA" w:rsidRDefault="003871CA" w:rsidP="00D43ECE">
      <w:pPr>
        <w:spacing w:after="240"/>
        <w:jc w:val="both"/>
      </w:pPr>
      <w:hyperlink r:id="rId29" w:history="1">
        <w:r w:rsidRPr="003871CA">
          <w:rPr>
            <w:rStyle w:val="Hipervnculo"/>
          </w:rPr>
          <w:t>STS, Sala Primera, 1048/2024, de 22 de julio de 2024</w:t>
        </w:r>
      </w:hyperlink>
      <w:r>
        <w:t>. “</w:t>
      </w:r>
      <w:r w:rsidRPr="003871CA">
        <w:t>Cláusula de gastos hipotecarios en que se establece un reparto entre las partes. Cualidad de condición general de la contratación de dicha cláusula. Abusividad</w:t>
      </w:r>
      <w:r>
        <w:t xml:space="preserve">”. </w:t>
      </w:r>
    </w:p>
    <w:p w14:paraId="665C0380" w14:textId="1F108E9B" w:rsidR="00E1167D" w:rsidRDefault="00E1167D" w:rsidP="006B6B86">
      <w:pPr>
        <w:spacing w:after="240"/>
        <w:jc w:val="both"/>
      </w:pPr>
      <w:hyperlink r:id="rId30" w:history="1">
        <w:r w:rsidRPr="00E1167D">
          <w:rPr>
            <w:rStyle w:val="Hipervnculo"/>
          </w:rPr>
          <w:t>STS, Sala Primera, 1224/2024, de 30 de septiembre de 2024</w:t>
        </w:r>
      </w:hyperlink>
      <w:r>
        <w:t>. “</w:t>
      </w:r>
      <w:r w:rsidRPr="00E1167D">
        <w:t>Gastos hipotecarios. Reiteración de la jurisprudencia de la sala</w:t>
      </w:r>
      <w:r>
        <w:t xml:space="preserve">”. </w:t>
      </w:r>
    </w:p>
    <w:p w14:paraId="593B8462" w14:textId="77777777" w:rsidR="00DB3973" w:rsidRDefault="00DB3973" w:rsidP="006B6B86">
      <w:pPr>
        <w:spacing w:after="240"/>
        <w:jc w:val="both"/>
      </w:pPr>
    </w:p>
    <w:p w14:paraId="691227CC" w14:textId="39C9381C" w:rsidR="00274E63" w:rsidRDefault="0004481A" w:rsidP="006B6B86">
      <w:pPr>
        <w:spacing w:after="240"/>
        <w:jc w:val="both"/>
        <w:rPr>
          <w:b/>
          <w:bCs/>
        </w:rPr>
      </w:pPr>
      <w:r w:rsidRPr="0004481A">
        <w:rPr>
          <w:b/>
          <w:bCs/>
        </w:rPr>
        <w:t xml:space="preserve">Préstamos con garantía hipotecaria. </w:t>
      </w:r>
      <w:r w:rsidR="00904AD1">
        <w:rPr>
          <w:b/>
          <w:bCs/>
        </w:rPr>
        <w:t>Cláusula</w:t>
      </w:r>
      <w:r w:rsidR="00DB3973">
        <w:rPr>
          <w:b/>
          <w:bCs/>
        </w:rPr>
        <w:t>s</w:t>
      </w:r>
      <w:r w:rsidR="00904AD1">
        <w:rPr>
          <w:b/>
          <w:bCs/>
        </w:rPr>
        <w:t xml:space="preserve"> </w:t>
      </w:r>
      <w:r w:rsidR="00DB3973">
        <w:rPr>
          <w:b/>
          <w:bCs/>
        </w:rPr>
        <w:t>m</w:t>
      </w:r>
      <w:r w:rsidR="00DB3973" w:rsidRPr="0004481A">
        <w:rPr>
          <w:b/>
          <w:bCs/>
        </w:rPr>
        <w:t>ultidivisa</w:t>
      </w:r>
    </w:p>
    <w:p w14:paraId="22847BA8" w14:textId="48690AF6" w:rsidR="00C84680" w:rsidRPr="00C84680" w:rsidRDefault="00C84680" w:rsidP="006B6B86">
      <w:pPr>
        <w:spacing w:after="240"/>
        <w:jc w:val="both"/>
      </w:pPr>
      <w:hyperlink r:id="rId31" w:history="1">
        <w:r w:rsidRPr="00C84680">
          <w:rPr>
            <w:rStyle w:val="Hipervnculo"/>
          </w:rPr>
          <w:t>STS, Sala Primera, 1055/2024, de 22 de julio de 2024</w:t>
        </w:r>
      </w:hyperlink>
      <w:r>
        <w:t>. “</w:t>
      </w:r>
      <w:r w:rsidRPr="00C84680">
        <w:t>Clausula multidivisa. Control de transparencia. Información precontractual. Suficiencia de la proporcionada por el documento de primera disposición</w:t>
      </w:r>
      <w:r>
        <w:t>”.</w:t>
      </w:r>
    </w:p>
    <w:p w14:paraId="74B4C7D5" w14:textId="0C11FCC7" w:rsidR="003871CA" w:rsidRDefault="00C84680" w:rsidP="006B6B86">
      <w:pPr>
        <w:spacing w:after="240"/>
        <w:jc w:val="both"/>
      </w:pPr>
      <w:hyperlink r:id="rId32" w:history="1">
        <w:r w:rsidRPr="00C84680">
          <w:rPr>
            <w:rStyle w:val="Hipervnculo"/>
          </w:rPr>
          <w:t>STS, Sala Primera, 1056/2024, de 22 de julio de 2024</w:t>
        </w:r>
      </w:hyperlink>
      <w:r>
        <w:t>. “</w:t>
      </w:r>
      <w:r w:rsidRPr="00C84680">
        <w:t>Nulidad de clausulado multidivisa en préstamo hipotecario con consumidores. Falta de transparencia y abusividad. Cláusula de ampliación de garantías y vencimiento anticipado. Reiteración de la jurisprudencia de la sala</w:t>
      </w:r>
      <w:r>
        <w:t xml:space="preserve">”. </w:t>
      </w:r>
    </w:p>
    <w:p w14:paraId="291B0AF4" w14:textId="6306C0A6" w:rsidR="00BD092B" w:rsidRDefault="00BD092B" w:rsidP="006B6B86">
      <w:pPr>
        <w:spacing w:after="240"/>
        <w:jc w:val="both"/>
      </w:pPr>
      <w:hyperlink r:id="rId33" w:history="1">
        <w:r w:rsidRPr="00BD092B">
          <w:rPr>
            <w:rStyle w:val="Hipervnculo"/>
          </w:rPr>
          <w:t>STS, Sala Primera, 1061/2024, de 22 de julio de 2024</w:t>
        </w:r>
      </w:hyperlink>
      <w:r>
        <w:t>. “</w:t>
      </w:r>
      <w:r w:rsidRPr="00BD092B">
        <w:t>Préstamo hipotecario con consumidores. Nulidad de las cláusulas relativas a la opción multidivisa. Reiteración de jurisprudencia sobre el control de transparencia y abusividad. Diferencia con los préstamos indexados en divisas</w:t>
      </w:r>
      <w:r>
        <w:t xml:space="preserve">”. </w:t>
      </w:r>
    </w:p>
    <w:p w14:paraId="2F70E02E" w14:textId="1942E6D0" w:rsidR="00C84680" w:rsidRPr="00C84680" w:rsidRDefault="00C84680" w:rsidP="006B6B86">
      <w:pPr>
        <w:spacing w:after="240"/>
        <w:jc w:val="both"/>
      </w:pPr>
      <w:hyperlink r:id="rId34" w:history="1">
        <w:r w:rsidRPr="00C84680">
          <w:rPr>
            <w:rStyle w:val="Hipervnculo"/>
          </w:rPr>
          <w:t>STS, Sala Primera, 1062/2024, de 22 de julio de 2024</w:t>
        </w:r>
      </w:hyperlink>
      <w:r>
        <w:t>. “</w:t>
      </w:r>
      <w:r w:rsidRPr="00C84680">
        <w:t xml:space="preserve">Préstamo hipotecario. Nulidad del </w:t>
      </w:r>
      <w:r w:rsidR="007B22DB" w:rsidRPr="00C84680">
        <w:t>clausulado</w:t>
      </w:r>
      <w:r w:rsidRPr="00C84680">
        <w:t xml:space="preserve"> multidivisa por abusiva al no superar el control de transparencia ya que no aparece justificado que los demandantes antes de la concertación del préstamo conocieran sus riesgos básicos</w:t>
      </w:r>
      <w:r>
        <w:t xml:space="preserve">”. </w:t>
      </w:r>
    </w:p>
    <w:p w14:paraId="4313FF3D" w14:textId="77346B1A" w:rsidR="00E1167D" w:rsidRDefault="003871CA" w:rsidP="009C3A9F">
      <w:pPr>
        <w:spacing w:after="240"/>
        <w:jc w:val="both"/>
      </w:pPr>
      <w:hyperlink r:id="rId35" w:history="1">
        <w:r w:rsidRPr="003871CA">
          <w:rPr>
            <w:rStyle w:val="Hipervnculo"/>
          </w:rPr>
          <w:t>STS, Sala Primera, 1114/2024, de 16 de septiembre de 2024</w:t>
        </w:r>
      </w:hyperlink>
      <w:r>
        <w:t>. “</w:t>
      </w:r>
      <w:r w:rsidRPr="003871CA">
        <w:t xml:space="preserve">Préstamo hipotecario </w:t>
      </w:r>
      <w:r w:rsidR="007B22DB" w:rsidRPr="003871CA">
        <w:t>multidivisa</w:t>
      </w:r>
      <w:r w:rsidRPr="003871CA">
        <w:t xml:space="preserve"> con consumidores. Nulidad de las cláusulas relativas a la opción multidivisa. Reiteración de jurisprudencia sobre el control de transparencia y abusividad. Diferencia con los préstamos indexados en divisas</w:t>
      </w:r>
      <w:r>
        <w:t xml:space="preserve">”. </w:t>
      </w:r>
    </w:p>
    <w:p w14:paraId="5A1DC04B" w14:textId="77777777" w:rsidR="00DB3973" w:rsidRDefault="00DB3973" w:rsidP="009C3A9F">
      <w:pPr>
        <w:spacing w:after="240"/>
        <w:jc w:val="both"/>
        <w:rPr>
          <w:b/>
          <w:bCs/>
        </w:rPr>
      </w:pPr>
    </w:p>
    <w:p w14:paraId="2BE3918D" w14:textId="4DAF535C" w:rsidR="003102CA" w:rsidRDefault="009C3A9F" w:rsidP="009C3A9F">
      <w:pPr>
        <w:spacing w:after="240"/>
        <w:jc w:val="both"/>
        <w:rPr>
          <w:b/>
          <w:bCs/>
        </w:rPr>
      </w:pPr>
      <w:r w:rsidRPr="006B6B86">
        <w:rPr>
          <w:b/>
          <w:bCs/>
        </w:rPr>
        <w:t>Cláusulas abusivas y costas procesales</w:t>
      </w:r>
    </w:p>
    <w:p w14:paraId="45CEA770" w14:textId="36D8043B" w:rsidR="007B22DB" w:rsidRDefault="007B22DB" w:rsidP="009C3A9F">
      <w:pPr>
        <w:spacing w:after="240"/>
        <w:jc w:val="both"/>
      </w:pPr>
      <w:hyperlink r:id="rId36" w:history="1">
        <w:r w:rsidRPr="007B22DB">
          <w:rPr>
            <w:rStyle w:val="Hipervnculo"/>
          </w:rPr>
          <w:t>STS, Sala Primera, 969/2024, de 9 de julio de 2024</w:t>
        </w:r>
      </w:hyperlink>
      <w:r>
        <w:t>. “</w:t>
      </w:r>
      <w:r w:rsidRPr="007B22DB">
        <w:t>Costas en procedimientos sobre cláusulas abusivas en contratos con consumidores. Allanamiento en casación</w:t>
      </w:r>
      <w:r>
        <w:t xml:space="preserve">”. </w:t>
      </w:r>
    </w:p>
    <w:p w14:paraId="18272546" w14:textId="4AE57AA0" w:rsidR="007B22DB" w:rsidRPr="007B22DB" w:rsidRDefault="007B22DB" w:rsidP="009C3A9F">
      <w:pPr>
        <w:spacing w:after="240"/>
        <w:jc w:val="both"/>
      </w:pPr>
      <w:hyperlink r:id="rId37" w:history="1">
        <w:r w:rsidRPr="007B22DB">
          <w:rPr>
            <w:rStyle w:val="Hipervnculo"/>
          </w:rPr>
          <w:t>STS, Sala Primera, 974/2024, de 9 de julio de 2024</w:t>
        </w:r>
      </w:hyperlink>
      <w:r>
        <w:t>. “</w:t>
      </w:r>
      <w:r w:rsidRPr="007B22DB">
        <w:t>Nulidad de las cláusulas de gastos, y resolución anticipada, de la escritura de 7 de agosto de 2007, de modificación y ampliación de préstamo. Costas en aplicación de la sentencia del TJUE de 16 de julio de 2020, C-224/19 y C-259/19</w:t>
      </w:r>
      <w:r>
        <w:t xml:space="preserve">”. </w:t>
      </w:r>
    </w:p>
    <w:p w14:paraId="1E903CF5" w14:textId="01327B5F" w:rsidR="00BD092B" w:rsidRPr="00BD092B" w:rsidRDefault="00BD092B" w:rsidP="009C3A9F">
      <w:pPr>
        <w:spacing w:after="240"/>
        <w:jc w:val="both"/>
      </w:pPr>
      <w:hyperlink r:id="rId38" w:history="1">
        <w:r w:rsidRPr="00BD092B">
          <w:rPr>
            <w:rStyle w:val="Hipervnculo"/>
          </w:rPr>
          <w:t>STS, Sala Primera, 977/2024, de 9 de julio de 2024</w:t>
        </w:r>
      </w:hyperlink>
      <w:r>
        <w:t>. “</w:t>
      </w:r>
      <w:r w:rsidRPr="00BD092B">
        <w:t>Nulidad de la cláusula de gastos inserta en préstamo hipotecario con consumidores. Costas de primera instancia en casos de estimación parcial. Reiteración de jurisprudencia</w:t>
      </w:r>
      <w:r>
        <w:t xml:space="preserve">”. </w:t>
      </w:r>
    </w:p>
    <w:p w14:paraId="3AEF6F01" w14:textId="76DDF250" w:rsidR="00C84680" w:rsidRPr="00C84680" w:rsidRDefault="00C84680" w:rsidP="009C3A9F">
      <w:pPr>
        <w:spacing w:after="240"/>
        <w:jc w:val="both"/>
      </w:pPr>
      <w:hyperlink r:id="rId39" w:history="1">
        <w:r w:rsidRPr="00BD092B">
          <w:rPr>
            <w:rStyle w:val="Hipervnculo"/>
          </w:rPr>
          <w:t xml:space="preserve">STS, Sala Primera, </w:t>
        </w:r>
        <w:r w:rsidR="00BD092B" w:rsidRPr="00BD092B">
          <w:rPr>
            <w:rStyle w:val="Hipervnculo"/>
          </w:rPr>
          <w:t>1054/2024, de 22 de julio de 2024</w:t>
        </w:r>
      </w:hyperlink>
      <w:r w:rsidR="00BD092B">
        <w:t>. “</w:t>
      </w:r>
      <w:r w:rsidR="00BD092B" w:rsidRPr="00BD092B">
        <w:t>Nulidad de cláusula suelo de préstamo hipotecario, y devolución de las cantidades. Costas a consumidores. Aplicación de la doctrina de la STJUE de 13 de julio de 2023 (C-35/22)</w:t>
      </w:r>
      <w:r w:rsidR="00BD092B">
        <w:t xml:space="preserve">”. </w:t>
      </w:r>
    </w:p>
    <w:p w14:paraId="7B81C7C8" w14:textId="16E50863" w:rsidR="003871CA" w:rsidRPr="003871CA" w:rsidRDefault="003871CA" w:rsidP="009C3A9F">
      <w:pPr>
        <w:spacing w:after="240"/>
        <w:jc w:val="both"/>
      </w:pPr>
      <w:hyperlink r:id="rId40" w:history="1">
        <w:r w:rsidRPr="003871CA">
          <w:rPr>
            <w:rStyle w:val="Hipervnculo"/>
          </w:rPr>
          <w:t>STS, Sala Primera, 1126/2024, de 16 de septiembre de 2024</w:t>
        </w:r>
      </w:hyperlink>
      <w:r>
        <w:t>. “</w:t>
      </w:r>
      <w:r w:rsidRPr="003871CA">
        <w:t>Costas en procedimientos sobre cláusulas abusivas en contratos con consumidores</w:t>
      </w:r>
      <w:r>
        <w:t xml:space="preserve">”. </w:t>
      </w:r>
    </w:p>
    <w:p w14:paraId="3156963F" w14:textId="214B720A" w:rsidR="00C850E3" w:rsidRPr="00C850E3" w:rsidRDefault="00C850E3" w:rsidP="009C3A9F">
      <w:pPr>
        <w:spacing w:after="240"/>
        <w:jc w:val="both"/>
      </w:pPr>
      <w:hyperlink r:id="rId41" w:history="1">
        <w:r w:rsidRPr="00C850E3">
          <w:rPr>
            <w:rStyle w:val="Hipervnculo"/>
          </w:rPr>
          <w:t>STS, Sala Primera, 1185/2024, de 24 de septiembre de 2024</w:t>
        </w:r>
      </w:hyperlink>
      <w:r>
        <w:t>. “</w:t>
      </w:r>
      <w:r w:rsidRPr="00C850E3">
        <w:t>Costas en procedimiento sobre cláusulas abusivas en contratos con consumidores. Allanamiento de la demandada. Requerimiento previo. Falta de identidad entre la suma contenida en el requerimiento previo y la reclamada en la demanda</w:t>
      </w:r>
      <w:r>
        <w:t xml:space="preserve">”. </w:t>
      </w:r>
    </w:p>
    <w:p w14:paraId="59B1628A" w14:textId="5BEA813A" w:rsidR="00C850E3" w:rsidRPr="00C850E3" w:rsidRDefault="00C850E3" w:rsidP="009C3A9F">
      <w:pPr>
        <w:spacing w:after="240"/>
        <w:jc w:val="both"/>
      </w:pPr>
      <w:hyperlink r:id="rId42" w:history="1">
        <w:r w:rsidRPr="00C850E3">
          <w:rPr>
            <w:rStyle w:val="Hipervnculo"/>
          </w:rPr>
          <w:t>STS, Sala Primera, 1189/2024, de 24 de septiembre de 2024</w:t>
        </w:r>
      </w:hyperlink>
      <w:r>
        <w:t>. “</w:t>
      </w:r>
      <w:r w:rsidRPr="00C850E3">
        <w:t>Costas en procedimientos sobre cláusulas abusivas en contratos con consumidores</w:t>
      </w:r>
      <w:r>
        <w:t xml:space="preserve">”. </w:t>
      </w:r>
    </w:p>
    <w:p w14:paraId="3F55225C" w14:textId="45C7F205" w:rsidR="00E1167D" w:rsidRDefault="00E1167D" w:rsidP="009C3A9F">
      <w:pPr>
        <w:spacing w:after="240"/>
        <w:jc w:val="both"/>
      </w:pPr>
      <w:hyperlink r:id="rId43" w:history="1">
        <w:r w:rsidRPr="00E1167D">
          <w:rPr>
            <w:rStyle w:val="Hipervnculo"/>
          </w:rPr>
          <w:t>STS, Sala Primera, 1225/2024, de 30 de septiembre de 2024</w:t>
        </w:r>
      </w:hyperlink>
      <w:r>
        <w:t>. “</w:t>
      </w:r>
      <w:r w:rsidRPr="00E1167D">
        <w:t>Costas en procedimientos sobre cláusulas abusivas en contratos con consumidores. Reiteración de la jurisprudencia de la sala</w:t>
      </w:r>
      <w:r>
        <w:t xml:space="preserve">”. </w:t>
      </w:r>
    </w:p>
    <w:p w14:paraId="792EF63D" w14:textId="37E53EF7" w:rsidR="00E1167D" w:rsidRDefault="00E1167D" w:rsidP="00B655CE">
      <w:pPr>
        <w:spacing w:after="240"/>
        <w:jc w:val="both"/>
      </w:pPr>
      <w:hyperlink r:id="rId44" w:history="1">
        <w:r w:rsidRPr="00E1167D">
          <w:rPr>
            <w:rStyle w:val="Hipervnculo"/>
          </w:rPr>
          <w:t>STS, Sala Primera, 1226/2024, de 30 de septiembre de 2024</w:t>
        </w:r>
      </w:hyperlink>
      <w:r>
        <w:t>. “</w:t>
      </w:r>
      <w:r w:rsidRPr="00E1167D">
        <w:t xml:space="preserve">Costas en </w:t>
      </w:r>
      <w:r w:rsidR="00E55599" w:rsidRPr="00E1167D">
        <w:t>procedimientos</w:t>
      </w:r>
      <w:r w:rsidRPr="00E1167D">
        <w:t xml:space="preserve"> sobre cláusulas abusivas en contratos con consumidores. Reiteración de la jurisprudencia de la sala</w:t>
      </w:r>
      <w:r>
        <w:t xml:space="preserve">”. </w:t>
      </w:r>
    </w:p>
    <w:p w14:paraId="2E726C38" w14:textId="77777777" w:rsidR="00DB3973" w:rsidRDefault="00DB3973" w:rsidP="00B655CE">
      <w:pPr>
        <w:spacing w:after="240"/>
        <w:jc w:val="both"/>
      </w:pPr>
    </w:p>
    <w:p w14:paraId="75F0389A" w14:textId="5FA6EB55" w:rsidR="008F3712" w:rsidRDefault="007B22DB" w:rsidP="00B655CE">
      <w:pPr>
        <w:spacing w:after="240"/>
        <w:jc w:val="both"/>
        <w:rPr>
          <w:b/>
          <w:bCs/>
        </w:rPr>
      </w:pPr>
      <w:r>
        <w:rPr>
          <w:b/>
          <w:bCs/>
        </w:rPr>
        <w:t>Contratación de productos financieros</w:t>
      </w:r>
    </w:p>
    <w:p w14:paraId="219F0215" w14:textId="72BE113A" w:rsidR="007B22DB" w:rsidRPr="007B22DB" w:rsidRDefault="007B22DB" w:rsidP="00B655CE">
      <w:pPr>
        <w:spacing w:after="240"/>
        <w:jc w:val="both"/>
      </w:pPr>
      <w:hyperlink r:id="rId45" w:history="1">
        <w:r w:rsidRPr="007B22DB">
          <w:rPr>
            <w:rStyle w:val="Hipervnculo"/>
          </w:rPr>
          <w:t>STS, Sala Primera, 923/2024, de 1 de julio de 2024</w:t>
        </w:r>
      </w:hyperlink>
      <w:r>
        <w:t>. “</w:t>
      </w:r>
      <w:r w:rsidRPr="007B22DB">
        <w:t>Nulidad del contrato de obligaciones subordinadas y participaciones preferentes</w:t>
      </w:r>
      <w:r>
        <w:t xml:space="preserve">”. </w:t>
      </w:r>
    </w:p>
    <w:p w14:paraId="15A11F88" w14:textId="76AE69B2" w:rsidR="003871CA" w:rsidRDefault="003871CA" w:rsidP="00B655CE">
      <w:pPr>
        <w:spacing w:after="240"/>
        <w:jc w:val="both"/>
      </w:pPr>
      <w:hyperlink r:id="rId46" w:history="1">
        <w:r w:rsidRPr="003871CA">
          <w:rPr>
            <w:rStyle w:val="Hipervnculo"/>
          </w:rPr>
          <w:t>STS, Sala Primera, 1072/2024, de 9 de septiembre de 2024</w:t>
        </w:r>
      </w:hyperlink>
      <w:r>
        <w:t>. “</w:t>
      </w:r>
      <w:r w:rsidRPr="003871CA">
        <w:t>Nulidad de acuerdo transaccional homologado</w:t>
      </w:r>
      <w:r>
        <w:t xml:space="preserve">”. </w:t>
      </w:r>
    </w:p>
    <w:p w14:paraId="1C19CB33" w14:textId="24952EFB" w:rsidR="00DB3973" w:rsidRDefault="00DB3973" w:rsidP="00B655CE">
      <w:pPr>
        <w:spacing w:after="240"/>
        <w:jc w:val="both"/>
      </w:pPr>
    </w:p>
    <w:p w14:paraId="0A3829A8" w14:textId="27A2B6AC" w:rsidR="00DB3973" w:rsidRDefault="00DB3973" w:rsidP="00B655CE">
      <w:pPr>
        <w:spacing w:after="240"/>
        <w:jc w:val="both"/>
      </w:pPr>
    </w:p>
    <w:p w14:paraId="3F6A030C" w14:textId="0C5FF0D1" w:rsidR="00C850E3" w:rsidRDefault="00C850E3" w:rsidP="00B655CE">
      <w:pPr>
        <w:spacing w:after="240"/>
        <w:jc w:val="both"/>
        <w:rPr>
          <w:b/>
          <w:bCs/>
        </w:rPr>
      </w:pPr>
      <w:r>
        <w:rPr>
          <w:b/>
          <w:bCs/>
        </w:rPr>
        <w:lastRenderedPageBreak/>
        <w:t>Competencia desleal</w:t>
      </w:r>
    </w:p>
    <w:p w14:paraId="19310A6E" w14:textId="3BFAB398" w:rsidR="00C850E3" w:rsidRDefault="00165179" w:rsidP="00B655CE">
      <w:pPr>
        <w:spacing w:after="240"/>
        <w:jc w:val="both"/>
      </w:pPr>
      <w:hyperlink r:id="rId47" w:history="1">
        <w:r>
          <w:rPr>
            <w:rStyle w:val="Hipervnculo"/>
          </w:rPr>
          <w:t>ATS, Sala Primera, de 18 de septiembre de 2024. Núm. de recurso: 300/2023</w:t>
        </w:r>
      </w:hyperlink>
      <w:r w:rsidR="00C850E3">
        <w:t>. “</w:t>
      </w:r>
      <w:r w:rsidR="00C850E3" w:rsidRPr="00C850E3">
        <w:t>Competencia desleal: riesgo de confusión, interpretación del artículo 11 de la Ley 3/1991, de 10 de enero, de competencia desleal; Mr. Wonderful / Ale-Ho</w:t>
      </w:r>
      <w:r w:rsidR="00C850E3">
        <w:t xml:space="preserve">p”. </w:t>
      </w:r>
    </w:p>
    <w:p w14:paraId="1BC89EFE" w14:textId="77777777" w:rsidR="00DB3973" w:rsidRPr="00C850E3" w:rsidRDefault="00DB3973" w:rsidP="00B655CE">
      <w:pPr>
        <w:spacing w:after="240"/>
        <w:jc w:val="both"/>
      </w:pPr>
    </w:p>
    <w:p w14:paraId="0E9818FD" w14:textId="608EEC17" w:rsidR="00E1167D" w:rsidRDefault="00E1167D" w:rsidP="00B655CE">
      <w:pPr>
        <w:spacing w:after="240"/>
        <w:jc w:val="both"/>
        <w:rPr>
          <w:b/>
          <w:bCs/>
        </w:rPr>
      </w:pPr>
      <w:r>
        <w:rPr>
          <w:b/>
          <w:bCs/>
        </w:rPr>
        <w:t>Cuestiones de competencia</w:t>
      </w:r>
    </w:p>
    <w:p w14:paraId="6EB994D0" w14:textId="77777777" w:rsidR="00862FE9" w:rsidRDefault="00862FE9" w:rsidP="00B655CE">
      <w:pPr>
        <w:spacing w:after="240"/>
        <w:jc w:val="both"/>
      </w:pPr>
      <w:hyperlink r:id="rId48" w:history="1">
        <w:r w:rsidRPr="00862FE9">
          <w:rPr>
            <w:rStyle w:val="Hipervnculo"/>
          </w:rPr>
          <w:t>ATS, Sala Primera, de 17 de septiembre de 2024. Núm. de recurso: 65/2024</w:t>
        </w:r>
      </w:hyperlink>
      <w:r>
        <w:t>. “</w:t>
      </w:r>
      <w:r w:rsidRPr="00862FE9">
        <w:t>Conflicto negativo de competencia territorial. Compraventa realizada por Internet. Fuero del domicilio del consumidor</w:t>
      </w:r>
      <w:r>
        <w:t xml:space="preserve">”. </w:t>
      </w:r>
    </w:p>
    <w:p w14:paraId="2156977B" w14:textId="53473B44" w:rsidR="00E1167D" w:rsidRDefault="00E1167D" w:rsidP="00B655CE">
      <w:pPr>
        <w:spacing w:after="240"/>
        <w:jc w:val="both"/>
      </w:pPr>
      <w:hyperlink r:id="rId49" w:history="1">
        <w:r w:rsidRPr="00E1167D">
          <w:rPr>
            <w:rStyle w:val="Hipervnculo"/>
          </w:rPr>
          <w:t>ATS, Sala Primera, de 24 de septiembre de 2024. Núm. de recurso: 8/2024</w:t>
        </w:r>
      </w:hyperlink>
      <w:r>
        <w:t>. “</w:t>
      </w:r>
      <w:r w:rsidRPr="00E1167D">
        <w:t>Conflicto negativo de competencia territorial. Reclamación por retraso en vuelo efectuada por una compañía mercantil cesionaria de los derechos indemnizatorios del pasajero. Improcedencia del fuero propio de los consumidores. Doctrina aplicable fijada en el auto de pleno de 30 de mayo de 2018, asunto 47/2018</w:t>
      </w:r>
      <w:r>
        <w:t xml:space="preserve">”. </w:t>
      </w:r>
    </w:p>
    <w:p w14:paraId="6A3418A8" w14:textId="577BB136" w:rsidR="00C850E3" w:rsidRPr="00E1167D" w:rsidRDefault="00C850E3" w:rsidP="00B655CE">
      <w:pPr>
        <w:spacing w:after="240"/>
        <w:jc w:val="both"/>
      </w:pPr>
      <w:hyperlink r:id="rId50" w:history="1">
        <w:r w:rsidRPr="00C850E3">
          <w:rPr>
            <w:rStyle w:val="Hipervnculo"/>
          </w:rPr>
          <w:t>ATS, Sala Primera, de 24 de septiembre de 2024. Núm. de recurso: 108/2024</w:t>
        </w:r>
      </w:hyperlink>
      <w:r>
        <w:t>. “</w:t>
      </w:r>
      <w:r w:rsidRPr="00C850E3">
        <w:t>Conflicto negativo de competencia territorial. Reclamación por retraso en vuelo efectuada por una compañía mercantil cesionaria de los derechos indemnizatorios del pasajero. Improcedencia del fuero propio de los consumidores. Doctrina aplicable fijada en el auto de pleno de 30 de mayo de 2018, asunto 47/2018</w:t>
      </w:r>
      <w:r>
        <w:t>”.</w:t>
      </w:r>
    </w:p>
    <w:p w14:paraId="44EE6806" w14:textId="7A8848C4" w:rsidR="009A2B29" w:rsidRDefault="009A2B29" w:rsidP="00B655CE">
      <w:pPr>
        <w:spacing w:after="240"/>
        <w:jc w:val="both"/>
        <w:rPr>
          <w:b/>
          <w:bCs/>
        </w:rPr>
      </w:pPr>
    </w:p>
    <w:p w14:paraId="595C86E1" w14:textId="77777777" w:rsidR="00DB3973" w:rsidRDefault="00DB3973" w:rsidP="00B655CE">
      <w:pPr>
        <w:spacing w:after="240"/>
        <w:jc w:val="both"/>
        <w:rPr>
          <w:b/>
          <w:bCs/>
        </w:rPr>
      </w:pPr>
    </w:p>
    <w:p w14:paraId="5E7E22BD" w14:textId="48C8DF4F" w:rsidR="00451AF4" w:rsidRPr="009A2B29" w:rsidRDefault="00000000" w:rsidP="009A2B29">
      <w:pPr>
        <w:spacing w:after="240"/>
        <w:jc w:val="center"/>
        <w:rPr>
          <w:b/>
          <w:bCs/>
          <w:sz w:val="28"/>
          <w:szCs w:val="28"/>
          <w:highlight w:val="yellow"/>
        </w:rPr>
      </w:pPr>
      <w:r>
        <w:rPr>
          <w:noProof/>
        </w:rPr>
        <w:pict w14:anchorId="1ACB10A5">
          <v:rect id="_x0000_i1028" alt="" style="width:425.2pt;height:.05pt;mso-width-percent:0;mso-height-percent:0;mso-width-percent:0;mso-height-percent:0" o:hralign="center" o:hrstd="t" o:hr="t" fillcolor="#a0a0a0" stroked="f"/>
        </w:pict>
      </w:r>
    </w:p>
    <w:p w14:paraId="7FFB165D" w14:textId="226FE731" w:rsidR="007A7EB8" w:rsidRPr="00470BF9" w:rsidRDefault="007A7EB8" w:rsidP="002C2DB9">
      <w:pPr>
        <w:ind w:right="-1"/>
        <w:jc w:val="both"/>
        <w:rPr>
          <w:bCs/>
          <w:color w:val="000000" w:themeColor="text1"/>
        </w:rPr>
      </w:pPr>
    </w:p>
    <w:sectPr w:rsidR="007A7EB8" w:rsidRPr="00470BF9" w:rsidSect="008348BF">
      <w:footerReference w:type="default" r:id="rId51"/>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71195" w14:textId="77777777" w:rsidR="00A24140" w:rsidRDefault="00A24140" w:rsidP="000562B1">
      <w:r>
        <w:separator/>
      </w:r>
    </w:p>
  </w:endnote>
  <w:endnote w:type="continuationSeparator" w:id="0">
    <w:p w14:paraId="0F7273C6" w14:textId="77777777" w:rsidR="00A24140" w:rsidRDefault="00A24140"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05E88" w14:textId="77777777" w:rsidR="00A24140" w:rsidRDefault="00A24140" w:rsidP="000562B1">
      <w:r>
        <w:separator/>
      </w:r>
    </w:p>
  </w:footnote>
  <w:footnote w:type="continuationSeparator" w:id="0">
    <w:p w14:paraId="427A4DF9" w14:textId="77777777" w:rsidR="00A24140" w:rsidRDefault="00A24140"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2441CA"/>
    <w:multiLevelType w:val="hybridMultilevel"/>
    <w:tmpl w:val="7AC4537A"/>
    <w:lvl w:ilvl="0" w:tplc="471E95E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145F24"/>
    <w:multiLevelType w:val="hybridMultilevel"/>
    <w:tmpl w:val="D308732C"/>
    <w:lvl w:ilvl="0" w:tplc="643E15FC">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BC1C0F"/>
    <w:multiLevelType w:val="hybridMultilevel"/>
    <w:tmpl w:val="8B8E37E0"/>
    <w:lvl w:ilvl="0" w:tplc="23560D9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50885556">
    <w:abstractNumId w:val="14"/>
  </w:num>
  <w:num w:numId="2" w16cid:durableId="161898188">
    <w:abstractNumId w:val="0"/>
  </w:num>
  <w:num w:numId="3" w16cid:durableId="438574505">
    <w:abstractNumId w:val="12"/>
  </w:num>
  <w:num w:numId="4" w16cid:durableId="1700349985">
    <w:abstractNumId w:val="6"/>
  </w:num>
  <w:num w:numId="5" w16cid:durableId="726418586">
    <w:abstractNumId w:val="2"/>
  </w:num>
  <w:num w:numId="6" w16cid:durableId="2101562868">
    <w:abstractNumId w:val="4"/>
  </w:num>
  <w:num w:numId="7" w16cid:durableId="55979577">
    <w:abstractNumId w:val="1"/>
  </w:num>
  <w:num w:numId="8" w16cid:durableId="774132843">
    <w:abstractNumId w:val="3"/>
  </w:num>
  <w:num w:numId="9" w16cid:durableId="995571696">
    <w:abstractNumId w:val="8"/>
  </w:num>
  <w:num w:numId="10" w16cid:durableId="537862301">
    <w:abstractNumId w:val="9"/>
  </w:num>
  <w:num w:numId="11" w16cid:durableId="681246970">
    <w:abstractNumId w:val="13"/>
  </w:num>
  <w:num w:numId="12" w16cid:durableId="1900821912">
    <w:abstractNumId w:val="5"/>
  </w:num>
  <w:num w:numId="13" w16cid:durableId="1992513075">
    <w:abstractNumId w:val="10"/>
  </w:num>
  <w:num w:numId="14" w16cid:durableId="826017279">
    <w:abstractNumId w:val="11"/>
  </w:num>
  <w:num w:numId="15" w16cid:durableId="625966765">
    <w:abstractNumId w:val="15"/>
  </w:num>
  <w:num w:numId="16" w16cid:durableId="862860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06585"/>
    <w:rsid w:val="0001261B"/>
    <w:rsid w:val="000132EC"/>
    <w:rsid w:val="000148EA"/>
    <w:rsid w:val="00020F4E"/>
    <w:rsid w:val="0002281F"/>
    <w:rsid w:val="00023371"/>
    <w:rsid w:val="00023D79"/>
    <w:rsid w:val="00025F28"/>
    <w:rsid w:val="000260EA"/>
    <w:rsid w:val="000261CD"/>
    <w:rsid w:val="00033A21"/>
    <w:rsid w:val="00033CB2"/>
    <w:rsid w:val="00036BBC"/>
    <w:rsid w:val="00036CB1"/>
    <w:rsid w:val="00037ECF"/>
    <w:rsid w:val="0004481A"/>
    <w:rsid w:val="00045895"/>
    <w:rsid w:val="0004700D"/>
    <w:rsid w:val="00047917"/>
    <w:rsid w:val="000503EC"/>
    <w:rsid w:val="000523A3"/>
    <w:rsid w:val="00054FB7"/>
    <w:rsid w:val="00055DCF"/>
    <w:rsid w:val="000562B1"/>
    <w:rsid w:val="00056D06"/>
    <w:rsid w:val="000630D2"/>
    <w:rsid w:val="00064ADC"/>
    <w:rsid w:val="0006715A"/>
    <w:rsid w:val="00080E3E"/>
    <w:rsid w:val="00087618"/>
    <w:rsid w:val="00091C1F"/>
    <w:rsid w:val="00092150"/>
    <w:rsid w:val="00092F2B"/>
    <w:rsid w:val="000A28D2"/>
    <w:rsid w:val="000B0A5D"/>
    <w:rsid w:val="000B5305"/>
    <w:rsid w:val="000C03B5"/>
    <w:rsid w:val="000C1C9A"/>
    <w:rsid w:val="000C29EB"/>
    <w:rsid w:val="000C5244"/>
    <w:rsid w:val="000D2B7E"/>
    <w:rsid w:val="000D30BF"/>
    <w:rsid w:val="000D7986"/>
    <w:rsid w:val="000E09B2"/>
    <w:rsid w:val="000E1594"/>
    <w:rsid w:val="000F1465"/>
    <w:rsid w:val="000F487E"/>
    <w:rsid w:val="000F7FE0"/>
    <w:rsid w:val="001003C3"/>
    <w:rsid w:val="00101146"/>
    <w:rsid w:val="001019C5"/>
    <w:rsid w:val="00101C22"/>
    <w:rsid w:val="00102EA3"/>
    <w:rsid w:val="00104F0A"/>
    <w:rsid w:val="001056D4"/>
    <w:rsid w:val="001175FF"/>
    <w:rsid w:val="00120D0B"/>
    <w:rsid w:val="0012310A"/>
    <w:rsid w:val="001243F0"/>
    <w:rsid w:val="0012496D"/>
    <w:rsid w:val="001269ED"/>
    <w:rsid w:val="001315E9"/>
    <w:rsid w:val="00133E4A"/>
    <w:rsid w:val="00134193"/>
    <w:rsid w:val="001342BF"/>
    <w:rsid w:val="001355D9"/>
    <w:rsid w:val="00137D74"/>
    <w:rsid w:val="001426E9"/>
    <w:rsid w:val="001427D2"/>
    <w:rsid w:val="00146B56"/>
    <w:rsid w:val="0015251B"/>
    <w:rsid w:val="00152B3F"/>
    <w:rsid w:val="0016024A"/>
    <w:rsid w:val="001630E8"/>
    <w:rsid w:val="00165179"/>
    <w:rsid w:val="001661B9"/>
    <w:rsid w:val="0017035A"/>
    <w:rsid w:val="0017254F"/>
    <w:rsid w:val="00175C7E"/>
    <w:rsid w:val="00177205"/>
    <w:rsid w:val="00177AEC"/>
    <w:rsid w:val="00181687"/>
    <w:rsid w:val="001832F8"/>
    <w:rsid w:val="00193378"/>
    <w:rsid w:val="0019626A"/>
    <w:rsid w:val="00197F42"/>
    <w:rsid w:val="001A0218"/>
    <w:rsid w:val="001A34D0"/>
    <w:rsid w:val="001A5CEC"/>
    <w:rsid w:val="001A65B0"/>
    <w:rsid w:val="001B39D6"/>
    <w:rsid w:val="001B66EC"/>
    <w:rsid w:val="001C29AF"/>
    <w:rsid w:val="001C6BB5"/>
    <w:rsid w:val="001C7752"/>
    <w:rsid w:val="001D2A5A"/>
    <w:rsid w:val="001D599B"/>
    <w:rsid w:val="001E467C"/>
    <w:rsid w:val="001E50D5"/>
    <w:rsid w:val="001E705B"/>
    <w:rsid w:val="00203093"/>
    <w:rsid w:val="00205FBC"/>
    <w:rsid w:val="0021486E"/>
    <w:rsid w:val="00215B27"/>
    <w:rsid w:val="0022401C"/>
    <w:rsid w:val="00226C2F"/>
    <w:rsid w:val="002321F9"/>
    <w:rsid w:val="00234A10"/>
    <w:rsid w:val="00236E9B"/>
    <w:rsid w:val="0024550F"/>
    <w:rsid w:val="00250FE2"/>
    <w:rsid w:val="002523D3"/>
    <w:rsid w:val="00253626"/>
    <w:rsid w:val="00253F67"/>
    <w:rsid w:val="002578B0"/>
    <w:rsid w:val="002664A5"/>
    <w:rsid w:val="00274E63"/>
    <w:rsid w:val="00277E42"/>
    <w:rsid w:val="0028255D"/>
    <w:rsid w:val="00282C9D"/>
    <w:rsid w:val="002831C1"/>
    <w:rsid w:val="00291147"/>
    <w:rsid w:val="002920B4"/>
    <w:rsid w:val="0029296C"/>
    <w:rsid w:val="0029421E"/>
    <w:rsid w:val="0029550E"/>
    <w:rsid w:val="00295F80"/>
    <w:rsid w:val="002968D2"/>
    <w:rsid w:val="002A11EF"/>
    <w:rsid w:val="002A1C6A"/>
    <w:rsid w:val="002B1E17"/>
    <w:rsid w:val="002B2E72"/>
    <w:rsid w:val="002B3E1B"/>
    <w:rsid w:val="002B7051"/>
    <w:rsid w:val="002B7203"/>
    <w:rsid w:val="002C0270"/>
    <w:rsid w:val="002C1D4A"/>
    <w:rsid w:val="002C2DB9"/>
    <w:rsid w:val="002C300B"/>
    <w:rsid w:val="002C3D5D"/>
    <w:rsid w:val="002D39CF"/>
    <w:rsid w:val="002E4D27"/>
    <w:rsid w:val="003102CA"/>
    <w:rsid w:val="00311C89"/>
    <w:rsid w:val="0031312C"/>
    <w:rsid w:val="00320972"/>
    <w:rsid w:val="00324CCA"/>
    <w:rsid w:val="00326C94"/>
    <w:rsid w:val="00330ED4"/>
    <w:rsid w:val="00331A7A"/>
    <w:rsid w:val="00333940"/>
    <w:rsid w:val="00335937"/>
    <w:rsid w:val="00335C17"/>
    <w:rsid w:val="00350904"/>
    <w:rsid w:val="00354663"/>
    <w:rsid w:val="00361AE5"/>
    <w:rsid w:val="00361DBD"/>
    <w:rsid w:val="003662F8"/>
    <w:rsid w:val="00371B60"/>
    <w:rsid w:val="00374843"/>
    <w:rsid w:val="00375149"/>
    <w:rsid w:val="0038090B"/>
    <w:rsid w:val="003814E9"/>
    <w:rsid w:val="00382342"/>
    <w:rsid w:val="003871CA"/>
    <w:rsid w:val="00390B60"/>
    <w:rsid w:val="00394B3C"/>
    <w:rsid w:val="0039501D"/>
    <w:rsid w:val="003A053C"/>
    <w:rsid w:val="003A75CE"/>
    <w:rsid w:val="003A7DD6"/>
    <w:rsid w:val="003B18F4"/>
    <w:rsid w:val="003B1DBA"/>
    <w:rsid w:val="003B5E26"/>
    <w:rsid w:val="003B64E6"/>
    <w:rsid w:val="003B6A79"/>
    <w:rsid w:val="003C10C7"/>
    <w:rsid w:val="003C3202"/>
    <w:rsid w:val="003C4F44"/>
    <w:rsid w:val="003C7E66"/>
    <w:rsid w:val="003D1215"/>
    <w:rsid w:val="003D146F"/>
    <w:rsid w:val="003D1768"/>
    <w:rsid w:val="003D2EB7"/>
    <w:rsid w:val="003D4582"/>
    <w:rsid w:val="003D575B"/>
    <w:rsid w:val="003D5808"/>
    <w:rsid w:val="003E0A54"/>
    <w:rsid w:val="003E0E19"/>
    <w:rsid w:val="003E66AA"/>
    <w:rsid w:val="003E79C6"/>
    <w:rsid w:val="003F3C4D"/>
    <w:rsid w:val="003F44BD"/>
    <w:rsid w:val="003F49BB"/>
    <w:rsid w:val="003F4BCA"/>
    <w:rsid w:val="003F5D08"/>
    <w:rsid w:val="003F5DB5"/>
    <w:rsid w:val="00401E34"/>
    <w:rsid w:val="00406207"/>
    <w:rsid w:val="00410FE1"/>
    <w:rsid w:val="004132F9"/>
    <w:rsid w:val="004154E4"/>
    <w:rsid w:val="004158D3"/>
    <w:rsid w:val="004165FA"/>
    <w:rsid w:val="00423257"/>
    <w:rsid w:val="00423FD0"/>
    <w:rsid w:val="00425F18"/>
    <w:rsid w:val="00426FB5"/>
    <w:rsid w:val="00427094"/>
    <w:rsid w:val="00432663"/>
    <w:rsid w:val="00440EC2"/>
    <w:rsid w:val="00445A7A"/>
    <w:rsid w:val="004501EC"/>
    <w:rsid w:val="00450241"/>
    <w:rsid w:val="00451AF4"/>
    <w:rsid w:val="0045575C"/>
    <w:rsid w:val="00460642"/>
    <w:rsid w:val="00460A2B"/>
    <w:rsid w:val="0046122C"/>
    <w:rsid w:val="0046521D"/>
    <w:rsid w:val="00466F15"/>
    <w:rsid w:val="00470BF9"/>
    <w:rsid w:val="00474518"/>
    <w:rsid w:val="00474CF6"/>
    <w:rsid w:val="00480480"/>
    <w:rsid w:val="0048273A"/>
    <w:rsid w:val="00493DA0"/>
    <w:rsid w:val="00495CD3"/>
    <w:rsid w:val="00495F36"/>
    <w:rsid w:val="004A1086"/>
    <w:rsid w:val="004A2D44"/>
    <w:rsid w:val="004A67EC"/>
    <w:rsid w:val="004B17F0"/>
    <w:rsid w:val="004B2857"/>
    <w:rsid w:val="004C11CD"/>
    <w:rsid w:val="004C42FE"/>
    <w:rsid w:val="004C499E"/>
    <w:rsid w:val="004C7740"/>
    <w:rsid w:val="004D0941"/>
    <w:rsid w:val="004D3353"/>
    <w:rsid w:val="004D4FDA"/>
    <w:rsid w:val="004D794A"/>
    <w:rsid w:val="004E2966"/>
    <w:rsid w:val="004F09FF"/>
    <w:rsid w:val="004F1964"/>
    <w:rsid w:val="004F32B8"/>
    <w:rsid w:val="004F4ACF"/>
    <w:rsid w:val="004F749B"/>
    <w:rsid w:val="005054E9"/>
    <w:rsid w:val="005058C6"/>
    <w:rsid w:val="0051297C"/>
    <w:rsid w:val="00514DB2"/>
    <w:rsid w:val="00517B2D"/>
    <w:rsid w:val="0052180D"/>
    <w:rsid w:val="00537598"/>
    <w:rsid w:val="0055001F"/>
    <w:rsid w:val="0055152E"/>
    <w:rsid w:val="005524C4"/>
    <w:rsid w:val="005527B0"/>
    <w:rsid w:val="005527D4"/>
    <w:rsid w:val="00552F70"/>
    <w:rsid w:val="0055648D"/>
    <w:rsid w:val="005575A8"/>
    <w:rsid w:val="00571521"/>
    <w:rsid w:val="00582008"/>
    <w:rsid w:val="005912A7"/>
    <w:rsid w:val="005939BE"/>
    <w:rsid w:val="005B57B6"/>
    <w:rsid w:val="005B7019"/>
    <w:rsid w:val="005C04C5"/>
    <w:rsid w:val="005E322B"/>
    <w:rsid w:val="005E340F"/>
    <w:rsid w:val="005E3F4E"/>
    <w:rsid w:val="005F0DEC"/>
    <w:rsid w:val="005F1DFB"/>
    <w:rsid w:val="005F3600"/>
    <w:rsid w:val="005F3622"/>
    <w:rsid w:val="005F3752"/>
    <w:rsid w:val="005F49E5"/>
    <w:rsid w:val="005F54B3"/>
    <w:rsid w:val="005F7187"/>
    <w:rsid w:val="00610E3B"/>
    <w:rsid w:val="0061376A"/>
    <w:rsid w:val="00613A6D"/>
    <w:rsid w:val="00617D90"/>
    <w:rsid w:val="00621A2B"/>
    <w:rsid w:val="006240C0"/>
    <w:rsid w:val="00625298"/>
    <w:rsid w:val="00626300"/>
    <w:rsid w:val="00630753"/>
    <w:rsid w:val="00631205"/>
    <w:rsid w:val="00633110"/>
    <w:rsid w:val="00633D7E"/>
    <w:rsid w:val="006342AA"/>
    <w:rsid w:val="006355F8"/>
    <w:rsid w:val="00652A96"/>
    <w:rsid w:val="00653C35"/>
    <w:rsid w:val="00656A1A"/>
    <w:rsid w:val="00656CF1"/>
    <w:rsid w:val="00666C3C"/>
    <w:rsid w:val="00666C7B"/>
    <w:rsid w:val="00671FC1"/>
    <w:rsid w:val="006732D5"/>
    <w:rsid w:val="00673A7C"/>
    <w:rsid w:val="006A016D"/>
    <w:rsid w:val="006A2909"/>
    <w:rsid w:val="006A52C5"/>
    <w:rsid w:val="006A68C8"/>
    <w:rsid w:val="006B09DF"/>
    <w:rsid w:val="006B172C"/>
    <w:rsid w:val="006B54FE"/>
    <w:rsid w:val="006B6B86"/>
    <w:rsid w:val="006C0A0E"/>
    <w:rsid w:val="006C3083"/>
    <w:rsid w:val="006D40FF"/>
    <w:rsid w:val="006D500E"/>
    <w:rsid w:val="006D64C6"/>
    <w:rsid w:val="006E2037"/>
    <w:rsid w:val="006F0EA9"/>
    <w:rsid w:val="006F1548"/>
    <w:rsid w:val="006F1906"/>
    <w:rsid w:val="006F5993"/>
    <w:rsid w:val="006F5DF5"/>
    <w:rsid w:val="006F7400"/>
    <w:rsid w:val="007002AC"/>
    <w:rsid w:val="007027D5"/>
    <w:rsid w:val="00705FFE"/>
    <w:rsid w:val="00707164"/>
    <w:rsid w:val="00707BBB"/>
    <w:rsid w:val="00710790"/>
    <w:rsid w:val="00711297"/>
    <w:rsid w:val="00715756"/>
    <w:rsid w:val="00716BDF"/>
    <w:rsid w:val="00716C67"/>
    <w:rsid w:val="0071756E"/>
    <w:rsid w:val="00717DF7"/>
    <w:rsid w:val="00720DEF"/>
    <w:rsid w:val="0072347E"/>
    <w:rsid w:val="00723A17"/>
    <w:rsid w:val="007250AF"/>
    <w:rsid w:val="00726A56"/>
    <w:rsid w:val="00726EA9"/>
    <w:rsid w:val="0073215C"/>
    <w:rsid w:val="00743A28"/>
    <w:rsid w:val="00745159"/>
    <w:rsid w:val="00746864"/>
    <w:rsid w:val="00750159"/>
    <w:rsid w:val="00750189"/>
    <w:rsid w:val="00751E61"/>
    <w:rsid w:val="00766984"/>
    <w:rsid w:val="00773D8D"/>
    <w:rsid w:val="007757FA"/>
    <w:rsid w:val="00777769"/>
    <w:rsid w:val="00777A36"/>
    <w:rsid w:val="00782E3C"/>
    <w:rsid w:val="007831A3"/>
    <w:rsid w:val="00784F6E"/>
    <w:rsid w:val="007876F2"/>
    <w:rsid w:val="00791B67"/>
    <w:rsid w:val="00792BD1"/>
    <w:rsid w:val="00796680"/>
    <w:rsid w:val="007A3A07"/>
    <w:rsid w:val="007A3FFB"/>
    <w:rsid w:val="007A7EB8"/>
    <w:rsid w:val="007B0C81"/>
    <w:rsid w:val="007B22DB"/>
    <w:rsid w:val="007B235C"/>
    <w:rsid w:val="007C21CB"/>
    <w:rsid w:val="007C2FE3"/>
    <w:rsid w:val="007C6552"/>
    <w:rsid w:val="007C7222"/>
    <w:rsid w:val="007C7C81"/>
    <w:rsid w:val="007D6201"/>
    <w:rsid w:val="007D7C6E"/>
    <w:rsid w:val="007E0FAA"/>
    <w:rsid w:val="007F1BA6"/>
    <w:rsid w:val="008047D0"/>
    <w:rsid w:val="00805312"/>
    <w:rsid w:val="008059F7"/>
    <w:rsid w:val="00806B2B"/>
    <w:rsid w:val="00815A4D"/>
    <w:rsid w:val="0081601A"/>
    <w:rsid w:val="00823AEA"/>
    <w:rsid w:val="008251E3"/>
    <w:rsid w:val="00825E3F"/>
    <w:rsid w:val="00827C04"/>
    <w:rsid w:val="008348BF"/>
    <w:rsid w:val="00841B55"/>
    <w:rsid w:val="00846866"/>
    <w:rsid w:val="00847269"/>
    <w:rsid w:val="008502A5"/>
    <w:rsid w:val="00851A41"/>
    <w:rsid w:val="00852BC2"/>
    <w:rsid w:val="0085768E"/>
    <w:rsid w:val="008613A0"/>
    <w:rsid w:val="00861C62"/>
    <w:rsid w:val="00862FE9"/>
    <w:rsid w:val="00864A76"/>
    <w:rsid w:val="00864B11"/>
    <w:rsid w:val="00880188"/>
    <w:rsid w:val="008866B3"/>
    <w:rsid w:val="00891EF7"/>
    <w:rsid w:val="00892A47"/>
    <w:rsid w:val="00896B39"/>
    <w:rsid w:val="008A254E"/>
    <w:rsid w:val="008B032C"/>
    <w:rsid w:val="008B05FC"/>
    <w:rsid w:val="008B3BC5"/>
    <w:rsid w:val="008B5F7C"/>
    <w:rsid w:val="008C279F"/>
    <w:rsid w:val="008C42B1"/>
    <w:rsid w:val="008D2AC3"/>
    <w:rsid w:val="008D423F"/>
    <w:rsid w:val="008D4ACD"/>
    <w:rsid w:val="008D6849"/>
    <w:rsid w:val="008E6492"/>
    <w:rsid w:val="008E7FE1"/>
    <w:rsid w:val="008F0C15"/>
    <w:rsid w:val="008F2744"/>
    <w:rsid w:val="008F2A25"/>
    <w:rsid w:val="008F3712"/>
    <w:rsid w:val="008F5D80"/>
    <w:rsid w:val="008F7E17"/>
    <w:rsid w:val="0090408B"/>
    <w:rsid w:val="00904AD1"/>
    <w:rsid w:val="009059BB"/>
    <w:rsid w:val="0090638A"/>
    <w:rsid w:val="00913265"/>
    <w:rsid w:val="00914F9E"/>
    <w:rsid w:val="00916F83"/>
    <w:rsid w:val="009226D2"/>
    <w:rsid w:val="00923CBC"/>
    <w:rsid w:val="00927005"/>
    <w:rsid w:val="00930248"/>
    <w:rsid w:val="00931802"/>
    <w:rsid w:val="0093649B"/>
    <w:rsid w:val="009432D4"/>
    <w:rsid w:val="009443FB"/>
    <w:rsid w:val="00944EC3"/>
    <w:rsid w:val="009479F9"/>
    <w:rsid w:val="00952BF5"/>
    <w:rsid w:val="00964889"/>
    <w:rsid w:val="009728E7"/>
    <w:rsid w:val="00974521"/>
    <w:rsid w:val="00974842"/>
    <w:rsid w:val="00982BD1"/>
    <w:rsid w:val="009868A9"/>
    <w:rsid w:val="00992538"/>
    <w:rsid w:val="00992FE4"/>
    <w:rsid w:val="0099684C"/>
    <w:rsid w:val="0099775E"/>
    <w:rsid w:val="009A0FDF"/>
    <w:rsid w:val="009A2B29"/>
    <w:rsid w:val="009A3417"/>
    <w:rsid w:val="009A4659"/>
    <w:rsid w:val="009A4EB9"/>
    <w:rsid w:val="009B102D"/>
    <w:rsid w:val="009B105B"/>
    <w:rsid w:val="009B29A8"/>
    <w:rsid w:val="009B2F45"/>
    <w:rsid w:val="009B7B00"/>
    <w:rsid w:val="009B7D1C"/>
    <w:rsid w:val="009C21C2"/>
    <w:rsid w:val="009C3A9F"/>
    <w:rsid w:val="009C6AF6"/>
    <w:rsid w:val="009D0E82"/>
    <w:rsid w:val="009D7CA7"/>
    <w:rsid w:val="009E6308"/>
    <w:rsid w:val="009E7373"/>
    <w:rsid w:val="009E7932"/>
    <w:rsid w:val="009E7F1B"/>
    <w:rsid w:val="009F6D54"/>
    <w:rsid w:val="009F7D57"/>
    <w:rsid w:val="00A00862"/>
    <w:rsid w:val="00A02EDB"/>
    <w:rsid w:val="00A0441B"/>
    <w:rsid w:val="00A178D6"/>
    <w:rsid w:val="00A21DDE"/>
    <w:rsid w:val="00A24140"/>
    <w:rsid w:val="00A41E9E"/>
    <w:rsid w:val="00A535EC"/>
    <w:rsid w:val="00A5491D"/>
    <w:rsid w:val="00A61FD1"/>
    <w:rsid w:val="00A63896"/>
    <w:rsid w:val="00A66B5E"/>
    <w:rsid w:val="00A74B3B"/>
    <w:rsid w:val="00A7569C"/>
    <w:rsid w:val="00A8324B"/>
    <w:rsid w:val="00A91B03"/>
    <w:rsid w:val="00A95CE0"/>
    <w:rsid w:val="00A970C5"/>
    <w:rsid w:val="00AA150A"/>
    <w:rsid w:val="00AA4CA8"/>
    <w:rsid w:val="00AB31D0"/>
    <w:rsid w:val="00AC6F75"/>
    <w:rsid w:val="00AD11D1"/>
    <w:rsid w:val="00AD5FB9"/>
    <w:rsid w:val="00AE39AA"/>
    <w:rsid w:val="00AF138B"/>
    <w:rsid w:val="00AF371A"/>
    <w:rsid w:val="00AF4237"/>
    <w:rsid w:val="00AF4B65"/>
    <w:rsid w:val="00B00158"/>
    <w:rsid w:val="00B003A6"/>
    <w:rsid w:val="00B01124"/>
    <w:rsid w:val="00B03532"/>
    <w:rsid w:val="00B0403C"/>
    <w:rsid w:val="00B065EF"/>
    <w:rsid w:val="00B100A1"/>
    <w:rsid w:val="00B102CE"/>
    <w:rsid w:val="00B10541"/>
    <w:rsid w:val="00B1119A"/>
    <w:rsid w:val="00B14838"/>
    <w:rsid w:val="00B25732"/>
    <w:rsid w:val="00B2676E"/>
    <w:rsid w:val="00B270D8"/>
    <w:rsid w:val="00B32AD3"/>
    <w:rsid w:val="00B3342E"/>
    <w:rsid w:val="00B355FC"/>
    <w:rsid w:val="00B40032"/>
    <w:rsid w:val="00B41377"/>
    <w:rsid w:val="00B41899"/>
    <w:rsid w:val="00B42623"/>
    <w:rsid w:val="00B44604"/>
    <w:rsid w:val="00B46ED6"/>
    <w:rsid w:val="00B51238"/>
    <w:rsid w:val="00B532F6"/>
    <w:rsid w:val="00B55B74"/>
    <w:rsid w:val="00B56F8B"/>
    <w:rsid w:val="00B60EA5"/>
    <w:rsid w:val="00B655CE"/>
    <w:rsid w:val="00B670BA"/>
    <w:rsid w:val="00B71B6E"/>
    <w:rsid w:val="00B74082"/>
    <w:rsid w:val="00B74839"/>
    <w:rsid w:val="00B778A0"/>
    <w:rsid w:val="00B917BF"/>
    <w:rsid w:val="00B94B24"/>
    <w:rsid w:val="00BA563E"/>
    <w:rsid w:val="00BA5D21"/>
    <w:rsid w:val="00BB262E"/>
    <w:rsid w:val="00BC455E"/>
    <w:rsid w:val="00BC7926"/>
    <w:rsid w:val="00BD092B"/>
    <w:rsid w:val="00BD0FDC"/>
    <w:rsid w:val="00BD3643"/>
    <w:rsid w:val="00BD53FF"/>
    <w:rsid w:val="00BD73B0"/>
    <w:rsid w:val="00BE313B"/>
    <w:rsid w:val="00BE3615"/>
    <w:rsid w:val="00BE5D7E"/>
    <w:rsid w:val="00BE5DD5"/>
    <w:rsid w:val="00BE706F"/>
    <w:rsid w:val="00BF1769"/>
    <w:rsid w:val="00BF4969"/>
    <w:rsid w:val="00BF6852"/>
    <w:rsid w:val="00C03537"/>
    <w:rsid w:val="00C07046"/>
    <w:rsid w:val="00C076BB"/>
    <w:rsid w:val="00C078C5"/>
    <w:rsid w:val="00C12370"/>
    <w:rsid w:val="00C16506"/>
    <w:rsid w:val="00C172A2"/>
    <w:rsid w:val="00C2237F"/>
    <w:rsid w:val="00C23D6B"/>
    <w:rsid w:val="00C26685"/>
    <w:rsid w:val="00C275BB"/>
    <w:rsid w:val="00C32AE8"/>
    <w:rsid w:val="00C37702"/>
    <w:rsid w:val="00C37DE5"/>
    <w:rsid w:val="00C418AB"/>
    <w:rsid w:val="00C41A52"/>
    <w:rsid w:val="00C426D9"/>
    <w:rsid w:val="00C44259"/>
    <w:rsid w:val="00C44460"/>
    <w:rsid w:val="00C455E0"/>
    <w:rsid w:val="00C45C39"/>
    <w:rsid w:val="00C476C0"/>
    <w:rsid w:val="00C47765"/>
    <w:rsid w:val="00C51E9F"/>
    <w:rsid w:val="00C5425C"/>
    <w:rsid w:val="00C5496E"/>
    <w:rsid w:val="00C57D67"/>
    <w:rsid w:val="00C6473C"/>
    <w:rsid w:val="00C660D0"/>
    <w:rsid w:val="00C67BF4"/>
    <w:rsid w:val="00C70151"/>
    <w:rsid w:val="00C7021A"/>
    <w:rsid w:val="00C70BDE"/>
    <w:rsid w:val="00C73F06"/>
    <w:rsid w:val="00C755BB"/>
    <w:rsid w:val="00C76461"/>
    <w:rsid w:val="00C77C3C"/>
    <w:rsid w:val="00C84680"/>
    <w:rsid w:val="00C850E3"/>
    <w:rsid w:val="00C85983"/>
    <w:rsid w:val="00C87AA6"/>
    <w:rsid w:val="00C943B2"/>
    <w:rsid w:val="00C967BA"/>
    <w:rsid w:val="00C972C4"/>
    <w:rsid w:val="00C97402"/>
    <w:rsid w:val="00C97832"/>
    <w:rsid w:val="00CA2167"/>
    <w:rsid w:val="00CA6B57"/>
    <w:rsid w:val="00CA73CC"/>
    <w:rsid w:val="00CA7C2A"/>
    <w:rsid w:val="00CB0586"/>
    <w:rsid w:val="00CB1A93"/>
    <w:rsid w:val="00CB6624"/>
    <w:rsid w:val="00CB6B3B"/>
    <w:rsid w:val="00CB7F0D"/>
    <w:rsid w:val="00CC503E"/>
    <w:rsid w:val="00CC7512"/>
    <w:rsid w:val="00CD3213"/>
    <w:rsid w:val="00CD66C6"/>
    <w:rsid w:val="00CE63DC"/>
    <w:rsid w:val="00CE70D4"/>
    <w:rsid w:val="00CF3866"/>
    <w:rsid w:val="00D03066"/>
    <w:rsid w:val="00D10448"/>
    <w:rsid w:val="00D15501"/>
    <w:rsid w:val="00D22E2A"/>
    <w:rsid w:val="00D26B86"/>
    <w:rsid w:val="00D33275"/>
    <w:rsid w:val="00D332A9"/>
    <w:rsid w:val="00D34672"/>
    <w:rsid w:val="00D35C4A"/>
    <w:rsid w:val="00D364FB"/>
    <w:rsid w:val="00D36C84"/>
    <w:rsid w:val="00D37249"/>
    <w:rsid w:val="00D41835"/>
    <w:rsid w:val="00D42581"/>
    <w:rsid w:val="00D42EAD"/>
    <w:rsid w:val="00D43ECE"/>
    <w:rsid w:val="00D464E6"/>
    <w:rsid w:val="00D46DF1"/>
    <w:rsid w:val="00D47695"/>
    <w:rsid w:val="00D51BFF"/>
    <w:rsid w:val="00D51C35"/>
    <w:rsid w:val="00D637F0"/>
    <w:rsid w:val="00D65C32"/>
    <w:rsid w:val="00D730B6"/>
    <w:rsid w:val="00D74241"/>
    <w:rsid w:val="00D825DF"/>
    <w:rsid w:val="00D827B7"/>
    <w:rsid w:val="00D82DD4"/>
    <w:rsid w:val="00D835ED"/>
    <w:rsid w:val="00D838BF"/>
    <w:rsid w:val="00D864C6"/>
    <w:rsid w:val="00D86C9D"/>
    <w:rsid w:val="00D90A21"/>
    <w:rsid w:val="00DA30E6"/>
    <w:rsid w:val="00DA4C0E"/>
    <w:rsid w:val="00DA793D"/>
    <w:rsid w:val="00DB24F9"/>
    <w:rsid w:val="00DB3973"/>
    <w:rsid w:val="00DC14E7"/>
    <w:rsid w:val="00DC326F"/>
    <w:rsid w:val="00DD5D6D"/>
    <w:rsid w:val="00DD73EB"/>
    <w:rsid w:val="00DD7428"/>
    <w:rsid w:val="00DE6AA5"/>
    <w:rsid w:val="00DF5469"/>
    <w:rsid w:val="00E01210"/>
    <w:rsid w:val="00E017A7"/>
    <w:rsid w:val="00E1167D"/>
    <w:rsid w:val="00E14F4D"/>
    <w:rsid w:val="00E26FAD"/>
    <w:rsid w:val="00E3031C"/>
    <w:rsid w:val="00E34339"/>
    <w:rsid w:val="00E35225"/>
    <w:rsid w:val="00E37172"/>
    <w:rsid w:val="00E417BF"/>
    <w:rsid w:val="00E41CFF"/>
    <w:rsid w:val="00E42D53"/>
    <w:rsid w:val="00E500AF"/>
    <w:rsid w:val="00E55599"/>
    <w:rsid w:val="00E570EA"/>
    <w:rsid w:val="00E612C0"/>
    <w:rsid w:val="00E618E3"/>
    <w:rsid w:val="00E66B8F"/>
    <w:rsid w:val="00E67C54"/>
    <w:rsid w:val="00E733D8"/>
    <w:rsid w:val="00E73D4B"/>
    <w:rsid w:val="00E743C1"/>
    <w:rsid w:val="00E74AD9"/>
    <w:rsid w:val="00E750F2"/>
    <w:rsid w:val="00E7533D"/>
    <w:rsid w:val="00E75818"/>
    <w:rsid w:val="00E76D1E"/>
    <w:rsid w:val="00E77B8A"/>
    <w:rsid w:val="00E80417"/>
    <w:rsid w:val="00E82D08"/>
    <w:rsid w:val="00E843AB"/>
    <w:rsid w:val="00E84781"/>
    <w:rsid w:val="00E86324"/>
    <w:rsid w:val="00E93BC5"/>
    <w:rsid w:val="00E947D1"/>
    <w:rsid w:val="00EA30BA"/>
    <w:rsid w:val="00EB2590"/>
    <w:rsid w:val="00EC0375"/>
    <w:rsid w:val="00EC1131"/>
    <w:rsid w:val="00EC25EC"/>
    <w:rsid w:val="00EC2CA3"/>
    <w:rsid w:val="00ED0DDE"/>
    <w:rsid w:val="00ED1B85"/>
    <w:rsid w:val="00ED414B"/>
    <w:rsid w:val="00ED63FB"/>
    <w:rsid w:val="00EE05FD"/>
    <w:rsid w:val="00EE3418"/>
    <w:rsid w:val="00EF0B8C"/>
    <w:rsid w:val="00EF0F88"/>
    <w:rsid w:val="00EF1BE0"/>
    <w:rsid w:val="00F01CAD"/>
    <w:rsid w:val="00F1056F"/>
    <w:rsid w:val="00F12096"/>
    <w:rsid w:val="00F2000E"/>
    <w:rsid w:val="00F2361C"/>
    <w:rsid w:val="00F267FE"/>
    <w:rsid w:val="00F314D1"/>
    <w:rsid w:val="00F334A1"/>
    <w:rsid w:val="00F53917"/>
    <w:rsid w:val="00F5658C"/>
    <w:rsid w:val="00F60701"/>
    <w:rsid w:val="00F63687"/>
    <w:rsid w:val="00F706AC"/>
    <w:rsid w:val="00F7142B"/>
    <w:rsid w:val="00F722CD"/>
    <w:rsid w:val="00F732B7"/>
    <w:rsid w:val="00F767C8"/>
    <w:rsid w:val="00F817A4"/>
    <w:rsid w:val="00F827FD"/>
    <w:rsid w:val="00F864A8"/>
    <w:rsid w:val="00F90AAE"/>
    <w:rsid w:val="00F9146F"/>
    <w:rsid w:val="00F94598"/>
    <w:rsid w:val="00F9647C"/>
    <w:rsid w:val="00F9663B"/>
    <w:rsid w:val="00F96DCE"/>
    <w:rsid w:val="00FA3DA2"/>
    <w:rsid w:val="00FA5B37"/>
    <w:rsid w:val="00FA6A80"/>
    <w:rsid w:val="00FA6DED"/>
    <w:rsid w:val="00FB58B2"/>
    <w:rsid w:val="00FC1DFB"/>
    <w:rsid w:val="00FC250F"/>
    <w:rsid w:val="00FD27A5"/>
    <w:rsid w:val="00FD2D7E"/>
    <w:rsid w:val="00FD3527"/>
    <w:rsid w:val="00FD62D1"/>
    <w:rsid w:val="00FD6383"/>
    <w:rsid w:val="00FE1C16"/>
    <w:rsid w:val="00FE1D5C"/>
    <w:rsid w:val="00FE5F96"/>
    <w:rsid w:val="00FF006E"/>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ED"/>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23865775">
      <w:bodyDiv w:val="1"/>
      <w:marLeft w:val="0"/>
      <w:marRight w:val="0"/>
      <w:marTop w:val="0"/>
      <w:marBottom w:val="0"/>
      <w:divBdr>
        <w:top w:val="none" w:sz="0" w:space="0" w:color="auto"/>
        <w:left w:val="none" w:sz="0" w:space="0" w:color="auto"/>
        <w:bottom w:val="none" w:sz="0" w:space="0" w:color="auto"/>
        <w:right w:val="none" w:sz="0" w:space="0" w:color="auto"/>
      </w:divBdr>
    </w:div>
    <w:div w:id="25059497">
      <w:bodyDiv w:val="1"/>
      <w:marLeft w:val="0"/>
      <w:marRight w:val="0"/>
      <w:marTop w:val="0"/>
      <w:marBottom w:val="0"/>
      <w:divBdr>
        <w:top w:val="none" w:sz="0" w:space="0" w:color="auto"/>
        <w:left w:val="none" w:sz="0" w:space="0" w:color="auto"/>
        <w:bottom w:val="none" w:sz="0" w:space="0" w:color="auto"/>
        <w:right w:val="none" w:sz="0" w:space="0" w:color="auto"/>
      </w:divBdr>
    </w:div>
    <w:div w:id="29691072">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50154982">
      <w:bodyDiv w:val="1"/>
      <w:marLeft w:val="0"/>
      <w:marRight w:val="0"/>
      <w:marTop w:val="0"/>
      <w:marBottom w:val="0"/>
      <w:divBdr>
        <w:top w:val="none" w:sz="0" w:space="0" w:color="auto"/>
        <w:left w:val="none" w:sz="0" w:space="0" w:color="auto"/>
        <w:bottom w:val="none" w:sz="0" w:space="0" w:color="auto"/>
        <w:right w:val="none" w:sz="0" w:space="0" w:color="auto"/>
      </w:divBdr>
    </w:div>
    <w:div w:id="53894008">
      <w:bodyDiv w:val="1"/>
      <w:marLeft w:val="0"/>
      <w:marRight w:val="0"/>
      <w:marTop w:val="0"/>
      <w:marBottom w:val="0"/>
      <w:divBdr>
        <w:top w:val="none" w:sz="0" w:space="0" w:color="auto"/>
        <w:left w:val="none" w:sz="0" w:space="0" w:color="auto"/>
        <w:bottom w:val="none" w:sz="0" w:space="0" w:color="auto"/>
        <w:right w:val="none" w:sz="0" w:space="0" w:color="auto"/>
      </w:divBdr>
      <w:divsChild>
        <w:div w:id="747382009">
          <w:marLeft w:val="0"/>
          <w:marRight w:val="0"/>
          <w:marTop w:val="0"/>
          <w:marBottom w:val="0"/>
          <w:divBdr>
            <w:top w:val="none" w:sz="0" w:space="0" w:color="auto"/>
            <w:left w:val="none" w:sz="0" w:space="0" w:color="auto"/>
            <w:bottom w:val="none" w:sz="0" w:space="0" w:color="auto"/>
            <w:right w:val="none" w:sz="0" w:space="0" w:color="auto"/>
          </w:divBdr>
        </w:div>
      </w:divsChild>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66651212">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76289904">
      <w:bodyDiv w:val="1"/>
      <w:marLeft w:val="0"/>
      <w:marRight w:val="0"/>
      <w:marTop w:val="0"/>
      <w:marBottom w:val="0"/>
      <w:divBdr>
        <w:top w:val="none" w:sz="0" w:space="0" w:color="auto"/>
        <w:left w:val="none" w:sz="0" w:space="0" w:color="auto"/>
        <w:bottom w:val="none" w:sz="0" w:space="0" w:color="auto"/>
        <w:right w:val="none" w:sz="0" w:space="0" w:color="auto"/>
      </w:divBdr>
    </w:div>
    <w:div w:id="93940625">
      <w:bodyDiv w:val="1"/>
      <w:marLeft w:val="0"/>
      <w:marRight w:val="0"/>
      <w:marTop w:val="0"/>
      <w:marBottom w:val="0"/>
      <w:divBdr>
        <w:top w:val="none" w:sz="0" w:space="0" w:color="auto"/>
        <w:left w:val="none" w:sz="0" w:space="0" w:color="auto"/>
        <w:bottom w:val="none" w:sz="0" w:space="0" w:color="auto"/>
        <w:right w:val="none" w:sz="0" w:space="0" w:color="auto"/>
      </w:divBdr>
      <w:divsChild>
        <w:div w:id="1430078842">
          <w:marLeft w:val="0"/>
          <w:marRight w:val="0"/>
          <w:marTop w:val="0"/>
          <w:marBottom w:val="0"/>
          <w:divBdr>
            <w:top w:val="none" w:sz="0" w:space="0" w:color="auto"/>
            <w:left w:val="none" w:sz="0" w:space="0" w:color="auto"/>
            <w:bottom w:val="none" w:sz="0" w:space="0" w:color="auto"/>
            <w:right w:val="none" w:sz="0" w:space="0" w:color="auto"/>
          </w:divBdr>
          <w:divsChild>
            <w:div w:id="65299148">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28398917">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390533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01137454">
      <w:bodyDiv w:val="1"/>
      <w:marLeft w:val="0"/>
      <w:marRight w:val="0"/>
      <w:marTop w:val="0"/>
      <w:marBottom w:val="0"/>
      <w:divBdr>
        <w:top w:val="none" w:sz="0" w:space="0" w:color="auto"/>
        <w:left w:val="none" w:sz="0" w:space="0" w:color="auto"/>
        <w:bottom w:val="none" w:sz="0" w:space="0" w:color="auto"/>
        <w:right w:val="none" w:sz="0" w:space="0" w:color="auto"/>
      </w:divBdr>
    </w:div>
    <w:div w:id="203367826">
      <w:bodyDiv w:val="1"/>
      <w:marLeft w:val="0"/>
      <w:marRight w:val="0"/>
      <w:marTop w:val="0"/>
      <w:marBottom w:val="0"/>
      <w:divBdr>
        <w:top w:val="none" w:sz="0" w:space="0" w:color="auto"/>
        <w:left w:val="none" w:sz="0" w:space="0" w:color="auto"/>
        <w:bottom w:val="none" w:sz="0" w:space="0" w:color="auto"/>
        <w:right w:val="none" w:sz="0" w:space="0" w:color="auto"/>
      </w:divBdr>
    </w:div>
    <w:div w:id="208344502">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17129846">
      <w:bodyDiv w:val="1"/>
      <w:marLeft w:val="0"/>
      <w:marRight w:val="0"/>
      <w:marTop w:val="0"/>
      <w:marBottom w:val="0"/>
      <w:divBdr>
        <w:top w:val="none" w:sz="0" w:space="0" w:color="auto"/>
        <w:left w:val="none" w:sz="0" w:space="0" w:color="auto"/>
        <w:bottom w:val="none" w:sz="0" w:space="0" w:color="auto"/>
        <w:right w:val="none" w:sz="0" w:space="0" w:color="auto"/>
      </w:divBdr>
    </w:div>
    <w:div w:id="222638825">
      <w:bodyDiv w:val="1"/>
      <w:marLeft w:val="0"/>
      <w:marRight w:val="0"/>
      <w:marTop w:val="0"/>
      <w:marBottom w:val="0"/>
      <w:divBdr>
        <w:top w:val="none" w:sz="0" w:space="0" w:color="auto"/>
        <w:left w:val="none" w:sz="0" w:space="0" w:color="auto"/>
        <w:bottom w:val="none" w:sz="0" w:space="0" w:color="auto"/>
        <w:right w:val="none" w:sz="0" w:space="0" w:color="auto"/>
      </w:divBdr>
    </w:div>
    <w:div w:id="227495142">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37640859">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1190098">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272640276">
      <w:bodyDiv w:val="1"/>
      <w:marLeft w:val="0"/>
      <w:marRight w:val="0"/>
      <w:marTop w:val="0"/>
      <w:marBottom w:val="0"/>
      <w:divBdr>
        <w:top w:val="none" w:sz="0" w:space="0" w:color="auto"/>
        <w:left w:val="none" w:sz="0" w:space="0" w:color="auto"/>
        <w:bottom w:val="none" w:sz="0" w:space="0" w:color="auto"/>
        <w:right w:val="none" w:sz="0" w:space="0" w:color="auto"/>
      </w:divBdr>
    </w:div>
    <w:div w:id="284360772">
      <w:bodyDiv w:val="1"/>
      <w:marLeft w:val="0"/>
      <w:marRight w:val="0"/>
      <w:marTop w:val="0"/>
      <w:marBottom w:val="0"/>
      <w:divBdr>
        <w:top w:val="none" w:sz="0" w:space="0" w:color="auto"/>
        <w:left w:val="none" w:sz="0" w:space="0" w:color="auto"/>
        <w:bottom w:val="none" w:sz="0" w:space="0" w:color="auto"/>
        <w:right w:val="none" w:sz="0" w:space="0" w:color="auto"/>
      </w:divBdr>
    </w:div>
    <w:div w:id="286546241">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433370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4042945">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0515919">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4554175">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52979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79494">
      <w:bodyDiv w:val="1"/>
      <w:marLeft w:val="0"/>
      <w:marRight w:val="0"/>
      <w:marTop w:val="0"/>
      <w:marBottom w:val="0"/>
      <w:divBdr>
        <w:top w:val="none" w:sz="0" w:space="0" w:color="auto"/>
        <w:left w:val="none" w:sz="0" w:space="0" w:color="auto"/>
        <w:bottom w:val="none" w:sz="0" w:space="0" w:color="auto"/>
        <w:right w:val="none" w:sz="0" w:space="0" w:color="auto"/>
      </w:divBdr>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1748654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2288424">
      <w:bodyDiv w:val="1"/>
      <w:marLeft w:val="0"/>
      <w:marRight w:val="0"/>
      <w:marTop w:val="0"/>
      <w:marBottom w:val="0"/>
      <w:divBdr>
        <w:top w:val="none" w:sz="0" w:space="0" w:color="auto"/>
        <w:left w:val="none" w:sz="0" w:space="0" w:color="auto"/>
        <w:bottom w:val="none" w:sz="0" w:space="0" w:color="auto"/>
        <w:right w:val="none" w:sz="0" w:space="0" w:color="auto"/>
      </w:divBdr>
    </w:div>
    <w:div w:id="432867576">
      <w:bodyDiv w:val="1"/>
      <w:marLeft w:val="0"/>
      <w:marRight w:val="0"/>
      <w:marTop w:val="0"/>
      <w:marBottom w:val="0"/>
      <w:divBdr>
        <w:top w:val="none" w:sz="0" w:space="0" w:color="auto"/>
        <w:left w:val="none" w:sz="0" w:space="0" w:color="auto"/>
        <w:bottom w:val="none" w:sz="0" w:space="0" w:color="auto"/>
        <w:right w:val="none" w:sz="0" w:space="0" w:color="auto"/>
      </w:divBdr>
    </w:div>
    <w:div w:id="436289654">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45462243">
      <w:bodyDiv w:val="1"/>
      <w:marLeft w:val="0"/>
      <w:marRight w:val="0"/>
      <w:marTop w:val="0"/>
      <w:marBottom w:val="0"/>
      <w:divBdr>
        <w:top w:val="none" w:sz="0" w:space="0" w:color="auto"/>
        <w:left w:val="none" w:sz="0" w:space="0" w:color="auto"/>
        <w:bottom w:val="none" w:sz="0" w:space="0" w:color="auto"/>
        <w:right w:val="none" w:sz="0" w:space="0" w:color="auto"/>
      </w:divBdr>
    </w:div>
    <w:div w:id="446126681">
      <w:bodyDiv w:val="1"/>
      <w:marLeft w:val="0"/>
      <w:marRight w:val="0"/>
      <w:marTop w:val="0"/>
      <w:marBottom w:val="0"/>
      <w:divBdr>
        <w:top w:val="none" w:sz="0" w:space="0" w:color="auto"/>
        <w:left w:val="none" w:sz="0" w:space="0" w:color="auto"/>
        <w:bottom w:val="none" w:sz="0" w:space="0" w:color="auto"/>
        <w:right w:val="none" w:sz="0" w:space="0" w:color="auto"/>
      </w:divBdr>
    </w:div>
    <w:div w:id="451367197">
      <w:bodyDiv w:val="1"/>
      <w:marLeft w:val="0"/>
      <w:marRight w:val="0"/>
      <w:marTop w:val="0"/>
      <w:marBottom w:val="0"/>
      <w:divBdr>
        <w:top w:val="none" w:sz="0" w:space="0" w:color="auto"/>
        <w:left w:val="none" w:sz="0" w:space="0" w:color="auto"/>
        <w:bottom w:val="none" w:sz="0" w:space="0" w:color="auto"/>
        <w:right w:val="none" w:sz="0" w:space="0" w:color="auto"/>
      </w:divBdr>
    </w:div>
    <w:div w:id="456487093">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05168926">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15654472">
      <w:bodyDiv w:val="1"/>
      <w:marLeft w:val="0"/>
      <w:marRight w:val="0"/>
      <w:marTop w:val="0"/>
      <w:marBottom w:val="0"/>
      <w:divBdr>
        <w:top w:val="none" w:sz="0" w:space="0" w:color="auto"/>
        <w:left w:val="none" w:sz="0" w:space="0" w:color="auto"/>
        <w:bottom w:val="none" w:sz="0" w:space="0" w:color="auto"/>
        <w:right w:val="none" w:sz="0" w:space="0" w:color="auto"/>
      </w:divBdr>
    </w:div>
    <w:div w:id="518204045">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271">
      <w:bodyDiv w:val="1"/>
      <w:marLeft w:val="0"/>
      <w:marRight w:val="0"/>
      <w:marTop w:val="0"/>
      <w:marBottom w:val="0"/>
      <w:divBdr>
        <w:top w:val="none" w:sz="0" w:space="0" w:color="auto"/>
        <w:left w:val="none" w:sz="0" w:space="0" w:color="auto"/>
        <w:bottom w:val="none" w:sz="0" w:space="0" w:color="auto"/>
        <w:right w:val="none" w:sz="0" w:space="0" w:color="auto"/>
      </w:divBdr>
    </w:div>
    <w:div w:id="572200099">
      <w:bodyDiv w:val="1"/>
      <w:marLeft w:val="0"/>
      <w:marRight w:val="0"/>
      <w:marTop w:val="0"/>
      <w:marBottom w:val="0"/>
      <w:divBdr>
        <w:top w:val="none" w:sz="0" w:space="0" w:color="auto"/>
        <w:left w:val="none" w:sz="0" w:space="0" w:color="auto"/>
        <w:bottom w:val="none" w:sz="0" w:space="0" w:color="auto"/>
        <w:right w:val="none" w:sz="0" w:space="0" w:color="auto"/>
      </w:divBdr>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0804454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37564252">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4212286">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7267133">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0162731">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7369596">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697580672">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28772329">
      <w:bodyDiv w:val="1"/>
      <w:marLeft w:val="0"/>
      <w:marRight w:val="0"/>
      <w:marTop w:val="0"/>
      <w:marBottom w:val="0"/>
      <w:divBdr>
        <w:top w:val="none" w:sz="0" w:space="0" w:color="auto"/>
        <w:left w:val="none" w:sz="0" w:space="0" w:color="auto"/>
        <w:bottom w:val="none" w:sz="0" w:space="0" w:color="auto"/>
        <w:right w:val="none" w:sz="0" w:space="0" w:color="auto"/>
      </w:divBdr>
    </w:div>
    <w:div w:id="756444600">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75177054">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117">
      <w:bodyDiv w:val="1"/>
      <w:marLeft w:val="0"/>
      <w:marRight w:val="0"/>
      <w:marTop w:val="0"/>
      <w:marBottom w:val="0"/>
      <w:divBdr>
        <w:top w:val="none" w:sz="0" w:space="0" w:color="auto"/>
        <w:left w:val="none" w:sz="0" w:space="0" w:color="auto"/>
        <w:bottom w:val="none" w:sz="0" w:space="0" w:color="auto"/>
        <w:right w:val="none" w:sz="0" w:space="0" w:color="auto"/>
      </w:divBdr>
    </w:div>
    <w:div w:id="809136290">
      <w:bodyDiv w:val="1"/>
      <w:marLeft w:val="0"/>
      <w:marRight w:val="0"/>
      <w:marTop w:val="0"/>
      <w:marBottom w:val="0"/>
      <w:divBdr>
        <w:top w:val="none" w:sz="0" w:space="0" w:color="auto"/>
        <w:left w:val="none" w:sz="0" w:space="0" w:color="auto"/>
        <w:bottom w:val="none" w:sz="0" w:space="0" w:color="auto"/>
        <w:right w:val="none" w:sz="0" w:space="0" w:color="auto"/>
      </w:divBdr>
    </w:div>
    <w:div w:id="821503360">
      <w:bodyDiv w:val="1"/>
      <w:marLeft w:val="0"/>
      <w:marRight w:val="0"/>
      <w:marTop w:val="0"/>
      <w:marBottom w:val="0"/>
      <w:divBdr>
        <w:top w:val="none" w:sz="0" w:space="0" w:color="auto"/>
        <w:left w:val="none" w:sz="0" w:space="0" w:color="auto"/>
        <w:bottom w:val="none" w:sz="0" w:space="0" w:color="auto"/>
        <w:right w:val="none" w:sz="0" w:space="0" w:color="auto"/>
      </w:divBdr>
    </w:div>
    <w:div w:id="825514701">
      <w:bodyDiv w:val="1"/>
      <w:marLeft w:val="0"/>
      <w:marRight w:val="0"/>
      <w:marTop w:val="0"/>
      <w:marBottom w:val="0"/>
      <w:divBdr>
        <w:top w:val="none" w:sz="0" w:space="0" w:color="auto"/>
        <w:left w:val="none" w:sz="0" w:space="0" w:color="auto"/>
        <w:bottom w:val="none" w:sz="0" w:space="0" w:color="auto"/>
        <w:right w:val="none" w:sz="0" w:space="0" w:color="auto"/>
      </w:divBdr>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0462502">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79127346">
      <w:bodyDiv w:val="1"/>
      <w:marLeft w:val="0"/>
      <w:marRight w:val="0"/>
      <w:marTop w:val="0"/>
      <w:marBottom w:val="0"/>
      <w:divBdr>
        <w:top w:val="none" w:sz="0" w:space="0" w:color="auto"/>
        <w:left w:val="none" w:sz="0" w:space="0" w:color="auto"/>
        <w:bottom w:val="none" w:sz="0" w:space="0" w:color="auto"/>
        <w:right w:val="none" w:sz="0" w:space="0" w:color="auto"/>
      </w:divBdr>
      <w:divsChild>
        <w:div w:id="664088597">
          <w:marLeft w:val="0"/>
          <w:marRight w:val="0"/>
          <w:marTop w:val="0"/>
          <w:marBottom w:val="0"/>
          <w:divBdr>
            <w:top w:val="none" w:sz="0" w:space="0" w:color="auto"/>
            <w:left w:val="none" w:sz="0" w:space="0" w:color="auto"/>
            <w:bottom w:val="none" w:sz="0" w:space="0" w:color="auto"/>
            <w:right w:val="none" w:sz="0" w:space="0" w:color="auto"/>
          </w:divBdr>
          <w:divsChild>
            <w:div w:id="2050759966">
              <w:marLeft w:val="0"/>
              <w:marRight w:val="0"/>
              <w:marTop w:val="0"/>
              <w:marBottom w:val="0"/>
              <w:divBdr>
                <w:top w:val="none" w:sz="0" w:space="0" w:color="auto"/>
                <w:left w:val="none" w:sz="0" w:space="0" w:color="auto"/>
                <w:bottom w:val="none" w:sz="0" w:space="0" w:color="auto"/>
                <w:right w:val="none" w:sz="0" w:space="0" w:color="auto"/>
              </w:divBdr>
              <w:divsChild>
                <w:div w:id="1985770354">
                  <w:marLeft w:val="0"/>
                  <w:marRight w:val="0"/>
                  <w:marTop w:val="0"/>
                  <w:marBottom w:val="0"/>
                  <w:divBdr>
                    <w:top w:val="none" w:sz="0" w:space="0" w:color="auto"/>
                    <w:left w:val="none" w:sz="0" w:space="0" w:color="auto"/>
                    <w:bottom w:val="none" w:sz="0" w:space="0" w:color="auto"/>
                    <w:right w:val="none" w:sz="0" w:space="0" w:color="auto"/>
                  </w:divBdr>
                  <w:divsChild>
                    <w:div w:id="19438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887423886">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19144008">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30965978">
      <w:bodyDiv w:val="1"/>
      <w:marLeft w:val="0"/>
      <w:marRight w:val="0"/>
      <w:marTop w:val="0"/>
      <w:marBottom w:val="0"/>
      <w:divBdr>
        <w:top w:val="none" w:sz="0" w:space="0" w:color="auto"/>
        <w:left w:val="none" w:sz="0" w:space="0" w:color="auto"/>
        <w:bottom w:val="none" w:sz="0" w:space="0" w:color="auto"/>
        <w:right w:val="none" w:sz="0" w:space="0" w:color="auto"/>
      </w:divBdr>
    </w:div>
    <w:div w:id="938176807">
      <w:bodyDiv w:val="1"/>
      <w:marLeft w:val="0"/>
      <w:marRight w:val="0"/>
      <w:marTop w:val="0"/>
      <w:marBottom w:val="0"/>
      <w:divBdr>
        <w:top w:val="none" w:sz="0" w:space="0" w:color="auto"/>
        <w:left w:val="none" w:sz="0" w:space="0" w:color="auto"/>
        <w:bottom w:val="none" w:sz="0" w:space="0" w:color="auto"/>
        <w:right w:val="none" w:sz="0" w:space="0" w:color="auto"/>
      </w:divBdr>
    </w:div>
    <w:div w:id="943345415">
      <w:bodyDiv w:val="1"/>
      <w:marLeft w:val="0"/>
      <w:marRight w:val="0"/>
      <w:marTop w:val="0"/>
      <w:marBottom w:val="0"/>
      <w:divBdr>
        <w:top w:val="none" w:sz="0" w:space="0" w:color="auto"/>
        <w:left w:val="none" w:sz="0" w:space="0" w:color="auto"/>
        <w:bottom w:val="none" w:sz="0" w:space="0" w:color="auto"/>
        <w:right w:val="none" w:sz="0" w:space="0" w:color="auto"/>
      </w:divBdr>
      <w:divsChild>
        <w:div w:id="642345372">
          <w:marLeft w:val="0"/>
          <w:marRight w:val="0"/>
          <w:marTop w:val="0"/>
          <w:marBottom w:val="0"/>
          <w:divBdr>
            <w:top w:val="none" w:sz="0" w:space="0" w:color="auto"/>
            <w:left w:val="none" w:sz="0" w:space="0" w:color="auto"/>
            <w:bottom w:val="none" w:sz="0" w:space="0" w:color="auto"/>
            <w:right w:val="none" w:sz="0" w:space="0" w:color="auto"/>
          </w:divBdr>
          <w:divsChild>
            <w:div w:id="1739471240">
              <w:marLeft w:val="0"/>
              <w:marRight w:val="0"/>
              <w:marTop w:val="0"/>
              <w:marBottom w:val="0"/>
              <w:divBdr>
                <w:top w:val="none" w:sz="0" w:space="0" w:color="auto"/>
                <w:left w:val="none" w:sz="0" w:space="0" w:color="auto"/>
                <w:bottom w:val="none" w:sz="0" w:space="0" w:color="auto"/>
                <w:right w:val="none" w:sz="0" w:space="0" w:color="auto"/>
              </w:divBdr>
              <w:divsChild>
                <w:div w:id="929704872">
                  <w:marLeft w:val="0"/>
                  <w:marRight w:val="0"/>
                  <w:marTop w:val="0"/>
                  <w:marBottom w:val="0"/>
                  <w:divBdr>
                    <w:top w:val="none" w:sz="0" w:space="0" w:color="auto"/>
                    <w:left w:val="none" w:sz="0" w:space="0" w:color="auto"/>
                    <w:bottom w:val="none" w:sz="0" w:space="0" w:color="auto"/>
                    <w:right w:val="none" w:sz="0" w:space="0" w:color="auto"/>
                  </w:divBdr>
                  <w:divsChild>
                    <w:div w:id="5942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970014358">
      <w:bodyDiv w:val="1"/>
      <w:marLeft w:val="0"/>
      <w:marRight w:val="0"/>
      <w:marTop w:val="0"/>
      <w:marBottom w:val="0"/>
      <w:divBdr>
        <w:top w:val="none" w:sz="0" w:space="0" w:color="auto"/>
        <w:left w:val="none" w:sz="0" w:space="0" w:color="auto"/>
        <w:bottom w:val="none" w:sz="0" w:space="0" w:color="auto"/>
        <w:right w:val="none" w:sz="0" w:space="0" w:color="auto"/>
      </w:divBdr>
    </w:div>
    <w:div w:id="994457279">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5885189">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5618988">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6823701">
      <w:bodyDiv w:val="1"/>
      <w:marLeft w:val="0"/>
      <w:marRight w:val="0"/>
      <w:marTop w:val="0"/>
      <w:marBottom w:val="0"/>
      <w:divBdr>
        <w:top w:val="none" w:sz="0" w:space="0" w:color="auto"/>
        <w:left w:val="none" w:sz="0" w:space="0" w:color="auto"/>
        <w:bottom w:val="none" w:sz="0" w:space="0" w:color="auto"/>
        <w:right w:val="none" w:sz="0" w:space="0" w:color="auto"/>
      </w:divBdr>
    </w:div>
    <w:div w:id="1077246502">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089352561">
      <w:bodyDiv w:val="1"/>
      <w:marLeft w:val="0"/>
      <w:marRight w:val="0"/>
      <w:marTop w:val="0"/>
      <w:marBottom w:val="0"/>
      <w:divBdr>
        <w:top w:val="none" w:sz="0" w:space="0" w:color="auto"/>
        <w:left w:val="none" w:sz="0" w:space="0" w:color="auto"/>
        <w:bottom w:val="none" w:sz="0" w:space="0" w:color="auto"/>
        <w:right w:val="none" w:sz="0" w:space="0" w:color="auto"/>
      </w:divBdr>
    </w:div>
    <w:div w:id="1099058703">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14711119">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1806894">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47822395">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57380783">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164780808">
      <w:bodyDiv w:val="1"/>
      <w:marLeft w:val="0"/>
      <w:marRight w:val="0"/>
      <w:marTop w:val="0"/>
      <w:marBottom w:val="0"/>
      <w:divBdr>
        <w:top w:val="none" w:sz="0" w:space="0" w:color="auto"/>
        <w:left w:val="none" w:sz="0" w:space="0" w:color="auto"/>
        <w:bottom w:val="none" w:sz="0" w:space="0" w:color="auto"/>
        <w:right w:val="none" w:sz="0" w:space="0" w:color="auto"/>
      </w:divBdr>
    </w:div>
    <w:div w:id="1174764169">
      <w:bodyDiv w:val="1"/>
      <w:marLeft w:val="0"/>
      <w:marRight w:val="0"/>
      <w:marTop w:val="0"/>
      <w:marBottom w:val="0"/>
      <w:divBdr>
        <w:top w:val="none" w:sz="0" w:space="0" w:color="auto"/>
        <w:left w:val="none" w:sz="0" w:space="0" w:color="auto"/>
        <w:bottom w:val="none" w:sz="0" w:space="0" w:color="auto"/>
        <w:right w:val="none" w:sz="0" w:space="0" w:color="auto"/>
      </w:divBdr>
    </w:div>
    <w:div w:id="1191921318">
      <w:bodyDiv w:val="1"/>
      <w:marLeft w:val="0"/>
      <w:marRight w:val="0"/>
      <w:marTop w:val="0"/>
      <w:marBottom w:val="0"/>
      <w:divBdr>
        <w:top w:val="none" w:sz="0" w:space="0" w:color="auto"/>
        <w:left w:val="none" w:sz="0" w:space="0" w:color="auto"/>
        <w:bottom w:val="none" w:sz="0" w:space="0" w:color="auto"/>
        <w:right w:val="none" w:sz="0" w:space="0" w:color="auto"/>
      </w:divBdr>
    </w:div>
    <w:div w:id="1194342004">
      <w:bodyDiv w:val="1"/>
      <w:marLeft w:val="0"/>
      <w:marRight w:val="0"/>
      <w:marTop w:val="0"/>
      <w:marBottom w:val="0"/>
      <w:divBdr>
        <w:top w:val="none" w:sz="0" w:space="0" w:color="auto"/>
        <w:left w:val="none" w:sz="0" w:space="0" w:color="auto"/>
        <w:bottom w:val="none" w:sz="0" w:space="0" w:color="auto"/>
        <w:right w:val="none" w:sz="0" w:space="0" w:color="auto"/>
      </w:divBdr>
    </w:div>
    <w:div w:id="1196239057">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17089543">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29730221">
      <w:bodyDiv w:val="1"/>
      <w:marLeft w:val="0"/>
      <w:marRight w:val="0"/>
      <w:marTop w:val="0"/>
      <w:marBottom w:val="0"/>
      <w:divBdr>
        <w:top w:val="none" w:sz="0" w:space="0" w:color="auto"/>
        <w:left w:val="none" w:sz="0" w:space="0" w:color="auto"/>
        <w:bottom w:val="none" w:sz="0" w:space="0" w:color="auto"/>
        <w:right w:val="none" w:sz="0" w:space="0" w:color="auto"/>
      </w:divBdr>
    </w:div>
    <w:div w:id="1230921079">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43831594">
      <w:bodyDiv w:val="1"/>
      <w:marLeft w:val="0"/>
      <w:marRight w:val="0"/>
      <w:marTop w:val="0"/>
      <w:marBottom w:val="0"/>
      <w:divBdr>
        <w:top w:val="none" w:sz="0" w:space="0" w:color="auto"/>
        <w:left w:val="none" w:sz="0" w:space="0" w:color="auto"/>
        <w:bottom w:val="none" w:sz="0" w:space="0" w:color="auto"/>
        <w:right w:val="none" w:sz="0" w:space="0" w:color="auto"/>
      </w:divBdr>
    </w:div>
    <w:div w:id="124899876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74484604">
      <w:bodyDiv w:val="1"/>
      <w:marLeft w:val="0"/>
      <w:marRight w:val="0"/>
      <w:marTop w:val="0"/>
      <w:marBottom w:val="0"/>
      <w:divBdr>
        <w:top w:val="none" w:sz="0" w:space="0" w:color="auto"/>
        <w:left w:val="none" w:sz="0" w:space="0" w:color="auto"/>
        <w:bottom w:val="none" w:sz="0" w:space="0" w:color="auto"/>
        <w:right w:val="none" w:sz="0" w:space="0" w:color="auto"/>
      </w:divBdr>
    </w:div>
    <w:div w:id="1281455188">
      <w:bodyDiv w:val="1"/>
      <w:marLeft w:val="0"/>
      <w:marRight w:val="0"/>
      <w:marTop w:val="0"/>
      <w:marBottom w:val="0"/>
      <w:divBdr>
        <w:top w:val="none" w:sz="0" w:space="0" w:color="auto"/>
        <w:left w:val="none" w:sz="0" w:space="0" w:color="auto"/>
        <w:bottom w:val="none" w:sz="0" w:space="0" w:color="auto"/>
        <w:right w:val="none" w:sz="0" w:space="0" w:color="auto"/>
      </w:divBdr>
    </w:div>
    <w:div w:id="1282762833">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04236699">
      <w:bodyDiv w:val="1"/>
      <w:marLeft w:val="0"/>
      <w:marRight w:val="0"/>
      <w:marTop w:val="0"/>
      <w:marBottom w:val="0"/>
      <w:divBdr>
        <w:top w:val="none" w:sz="0" w:space="0" w:color="auto"/>
        <w:left w:val="none" w:sz="0" w:space="0" w:color="auto"/>
        <w:bottom w:val="none" w:sz="0" w:space="0" w:color="auto"/>
        <w:right w:val="none" w:sz="0" w:space="0" w:color="auto"/>
      </w:divBdr>
      <w:divsChild>
        <w:div w:id="1695183091">
          <w:marLeft w:val="0"/>
          <w:marRight w:val="0"/>
          <w:marTop w:val="0"/>
          <w:marBottom w:val="0"/>
          <w:divBdr>
            <w:top w:val="none" w:sz="0" w:space="0" w:color="auto"/>
            <w:left w:val="none" w:sz="0" w:space="0" w:color="auto"/>
            <w:bottom w:val="none" w:sz="0" w:space="0" w:color="auto"/>
            <w:right w:val="none" w:sz="0" w:space="0" w:color="auto"/>
          </w:divBdr>
          <w:divsChild>
            <w:div w:id="1890149335">
              <w:marLeft w:val="0"/>
              <w:marRight w:val="0"/>
              <w:marTop w:val="0"/>
              <w:marBottom w:val="0"/>
              <w:divBdr>
                <w:top w:val="none" w:sz="0" w:space="0" w:color="auto"/>
                <w:left w:val="none" w:sz="0" w:space="0" w:color="auto"/>
                <w:bottom w:val="none" w:sz="0" w:space="0" w:color="auto"/>
                <w:right w:val="none" w:sz="0" w:space="0" w:color="auto"/>
              </w:divBdr>
              <w:divsChild>
                <w:div w:id="1513639984">
                  <w:marLeft w:val="0"/>
                  <w:marRight w:val="0"/>
                  <w:marTop w:val="0"/>
                  <w:marBottom w:val="0"/>
                  <w:divBdr>
                    <w:top w:val="none" w:sz="0" w:space="0" w:color="auto"/>
                    <w:left w:val="none" w:sz="0" w:space="0" w:color="auto"/>
                    <w:bottom w:val="none" w:sz="0" w:space="0" w:color="auto"/>
                    <w:right w:val="none" w:sz="0" w:space="0" w:color="auto"/>
                  </w:divBdr>
                  <w:divsChild>
                    <w:div w:id="19980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7397998">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41666338">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56731070">
      <w:bodyDiv w:val="1"/>
      <w:marLeft w:val="0"/>
      <w:marRight w:val="0"/>
      <w:marTop w:val="0"/>
      <w:marBottom w:val="0"/>
      <w:divBdr>
        <w:top w:val="none" w:sz="0" w:space="0" w:color="auto"/>
        <w:left w:val="none" w:sz="0" w:space="0" w:color="auto"/>
        <w:bottom w:val="none" w:sz="0" w:space="0" w:color="auto"/>
        <w:right w:val="none" w:sz="0" w:space="0" w:color="auto"/>
      </w:divBdr>
    </w:div>
    <w:div w:id="1373310999">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0809887">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19911301">
      <w:bodyDiv w:val="1"/>
      <w:marLeft w:val="0"/>
      <w:marRight w:val="0"/>
      <w:marTop w:val="0"/>
      <w:marBottom w:val="0"/>
      <w:divBdr>
        <w:top w:val="none" w:sz="0" w:space="0" w:color="auto"/>
        <w:left w:val="none" w:sz="0" w:space="0" w:color="auto"/>
        <w:bottom w:val="none" w:sz="0" w:space="0" w:color="auto"/>
        <w:right w:val="none" w:sz="0" w:space="0" w:color="auto"/>
      </w:divBdr>
    </w:div>
    <w:div w:id="1427994734">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36369384">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69590252">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3280325">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1872877">
      <w:bodyDiv w:val="1"/>
      <w:marLeft w:val="0"/>
      <w:marRight w:val="0"/>
      <w:marTop w:val="0"/>
      <w:marBottom w:val="0"/>
      <w:divBdr>
        <w:top w:val="none" w:sz="0" w:space="0" w:color="auto"/>
        <w:left w:val="none" w:sz="0" w:space="0" w:color="auto"/>
        <w:bottom w:val="none" w:sz="0" w:space="0" w:color="auto"/>
        <w:right w:val="none" w:sz="0" w:space="0" w:color="auto"/>
      </w:divBdr>
    </w:div>
    <w:div w:id="1513642219">
      <w:bodyDiv w:val="1"/>
      <w:marLeft w:val="0"/>
      <w:marRight w:val="0"/>
      <w:marTop w:val="0"/>
      <w:marBottom w:val="0"/>
      <w:divBdr>
        <w:top w:val="none" w:sz="0" w:space="0" w:color="auto"/>
        <w:left w:val="none" w:sz="0" w:space="0" w:color="auto"/>
        <w:bottom w:val="none" w:sz="0" w:space="0" w:color="auto"/>
        <w:right w:val="none" w:sz="0" w:space="0" w:color="auto"/>
      </w:divBdr>
    </w:div>
    <w:div w:id="1514565948">
      <w:bodyDiv w:val="1"/>
      <w:marLeft w:val="0"/>
      <w:marRight w:val="0"/>
      <w:marTop w:val="0"/>
      <w:marBottom w:val="0"/>
      <w:divBdr>
        <w:top w:val="none" w:sz="0" w:space="0" w:color="auto"/>
        <w:left w:val="none" w:sz="0" w:space="0" w:color="auto"/>
        <w:bottom w:val="none" w:sz="0" w:space="0" w:color="auto"/>
        <w:right w:val="none" w:sz="0" w:space="0" w:color="auto"/>
      </w:divBdr>
    </w:div>
    <w:div w:id="1517452987">
      <w:bodyDiv w:val="1"/>
      <w:marLeft w:val="0"/>
      <w:marRight w:val="0"/>
      <w:marTop w:val="0"/>
      <w:marBottom w:val="0"/>
      <w:divBdr>
        <w:top w:val="none" w:sz="0" w:space="0" w:color="auto"/>
        <w:left w:val="none" w:sz="0" w:space="0" w:color="auto"/>
        <w:bottom w:val="none" w:sz="0" w:space="0" w:color="auto"/>
        <w:right w:val="none" w:sz="0" w:space="0" w:color="auto"/>
      </w:divBdr>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0631696">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5235318">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563324880">
      <w:bodyDiv w:val="1"/>
      <w:marLeft w:val="0"/>
      <w:marRight w:val="0"/>
      <w:marTop w:val="0"/>
      <w:marBottom w:val="0"/>
      <w:divBdr>
        <w:top w:val="none" w:sz="0" w:space="0" w:color="auto"/>
        <w:left w:val="none" w:sz="0" w:space="0" w:color="auto"/>
        <w:bottom w:val="none" w:sz="0" w:space="0" w:color="auto"/>
        <w:right w:val="none" w:sz="0" w:space="0" w:color="auto"/>
      </w:divBdr>
    </w:div>
    <w:div w:id="1565336614">
      <w:bodyDiv w:val="1"/>
      <w:marLeft w:val="0"/>
      <w:marRight w:val="0"/>
      <w:marTop w:val="0"/>
      <w:marBottom w:val="0"/>
      <w:divBdr>
        <w:top w:val="none" w:sz="0" w:space="0" w:color="auto"/>
        <w:left w:val="none" w:sz="0" w:space="0" w:color="auto"/>
        <w:bottom w:val="none" w:sz="0" w:space="0" w:color="auto"/>
        <w:right w:val="none" w:sz="0" w:space="0" w:color="auto"/>
      </w:divBdr>
    </w:div>
    <w:div w:id="1572883911">
      <w:bodyDiv w:val="1"/>
      <w:marLeft w:val="0"/>
      <w:marRight w:val="0"/>
      <w:marTop w:val="0"/>
      <w:marBottom w:val="0"/>
      <w:divBdr>
        <w:top w:val="none" w:sz="0" w:space="0" w:color="auto"/>
        <w:left w:val="none" w:sz="0" w:space="0" w:color="auto"/>
        <w:bottom w:val="none" w:sz="0" w:space="0" w:color="auto"/>
        <w:right w:val="none" w:sz="0" w:space="0" w:color="auto"/>
      </w:divBdr>
    </w:div>
    <w:div w:id="1578203165">
      <w:bodyDiv w:val="1"/>
      <w:marLeft w:val="0"/>
      <w:marRight w:val="0"/>
      <w:marTop w:val="0"/>
      <w:marBottom w:val="0"/>
      <w:divBdr>
        <w:top w:val="none" w:sz="0" w:space="0" w:color="auto"/>
        <w:left w:val="none" w:sz="0" w:space="0" w:color="auto"/>
        <w:bottom w:val="none" w:sz="0" w:space="0" w:color="auto"/>
        <w:right w:val="none" w:sz="0" w:space="0" w:color="auto"/>
      </w:divBdr>
    </w:div>
    <w:div w:id="1599286394">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1609">
      <w:bodyDiv w:val="1"/>
      <w:marLeft w:val="0"/>
      <w:marRight w:val="0"/>
      <w:marTop w:val="0"/>
      <w:marBottom w:val="0"/>
      <w:divBdr>
        <w:top w:val="none" w:sz="0" w:space="0" w:color="auto"/>
        <w:left w:val="none" w:sz="0" w:space="0" w:color="auto"/>
        <w:bottom w:val="none" w:sz="0" w:space="0" w:color="auto"/>
        <w:right w:val="none" w:sz="0" w:space="0" w:color="auto"/>
      </w:divBdr>
    </w:div>
    <w:div w:id="1625884236">
      <w:bodyDiv w:val="1"/>
      <w:marLeft w:val="0"/>
      <w:marRight w:val="0"/>
      <w:marTop w:val="0"/>
      <w:marBottom w:val="0"/>
      <w:divBdr>
        <w:top w:val="none" w:sz="0" w:space="0" w:color="auto"/>
        <w:left w:val="none" w:sz="0" w:space="0" w:color="auto"/>
        <w:bottom w:val="none" w:sz="0" w:space="0" w:color="auto"/>
        <w:right w:val="none" w:sz="0" w:space="0" w:color="auto"/>
      </w:divBdr>
    </w:div>
    <w:div w:id="1645506784">
      <w:bodyDiv w:val="1"/>
      <w:marLeft w:val="0"/>
      <w:marRight w:val="0"/>
      <w:marTop w:val="0"/>
      <w:marBottom w:val="0"/>
      <w:divBdr>
        <w:top w:val="none" w:sz="0" w:space="0" w:color="auto"/>
        <w:left w:val="none" w:sz="0" w:space="0" w:color="auto"/>
        <w:bottom w:val="none" w:sz="0" w:space="0" w:color="auto"/>
        <w:right w:val="none" w:sz="0" w:space="0" w:color="auto"/>
      </w:divBdr>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0257502">
      <w:bodyDiv w:val="1"/>
      <w:marLeft w:val="0"/>
      <w:marRight w:val="0"/>
      <w:marTop w:val="0"/>
      <w:marBottom w:val="0"/>
      <w:divBdr>
        <w:top w:val="none" w:sz="0" w:space="0" w:color="auto"/>
        <w:left w:val="none" w:sz="0" w:space="0" w:color="auto"/>
        <w:bottom w:val="none" w:sz="0" w:space="0" w:color="auto"/>
        <w:right w:val="none" w:sz="0" w:space="0" w:color="auto"/>
      </w:divBdr>
      <w:divsChild>
        <w:div w:id="6493121">
          <w:marLeft w:val="0"/>
          <w:marRight w:val="0"/>
          <w:marTop w:val="0"/>
          <w:marBottom w:val="0"/>
          <w:divBdr>
            <w:top w:val="none" w:sz="0" w:space="0" w:color="auto"/>
            <w:left w:val="none" w:sz="0" w:space="0" w:color="auto"/>
            <w:bottom w:val="none" w:sz="0" w:space="0" w:color="auto"/>
            <w:right w:val="none" w:sz="0" w:space="0" w:color="auto"/>
          </w:divBdr>
          <w:divsChild>
            <w:div w:id="953905844">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698967355">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28413277">
      <w:bodyDiv w:val="1"/>
      <w:marLeft w:val="0"/>
      <w:marRight w:val="0"/>
      <w:marTop w:val="0"/>
      <w:marBottom w:val="0"/>
      <w:divBdr>
        <w:top w:val="none" w:sz="0" w:space="0" w:color="auto"/>
        <w:left w:val="none" w:sz="0" w:space="0" w:color="auto"/>
        <w:bottom w:val="none" w:sz="0" w:space="0" w:color="auto"/>
        <w:right w:val="none" w:sz="0" w:space="0" w:color="auto"/>
      </w:divBdr>
    </w:div>
    <w:div w:id="1729182073">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51809050">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770613759">
      <w:bodyDiv w:val="1"/>
      <w:marLeft w:val="0"/>
      <w:marRight w:val="0"/>
      <w:marTop w:val="0"/>
      <w:marBottom w:val="0"/>
      <w:divBdr>
        <w:top w:val="none" w:sz="0" w:space="0" w:color="auto"/>
        <w:left w:val="none" w:sz="0" w:space="0" w:color="auto"/>
        <w:bottom w:val="none" w:sz="0" w:space="0" w:color="auto"/>
        <w:right w:val="none" w:sz="0" w:space="0" w:color="auto"/>
      </w:divBdr>
    </w:div>
    <w:div w:id="1782646529">
      <w:bodyDiv w:val="1"/>
      <w:marLeft w:val="0"/>
      <w:marRight w:val="0"/>
      <w:marTop w:val="0"/>
      <w:marBottom w:val="0"/>
      <w:divBdr>
        <w:top w:val="none" w:sz="0" w:space="0" w:color="auto"/>
        <w:left w:val="none" w:sz="0" w:space="0" w:color="auto"/>
        <w:bottom w:val="none" w:sz="0" w:space="0" w:color="auto"/>
        <w:right w:val="none" w:sz="0" w:space="0" w:color="auto"/>
      </w:divBdr>
    </w:div>
    <w:div w:id="1784231285">
      <w:bodyDiv w:val="1"/>
      <w:marLeft w:val="0"/>
      <w:marRight w:val="0"/>
      <w:marTop w:val="0"/>
      <w:marBottom w:val="0"/>
      <w:divBdr>
        <w:top w:val="none" w:sz="0" w:space="0" w:color="auto"/>
        <w:left w:val="none" w:sz="0" w:space="0" w:color="auto"/>
        <w:bottom w:val="none" w:sz="0" w:space="0" w:color="auto"/>
        <w:right w:val="none" w:sz="0" w:space="0" w:color="auto"/>
      </w:divBdr>
    </w:div>
    <w:div w:id="1793092757">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17793970">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55997956">
      <w:bodyDiv w:val="1"/>
      <w:marLeft w:val="0"/>
      <w:marRight w:val="0"/>
      <w:marTop w:val="0"/>
      <w:marBottom w:val="0"/>
      <w:divBdr>
        <w:top w:val="none" w:sz="0" w:space="0" w:color="auto"/>
        <w:left w:val="none" w:sz="0" w:space="0" w:color="auto"/>
        <w:bottom w:val="none" w:sz="0" w:space="0" w:color="auto"/>
        <w:right w:val="none" w:sz="0" w:space="0" w:color="auto"/>
      </w:divBdr>
    </w:div>
    <w:div w:id="1859924450">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4">
          <w:marLeft w:val="0"/>
          <w:marRight w:val="0"/>
          <w:marTop w:val="0"/>
          <w:marBottom w:val="0"/>
          <w:divBdr>
            <w:top w:val="none" w:sz="0" w:space="0" w:color="auto"/>
            <w:left w:val="none" w:sz="0" w:space="0" w:color="auto"/>
            <w:bottom w:val="none" w:sz="0" w:space="0" w:color="auto"/>
            <w:right w:val="none" w:sz="0" w:space="0" w:color="auto"/>
          </w:divBdr>
          <w:divsChild>
            <w:div w:id="735053009">
              <w:marLeft w:val="0"/>
              <w:marRight w:val="0"/>
              <w:marTop w:val="0"/>
              <w:marBottom w:val="0"/>
              <w:divBdr>
                <w:top w:val="none" w:sz="0" w:space="0" w:color="auto"/>
                <w:left w:val="none" w:sz="0" w:space="0" w:color="auto"/>
                <w:bottom w:val="none" w:sz="0" w:space="0" w:color="auto"/>
                <w:right w:val="none" w:sz="0" w:space="0" w:color="auto"/>
              </w:divBdr>
              <w:divsChild>
                <w:div w:id="275601762">
                  <w:marLeft w:val="0"/>
                  <w:marRight w:val="0"/>
                  <w:marTop w:val="0"/>
                  <w:marBottom w:val="0"/>
                  <w:divBdr>
                    <w:top w:val="none" w:sz="0" w:space="0" w:color="auto"/>
                    <w:left w:val="none" w:sz="0" w:space="0" w:color="auto"/>
                    <w:bottom w:val="none" w:sz="0" w:space="0" w:color="auto"/>
                    <w:right w:val="none" w:sz="0" w:space="0" w:color="auto"/>
                  </w:divBdr>
                  <w:divsChild>
                    <w:div w:id="9156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0534737">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2053173">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5018390">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44533718">
      <w:bodyDiv w:val="1"/>
      <w:marLeft w:val="0"/>
      <w:marRight w:val="0"/>
      <w:marTop w:val="0"/>
      <w:marBottom w:val="0"/>
      <w:divBdr>
        <w:top w:val="none" w:sz="0" w:space="0" w:color="auto"/>
        <w:left w:val="none" w:sz="0" w:space="0" w:color="auto"/>
        <w:bottom w:val="none" w:sz="0" w:space="0" w:color="auto"/>
        <w:right w:val="none" w:sz="0" w:space="0" w:color="auto"/>
      </w:divBdr>
    </w:div>
    <w:div w:id="1951280629">
      <w:bodyDiv w:val="1"/>
      <w:marLeft w:val="0"/>
      <w:marRight w:val="0"/>
      <w:marTop w:val="0"/>
      <w:marBottom w:val="0"/>
      <w:divBdr>
        <w:top w:val="none" w:sz="0" w:space="0" w:color="auto"/>
        <w:left w:val="none" w:sz="0" w:space="0" w:color="auto"/>
        <w:bottom w:val="none" w:sz="0" w:space="0" w:color="auto"/>
        <w:right w:val="none" w:sz="0" w:space="0" w:color="auto"/>
      </w:divBdr>
    </w:div>
    <w:div w:id="1955670612">
      <w:bodyDiv w:val="1"/>
      <w:marLeft w:val="0"/>
      <w:marRight w:val="0"/>
      <w:marTop w:val="0"/>
      <w:marBottom w:val="0"/>
      <w:divBdr>
        <w:top w:val="none" w:sz="0" w:space="0" w:color="auto"/>
        <w:left w:val="none" w:sz="0" w:space="0" w:color="auto"/>
        <w:bottom w:val="none" w:sz="0" w:space="0" w:color="auto"/>
        <w:right w:val="none" w:sz="0" w:space="0" w:color="auto"/>
      </w:divBdr>
    </w:div>
    <w:div w:id="1958414200">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431219">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26637017">
      <w:bodyDiv w:val="1"/>
      <w:marLeft w:val="0"/>
      <w:marRight w:val="0"/>
      <w:marTop w:val="0"/>
      <w:marBottom w:val="0"/>
      <w:divBdr>
        <w:top w:val="none" w:sz="0" w:space="0" w:color="auto"/>
        <w:left w:val="none" w:sz="0" w:space="0" w:color="auto"/>
        <w:bottom w:val="none" w:sz="0" w:space="0" w:color="auto"/>
        <w:right w:val="none" w:sz="0" w:space="0" w:color="auto"/>
      </w:divBdr>
    </w:div>
    <w:div w:id="2028865552">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48597538">
      <w:bodyDiv w:val="1"/>
      <w:marLeft w:val="0"/>
      <w:marRight w:val="0"/>
      <w:marTop w:val="0"/>
      <w:marBottom w:val="0"/>
      <w:divBdr>
        <w:top w:val="none" w:sz="0" w:space="0" w:color="auto"/>
        <w:left w:val="none" w:sz="0" w:space="0" w:color="auto"/>
        <w:bottom w:val="none" w:sz="0" w:space="0" w:color="auto"/>
        <w:right w:val="none" w:sz="0" w:space="0" w:color="auto"/>
      </w:divBdr>
    </w:div>
    <w:div w:id="2051832890">
      <w:bodyDiv w:val="1"/>
      <w:marLeft w:val="0"/>
      <w:marRight w:val="0"/>
      <w:marTop w:val="0"/>
      <w:marBottom w:val="0"/>
      <w:divBdr>
        <w:top w:val="none" w:sz="0" w:space="0" w:color="auto"/>
        <w:left w:val="none" w:sz="0" w:space="0" w:color="auto"/>
        <w:bottom w:val="none" w:sz="0" w:space="0" w:color="auto"/>
        <w:right w:val="none" w:sz="0" w:space="0" w:color="auto"/>
      </w:divBdr>
    </w:div>
    <w:div w:id="2066752424">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83789670">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1363302">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 w:id="21458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ia.europa.eu/juris/document/document.jsf?text=%2522consumidores%2522&amp;docid=289804&amp;pageIndex=0&amp;doclang=ES&amp;mode=req&amp;dir=&amp;occ=first&amp;part=1&amp;cid=2785112" TargetMode="External"/><Relationship Id="rId18" Type="http://schemas.openxmlformats.org/officeDocument/2006/relationships/hyperlink" Target="https://www.poderjudicial.es/search/AN/openDocument/9d66642f995b7357a0a8778d75e36f0d/20240927" TargetMode="External"/><Relationship Id="rId26" Type="http://schemas.openxmlformats.org/officeDocument/2006/relationships/hyperlink" Target="https://www.poderjudicial.es/search/AN/openDocument/33ba5552517cca7aa0a8778d75e36f0d/20241004" TargetMode="External"/><Relationship Id="rId39" Type="http://schemas.openxmlformats.org/officeDocument/2006/relationships/hyperlink" Target="https://www.poderjudicial.es/search/AN/openDocument/4706ad642beb0d6fa0a8778d75e36f0d/20240730" TargetMode="External"/><Relationship Id="rId21" Type="http://schemas.openxmlformats.org/officeDocument/2006/relationships/hyperlink" Target="https://www.poderjudicial.es/search/AN/openDocument/23897f2bd419a4b7a0a8778d75e36f0d/20241004" TargetMode="External"/><Relationship Id="rId34" Type="http://schemas.openxmlformats.org/officeDocument/2006/relationships/hyperlink" Target="https://www.poderjudicial.es/search/AN/openDocument/cb1c7e63cb413065a0a8778d75e36f0d/20240801" TargetMode="External"/><Relationship Id="rId42" Type="http://schemas.openxmlformats.org/officeDocument/2006/relationships/hyperlink" Target="https://www.poderjudicial.es/search/AN/openDocument/5654c97f1b4c09e4a0a8778d75e36f0d/20241004" TargetMode="External"/><Relationship Id="rId47" Type="http://schemas.openxmlformats.org/officeDocument/2006/relationships/hyperlink" Target="https://www.poderjudicial.es/search/AN/openDocument/f3118cdbeedef5f3a0a8778d75e36f0d/20241010" TargetMode="External"/><Relationship Id="rId50" Type="http://schemas.openxmlformats.org/officeDocument/2006/relationships/hyperlink" Target="https://www.poderjudicial.es/search/AN/openDocument/082c66b28067410ba0a8778d75e36f0d/202410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j.tribunalconstitucional.es/es/Resolucion/Show/31229" TargetMode="External"/><Relationship Id="rId29" Type="http://schemas.openxmlformats.org/officeDocument/2006/relationships/hyperlink" Target="https://www.poderjudicial.es/search/AN/openDocument/475221768ba97149a0a8778d75e36f0d/20240730" TargetMode="External"/><Relationship Id="rId11" Type="http://schemas.openxmlformats.org/officeDocument/2006/relationships/hyperlink" Target="https://curia.europa.eu/juris/document/document.jsf?text=%2522consumidores%2522&amp;docid=288841&amp;pageIndex=0&amp;doclang=ES&amp;mode=req&amp;dir=&amp;occ=first&amp;part=1&amp;cid=2785112" TargetMode="External"/><Relationship Id="rId24" Type="http://schemas.openxmlformats.org/officeDocument/2006/relationships/hyperlink" Target="https://www.poderjudicial.es/search/AN/openDocument/a2e0265a65dc9d6ea0a8778d75e36f0d/20241004" TargetMode="External"/><Relationship Id="rId32" Type="http://schemas.openxmlformats.org/officeDocument/2006/relationships/hyperlink" Target="https://www.poderjudicial.es/search/AN/openDocument/f5719118bda5667ea0a8778d75e36f0d/20240730" TargetMode="External"/><Relationship Id="rId37" Type="http://schemas.openxmlformats.org/officeDocument/2006/relationships/hyperlink" Target="https://www.poderjudicial.es/search/AN/openDocument/5991008b0de63397a0a8778d75e36f0d/20240729" TargetMode="External"/><Relationship Id="rId40" Type="http://schemas.openxmlformats.org/officeDocument/2006/relationships/hyperlink" Target="https://www.poderjudicial.es/search/AN/openDocument/e96e271ce8883fa4a0a8778d75e36f0d/20240926" TargetMode="External"/><Relationship Id="rId45" Type="http://schemas.openxmlformats.org/officeDocument/2006/relationships/hyperlink" Target="https://www.poderjudicial.es/search/AN/openDocument/6fb27dbe4a01827da0a8778d75e36f0d/20240729"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curia.europa.eu/juris/document/document.jsf?text=%2522consumidores%2522&amp;docid=288148&amp;pageIndex=0&amp;doclang=es&amp;mode=req&amp;dir=&amp;occ=first&amp;part=1&amp;cid=2785112" TargetMode="External"/><Relationship Id="rId19" Type="http://schemas.openxmlformats.org/officeDocument/2006/relationships/hyperlink" Target="https://www.poderjudicial.es/search/AN/openDocument/be5d3beb6fa88bf6a0a8778d75e36f0d/20240729" TargetMode="External"/><Relationship Id="rId31" Type="http://schemas.openxmlformats.org/officeDocument/2006/relationships/hyperlink" Target="https://www.poderjudicial.es/search/AN/openDocument/25e8c1f1335d01c6a0a8778d75e36f0d/20240801" TargetMode="External"/><Relationship Id="rId44" Type="http://schemas.openxmlformats.org/officeDocument/2006/relationships/hyperlink" Target="https://www.poderjudicial.es/search/AN/openDocument/bd3d785a4b510abea0a8778d75e36f0d/20241011"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uria.europa.eu/juris/document/document.jsf?text=%2522consumidores%2522&amp;docid=287884&amp;pageIndex=0&amp;doclang=es&amp;mode=req&amp;dir=&amp;occ=first&amp;part=1&amp;cid=2785112" TargetMode="External"/><Relationship Id="rId14" Type="http://schemas.openxmlformats.org/officeDocument/2006/relationships/hyperlink" Target="https://curia.europa.eu/juris/document/document.jsf?text=%2522consumidores%2522&amp;docid=290415&amp;pageIndex=0&amp;doclang=es&amp;mode=req&amp;dir=&amp;occ=first&amp;part=1&amp;cid=2785112" TargetMode="External"/><Relationship Id="rId22" Type="http://schemas.openxmlformats.org/officeDocument/2006/relationships/hyperlink" Target="https://www.poderjudicial.es/search/AN/openDocument/4dd91b4750ac53eaa0a8778d75e36f0d/20240926" TargetMode="External"/><Relationship Id="rId27" Type="http://schemas.openxmlformats.org/officeDocument/2006/relationships/hyperlink" Target="https://www.poderjudicial.es/search/AN/openDocument/48f91f731a14711da0a8778d75e36f0d/20241004" TargetMode="External"/><Relationship Id="rId30" Type="http://schemas.openxmlformats.org/officeDocument/2006/relationships/hyperlink" Target="https://www.poderjudicial.es/search/AN/openDocument/716fa48aac552fc1a0a8778d75e36f0d/20241011" TargetMode="External"/><Relationship Id="rId35" Type="http://schemas.openxmlformats.org/officeDocument/2006/relationships/hyperlink" Target="https://www.poderjudicial.es/search/AN/openDocument/57a9f318b4dbcc7ea0a8778d75e36f0d/20240926" TargetMode="External"/><Relationship Id="rId43" Type="http://schemas.openxmlformats.org/officeDocument/2006/relationships/hyperlink" Target="https://www.poderjudicial.es/search/AN/openDocument/1048925310663323a0a8778d75e36f0d/20241011" TargetMode="External"/><Relationship Id="rId48" Type="http://schemas.openxmlformats.org/officeDocument/2006/relationships/hyperlink" Target="https://www.poderjudicial.es/search/AN/openDocument/2c3c75760fd7c6c9a0a8778d75e36f0d/20240923"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uria.europa.eu/juris/document/document.jsf?text=%2522consumidores%2522&amp;docid=288840&amp;pageIndex=0&amp;doclang=ES&amp;mode=req&amp;dir=&amp;occ=first&amp;part=1&amp;cid=2785112" TargetMode="External"/><Relationship Id="rId17" Type="http://schemas.openxmlformats.org/officeDocument/2006/relationships/hyperlink" Target="https://www.poderjudicial.es/search/AN/openDocument/f712007728513a57a0a8778d75e36f0d/20240801" TargetMode="External"/><Relationship Id="rId25" Type="http://schemas.openxmlformats.org/officeDocument/2006/relationships/hyperlink" Target="https://www.poderjudicial.es/search/AN/openDocument/fdc0042366f2ebb2a0a8778d75e36f0d/20241004" TargetMode="External"/><Relationship Id="rId33" Type="http://schemas.openxmlformats.org/officeDocument/2006/relationships/hyperlink" Target="https://www.poderjudicial.es/search/AN/openDocument/4062b6af31722c04a0a8778d75e36f0d/20240730" TargetMode="External"/><Relationship Id="rId38" Type="http://schemas.openxmlformats.org/officeDocument/2006/relationships/hyperlink" Target="https://www.poderjudicial.es/search/AN/openDocument/6da0551f1e240dc8a0a8778d75e36f0d/20240729" TargetMode="External"/><Relationship Id="rId46" Type="http://schemas.openxmlformats.org/officeDocument/2006/relationships/hyperlink" Target="https://www.poderjudicial.es/search/AN/openDocument/0046aa97248cf284a0a8778d75e36f0d/20240923" TargetMode="External"/><Relationship Id="rId20" Type="http://schemas.openxmlformats.org/officeDocument/2006/relationships/hyperlink" Target="https://www.poderjudicial.es/search/AN/openDocument/dbd4c60ca07229cea0a8778d75e36f0d/20240923" TargetMode="External"/><Relationship Id="rId41" Type="http://schemas.openxmlformats.org/officeDocument/2006/relationships/hyperlink" Target="https://www.poderjudicial.es/search/AN/openDocument/43542cde511a9fc3a0a8778d75e36f0d/2024100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derjudicial.es/search/AN/openDocument/c49c10161804c317a0a8778d75e36f0d/20240229" TargetMode="External"/><Relationship Id="rId23" Type="http://schemas.openxmlformats.org/officeDocument/2006/relationships/hyperlink" Target="https://www.poderjudicial.es/search/AN/openDocument/279b2a83aacad93ca0a8778d75e36f0d/20241004" TargetMode="External"/><Relationship Id="rId28" Type="http://schemas.openxmlformats.org/officeDocument/2006/relationships/hyperlink" Target="https://www.poderjudicial.es/search/AN/openDocument/94f0b416e1b352b4a0a8778d75e36f0d/20240729" TargetMode="External"/><Relationship Id="rId36" Type="http://schemas.openxmlformats.org/officeDocument/2006/relationships/hyperlink" Target="https://www.poderjudicial.es/search/AN/openDocument/070a6a5778801ceca0a8778d75e36f0d/20240729" TargetMode="External"/><Relationship Id="rId49" Type="http://schemas.openxmlformats.org/officeDocument/2006/relationships/hyperlink" Target="https://www.poderjudicial.es/search/AN/openDocument/199bcc725aef5c59a0a8778d75e36f0d/2024101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Pages>
  <Words>2883</Words>
  <Characters>15859</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JOSE FELIX MERINO ESCARTIN</cp:lastModifiedBy>
  <cp:revision>6</cp:revision>
  <cp:lastPrinted>2021-04-08T11:14:00Z</cp:lastPrinted>
  <dcterms:created xsi:type="dcterms:W3CDTF">2024-10-14T17:30:00Z</dcterms:created>
  <dcterms:modified xsi:type="dcterms:W3CDTF">2025-03-15T20:50:00Z</dcterms:modified>
</cp:coreProperties>
</file>