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5E329" w14:textId="77777777" w:rsidR="00656A1A" w:rsidRDefault="00DA30E6" w:rsidP="00656A1A">
      <w:pPr>
        <w:spacing w:beforeLines="100" w:before="240" w:afterLines="100" w:after="240"/>
        <w:jc w:val="center"/>
        <w:rPr>
          <w:noProof/>
          <w:lang w:eastAsia="es-ES"/>
        </w:rPr>
      </w:pPr>
      <w:r>
        <w:rPr>
          <w:noProof/>
          <w:lang w:eastAsia="es-ES"/>
        </w:rPr>
        <w:drawing>
          <wp:anchor distT="0" distB="0" distL="114300" distR="114300" simplePos="0" relativeHeight="251666432" behindDoc="1" locked="0" layoutInCell="1" allowOverlap="1" wp14:anchorId="471A90E6" wp14:editId="6135A164">
            <wp:simplePos x="0" y="0"/>
            <wp:positionH relativeFrom="column">
              <wp:posOffset>-1080135</wp:posOffset>
            </wp:positionH>
            <wp:positionV relativeFrom="paragraph">
              <wp:posOffset>-899795</wp:posOffset>
            </wp:positionV>
            <wp:extent cx="7560860" cy="10708052"/>
            <wp:effectExtent l="0" t="0" r="2540" b="0"/>
            <wp:wrapNone/>
            <wp:docPr id="2" name="Imagen 2" descr="C:\Users\Jesus\Downloads\Red and Grayscale Corporate Company Annual Re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Red and Grayscale Corporate Company Annual Report (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7988" cy="107181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86F4B" w14:textId="77777777" w:rsidR="00D37249" w:rsidRDefault="00D37249" w:rsidP="00656A1A">
      <w:pPr>
        <w:spacing w:beforeLines="100" w:before="240" w:afterLines="100" w:after="240"/>
        <w:jc w:val="center"/>
        <w:rPr>
          <w:noProof/>
          <w:lang w:eastAsia="es-ES"/>
        </w:rPr>
      </w:pPr>
    </w:p>
    <w:p w14:paraId="5E524A17" w14:textId="77777777" w:rsidR="00D37249" w:rsidRDefault="00D37249" w:rsidP="00656A1A">
      <w:pPr>
        <w:spacing w:beforeLines="100" w:before="240" w:afterLines="100" w:after="240"/>
        <w:jc w:val="center"/>
        <w:rPr>
          <w:noProof/>
          <w:lang w:eastAsia="es-ES"/>
        </w:rPr>
      </w:pPr>
    </w:p>
    <w:p w14:paraId="15F136E4" w14:textId="77777777" w:rsidR="00D37249" w:rsidRDefault="00D37249" w:rsidP="00656A1A">
      <w:pPr>
        <w:spacing w:beforeLines="100" w:before="240" w:afterLines="100" w:after="240"/>
        <w:jc w:val="center"/>
        <w:rPr>
          <w:noProof/>
          <w:lang w:eastAsia="es-ES"/>
        </w:rPr>
      </w:pPr>
    </w:p>
    <w:p w14:paraId="61D376D5" w14:textId="77777777" w:rsidR="00D37249" w:rsidRDefault="00D37249" w:rsidP="00656A1A">
      <w:pPr>
        <w:spacing w:beforeLines="100" w:before="240" w:afterLines="100" w:after="240"/>
        <w:jc w:val="center"/>
        <w:rPr>
          <w:noProof/>
          <w:lang w:eastAsia="es-ES"/>
        </w:rPr>
      </w:pPr>
    </w:p>
    <w:p w14:paraId="0882B774" w14:textId="77777777" w:rsidR="00D37249" w:rsidRDefault="00D37249" w:rsidP="00656A1A">
      <w:pPr>
        <w:spacing w:beforeLines="100" w:before="240" w:afterLines="100" w:after="240"/>
        <w:jc w:val="center"/>
        <w:rPr>
          <w:noProof/>
          <w:lang w:eastAsia="es-ES"/>
        </w:rPr>
      </w:pPr>
    </w:p>
    <w:p w14:paraId="19C48A1A" w14:textId="77777777" w:rsidR="00D37249" w:rsidRDefault="00D37249" w:rsidP="00656A1A">
      <w:pPr>
        <w:spacing w:beforeLines="100" w:before="240" w:afterLines="100" w:after="240"/>
        <w:jc w:val="center"/>
        <w:rPr>
          <w:noProof/>
          <w:lang w:eastAsia="es-ES"/>
        </w:rPr>
      </w:pPr>
    </w:p>
    <w:p w14:paraId="23F2BA53" w14:textId="77777777" w:rsidR="00D37249" w:rsidRDefault="00D37249" w:rsidP="00656A1A">
      <w:pPr>
        <w:spacing w:beforeLines="100" w:before="240" w:afterLines="100" w:after="240"/>
        <w:jc w:val="center"/>
        <w:rPr>
          <w:noProof/>
          <w:lang w:eastAsia="es-ES"/>
        </w:rPr>
      </w:pPr>
    </w:p>
    <w:p w14:paraId="31E2C271" w14:textId="77777777" w:rsidR="00D37249" w:rsidRDefault="00D37249"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59264" behindDoc="0" locked="0" layoutInCell="1" allowOverlap="1" wp14:anchorId="617D715D" wp14:editId="2472D62D">
                <wp:simplePos x="0" y="0"/>
                <wp:positionH relativeFrom="column">
                  <wp:posOffset>-697998</wp:posOffset>
                </wp:positionH>
                <wp:positionV relativeFrom="paragraph">
                  <wp:posOffset>76427</wp:posOffset>
                </wp:positionV>
                <wp:extent cx="6236970" cy="5117911"/>
                <wp:effectExtent l="0" t="0" r="0" b="6985"/>
                <wp:wrapNone/>
                <wp:docPr id="4" name="4 Cuadro de texto"/>
                <wp:cNvGraphicFramePr/>
                <a:graphic xmlns:a="http://schemas.openxmlformats.org/drawingml/2006/main">
                  <a:graphicData uri="http://schemas.microsoft.com/office/word/2010/wordprocessingShape">
                    <wps:wsp>
                      <wps:cNvSpPr txBox="1"/>
                      <wps:spPr>
                        <a:xfrm>
                          <a:off x="0" y="0"/>
                          <a:ext cx="6236970" cy="5117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6CF4" w14:textId="766E7C06" w:rsidR="00827C04" w:rsidRDefault="00300DEB">
                            <w:pPr>
                              <w:rPr>
                                <w:rFonts w:ascii="Segoe UI" w:hAnsi="Segoe UI" w:cs="Segoe UI"/>
                                <w:b/>
                                <w:color w:val="FFFFFF" w:themeColor="background1"/>
                                <w:sz w:val="36"/>
                                <w:szCs w:val="36"/>
                              </w:rPr>
                            </w:pPr>
                            <w:r>
                              <w:rPr>
                                <w:rFonts w:ascii="Segoe UI" w:hAnsi="Segoe UI" w:cs="Segoe UI"/>
                                <w:b/>
                                <w:color w:val="FFFFFF" w:themeColor="background1"/>
                                <w:sz w:val="36"/>
                                <w:szCs w:val="36"/>
                              </w:rPr>
                              <w:t>Octubre</w:t>
                            </w:r>
                            <w:r w:rsidR="00A64D45">
                              <w:rPr>
                                <w:rFonts w:ascii="Segoe UI" w:hAnsi="Segoe UI" w:cs="Segoe UI"/>
                                <w:b/>
                                <w:color w:val="FFFFFF" w:themeColor="background1"/>
                                <w:sz w:val="36"/>
                                <w:szCs w:val="36"/>
                              </w:rPr>
                              <w:t>-</w:t>
                            </w:r>
                            <w:r>
                              <w:rPr>
                                <w:rFonts w:ascii="Segoe UI" w:hAnsi="Segoe UI" w:cs="Segoe UI"/>
                                <w:b/>
                                <w:color w:val="FFFFFF" w:themeColor="background1"/>
                                <w:sz w:val="36"/>
                                <w:szCs w:val="36"/>
                              </w:rPr>
                              <w:t>Diciembre</w:t>
                            </w:r>
                            <w:r w:rsidR="0068726D">
                              <w:rPr>
                                <w:rFonts w:ascii="Segoe UI" w:hAnsi="Segoe UI" w:cs="Segoe UI"/>
                                <w:b/>
                                <w:color w:val="FFFFFF" w:themeColor="background1"/>
                                <w:sz w:val="36"/>
                                <w:szCs w:val="36"/>
                              </w:rPr>
                              <w:t xml:space="preserve"> 2024</w:t>
                            </w:r>
                          </w:p>
                          <w:p w14:paraId="2EB7BD8F" w14:textId="77777777" w:rsidR="00827C04" w:rsidRPr="00D37249" w:rsidRDefault="00827C04">
                            <w:pPr>
                              <w:rPr>
                                <w:rFonts w:ascii="Segoe UI" w:hAnsi="Segoe UI" w:cs="Segoe UI"/>
                                <w:b/>
                                <w:color w:val="FFFFFF" w:themeColor="background1"/>
                                <w:sz w:val="36"/>
                                <w:szCs w:val="36"/>
                              </w:rPr>
                            </w:pPr>
                          </w:p>
                          <w:p w14:paraId="59EFE686" w14:textId="77777777" w:rsidR="00827C04" w:rsidRPr="00D37249" w:rsidRDefault="00827C04" w:rsidP="005F1DFB">
                            <w:pPr>
                              <w:spacing w:after="0" w:line="240" w:lineRule="auto"/>
                              <w:rPr>
                                <w:rFonts w:ascii="Segoe UI" w:hAnsi="Segoe UI" w:cs="Segoe UI"/>
                                <w:b/>
                                <w:color w:val="FFFFFF" w:themeColor="background1"/>
                                <w:sz w:val="96"/>
                                <w:szCs w:val="96"/>
                              </w:rPr>
                            </w:pPr>
                            <w:r w:rsidRPr="00D37249">
                              <w:rPr>
                                <w:rFonts w:ascii="Segoe UI" w:hAnsi="Segoe UI" w:cs="Segoe UI"/>
                                <w:b/>
                                <w:color w:val="FFFFFF" w:themeColor="background1"/>
                                <w:sz w:val="96"/>
                                <w:szCs w:val="96"/>
                              </w:rPr>
                              <w:t>INFORME</w:t>
                            </w:r>
                          </w:p>
                          <w:p w14:paraId="636B78C5" w14:textId="77777777" w:rsidR="00827C04" w:rsidRPr="005F1DFB" w:rsidRDefault="00827C04" w:rsidP="005F1DFB">
                            <w:pPr>
                              <w:spacing w:after="0" w:line="240" w:lineRule="auto"/>
                              <w:rPr>
                                <w:rFonts w:ascii="Segoe UI" w:hAnsi="Segoe UI" w:cs="Segoe UI"/>
                                <w:b/>
                                <w:sz w:val="36"/>
                                <w:szCs w:val="36"/>
                              </w:rPr>
                            </w:pPr>
                            <w:r>
                              <w:rPr>
                                <w:rFonts w:ascii="Segoe UI" w:hAnsi="Segoe UI" w:cs="Segoe UI"/>
                                <w:b/>
                                <w:sz w:val="36"/>
                                <w:szCs w:val="36"/>
                              </w:rPr>
                              <w:t>DERECHO Y CONSUMO (BIBLIOGRAFÍ</w:t>
                            </w:r>
                            <w:r w:rsidRPr="005F1DFB">
                              <w:rPr>
                                <w:rFonts w:ascii="Segoe UI" w:hAnsi="Segoe UI" w:cs="Segoe UI"/>
                                <w:b/>
                                <w:sz w:val="36"/>
                                <w:szCs w:val="36"/>
                              </w:rPr>
                              <w:t>A)</w:t>
                            </w:r>
                          </w:p>
                          <w:p w14:paraId="2D051275" w14:textId="77777777" w:rsidR="00827C04" w:rsidRDefault="00827C04" w:rsidP="005F1DFB">
                            <w:pPr>
                              <w:spacing w:after="0" w:line="240" w:lineRule="auto"/>
                              <w:rPr>
                                <w:rFonts w:ascii="Segoe UI" w:hAnsi="Segoe UI" w:cs="Segoe UI"/>
                                <w:b/>
                                <w:color w:val="FFFFFF" w:themeColor="background1"/>
                                <w:sz w:val="36"/>
                                <w:szCs w:val="36"/>
                              </w:rPr>
                            </w:pPr>
                          </w:p>
                          <w:p w14:paraId="36A1D3C4" w14:textId="77777777" w:rsidR="00827C04" w:rsidRDefault="00827C04" w:rsidP="005F1DFB">
                            <w:pPr>
                              <w:spacing w:after="0" w:line="240" w:lineRule="auto"/>
                              <w:rPr>
                                <w:rFonts w:ascii="Segoe UI" w:hAnsi="Segoe UI" w:cs="Segoe UI"/>
                                <w:b/>
                                <w:color w:val="FFFFFF" w:themeColor="background1"/>
                                <w:sz w:val="36"/>
                                <w:szCs w:val="36"/>
                              </w:rPr>
                            </w:pPr>
                          </w:p>
                          <w:p w14:paraId="7945E80E" w14:textId="77777777" w:rsidR="00827C04" w:rsidRDefault="00827C04" w:rsidP="005F1DFB">
                            <w:pPr>
                              <w:spacing w:after="0" w:line="240" w:lineRule="auto"/>
                              <w:rPr>
                                <w:rFonts w:ascii="Segoe UI" w:hAnsi="Segoe UI" w:cs="Segoe UI"/>
                                <w:b/>
                                <w:color w:val="FFFFFF" w:themeColor="background1"/>
                              </w:rPr>
                            </w:pPr>
                          </w:p>
                          <w:p w14:paraId="09E469D5" w14:textId="77777777" w:rsidR="00827C04" w:rsidRDefault="00827C04" w:rsidP="005F1DFB">
                            <w:pPr>
                              <w:spacing w:after="0" w:line="240" w:lineRule="auto"/>
                              <w:rPr>
                                <w:rFonts w:ascii="Segoe UI" w:hAnsi="Segoe UI" w:cs="Segoe UI"/>
                                <w:b/>
                                <w:color w:val="FFFFFF" w:themeColor="background1"/>
                              </w:rPr>
                            </w:pPr>
                          </w:p>
                          <w:p w14:paraId="1ABCD6E4" w14:textId="77777777" w:rsidR="00827C04" w:rsidRDefault="00827C04" w:rsidP="005F1DFB">
                            <w:pPr>
                              <w:spacing w:after="0" w:line="240" w:lineRule="auto"/>
                              <w:rPr>
                                <w:rFonts w:ascii="Segoe UI" w:hAnsi="Segoe UI" w:cs="Segoe UI"/>
                                <w:b/>
                                <w:color w:val="FFFFFF" w:themeColor="background1"/>
                              </w:rPr>
                            </w:pPr>
                          </w:p>
                          <w:p w14:paraId="598C9961" w14:textId="77777777" w:rsidR="00827C04" w:rsidRDefault="00827C04" w:rsidP="005F1DFB">
                            <w:pPr>
                              <w:spacing w:after="0" w:line="240" w:lineRule="auto"/>
                              <w:rPr>
                                <w:rFonts w:ascii="Segoe UI" w:hAnsi="Segoe UI" w:cs="Segoe UI"/>
                                <w:b/>
                                <w:color w:val="FFFFFF" w:themeColor="background1"/>
                              </w:rPr>
                            </w:pPr>
                          </w:p>
                          <w:p w14:paraId="01E5130E" w14:textId="77777777" w:rsidR="00827C04" w:rsidRDefault="00827C04" w:rsidP="005F1DFB">
                            <w:pPr>
                              <w:spacing w:after="0" w:line="240" w:lineRule="auto"/>
                              <w:rPr>
                                <w:rFonts w:ascii="Segoe UI" w:hAnsi="Segoe UI" w:cs="Segoe UI"/>
                                <w:b/>
                                <w:color w:val="FFFFFF" w:themeColor="background1"/>
                              </w:rPr>
                            </w:pPr>
                          </w:p>
                          <w:p w14:paraId="4C18BA61" w14:textId="77777777" w:rsidR="00827C04" w:rsidRDefault="00827C04" w:rsidP="005F1DFB">
                            <w:pPr>
                              <w:spacing w:after="0" w:line="240" w:lineRule="auto"/>
                              <w:rPr>
                                <w:rFonts w:ascii="Segoe UI" w:hAnsi="Segoe UI" w:cs="Segoe UI"/>
                                <w:b/>
                                <w:color w:val="FFFFFF" w:themeColor="background1"/>
                              </w:rPr>
                            </w:pPr>
                          </w:p>
                          <w:p w14:paraId="6BB30137" w14:textId="77777777" w:rsidR="00827C04" w:rsidRDefault="00827C04" w:rsidP="005F1DFB">
                            <w:pPr>
                              <w:spacing w:after="0" w:line="240" w:lineRule="auto"/>
                              <w:rPr>
                                <w:rFonts w:ascii="Segoe UI" w:hAnsi="Segoe UI" w:cs="Segoe UI"/>
                                <w:b/>
                                <w:color w:val="FFFFFF" w:themeColor="background1"/>
                              </w:rPr>
                            </w:pPr>
                          </w:p>
                          <w:p w14:paraId="4D4293FD" w14:textId="77777777" w:rsidR="00827C04" w:rsidRDefault="00827C04" w:rsidP="005F1DFB">
                            <w:pPr>
                              <w:spacing w:after="0" w:line="240" w:lineRule="auto"/>
                              <w:rPr>
                                <w:rFonts w:ascii="Segoe UI" w:hAnsi="Segoe UI" w:cs="Segoe UI"/>
                                <w:b/>
                                <w:color w:val="FFFFFF" w:themeColor="background1"/>
                              </w:rPr>
                            </w:pPr>
                          </w:p>
                          <w:p w14:paraId="0E34383D" w14:textId="77777777" w:rsidR="00827C04" w:rsidRDefault="00827C04" w:rsidP="005F1DFB">
                            <w:pPr>
                              <w:spacing w:after="0" w:line="240" w:lineRule="auto"/>
                              <w:rPr>
                                <w:rFonts w:ascii="Segoe UI" w:hAnsi="Segoe UI" w:cs="Segoe UI"/>
                                <w:b/>
                              </w:rPr>
                            </w:pPr>
                          </w:p>
                          <w:p w14:paraId="045E4226" w14:textId="77777777"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Víctor Bastante Granell</w:t>
                            </w:r>
                            <w:r>
                              <w:rPr>
                                <w:rFonts w:ascii="Segoe UI" w:hAnsi="Segoe UI" w:cs="Segoe UI"/>
                                <w:sz w:val="20"/>
                                <w:szCs w:val="20"/>
                              </w:rPr>
                              <w:t xml:space="preserve">. </w:t>
                            </w:r>
                          </w:p>
                          <w:p w14:paraId="2F1C51F2" w14:textId="1051A3DC" w:rsidR="00827C04" w:rsidRPr="00EE05FD" w:rsidRDefault="00F475F0" w:rsidP="005F1DFB">
                            <w:pPr>
                              <w:spacing w:after="0" w:line="240" w:lineRule="auto"/>
                              <w:rPr>
                                <w:rFonts w:ascii="Segoe UI" w:hAnsi="Segoe UI" w:cs="Segoe UI"/>
                                <w:sz w:val="20"/>
                                <w:szCs w:val="20"/>
                              </w:rPr>
                            </w:pPr>
                            <w:r>
                              <w:rPr>
                                <w:rFonts w:ascii="Segoe UI" w:hAnsi="Segoe UI" w:cs="Segoe UI"/>
                                <w:sz w:val="20"/>
                                <w:szCs w:val="20"/>
                              </w:rPr>
                              <w:t>Profesor</w:t>
                            </w:r>
                            <w:r w:rsidR="0068726D">
                              <w:rPr>
                                <w:rFonts w:ascii="Segoe UI" w:hAnsi="Segoe UI" w:cs="Segoe UI"/>
                                <w:sz w:val="20"/>
                                <w:szCs w:val="20"/>
                              </w:rPr>
                              <w:t xml:space="preserve"> Titular de Universidad</w:t>
                            </w:r>
                            <w:r w:rsidR="00827C04" w:rsidRPr="00EE05FD">
                              <w:rPr>
                                <w:rFonts w:ascii="Segoe UI" w:hAnsi="Segoe UI" w:cs="Segoe UI"/>
                                <w:sz w:val="20"/>
                                <w:szCs w:val="20"/>
                              </w:rPr>
                              <w:t xml:space="preserve">. </w:t>
                            </w:r>
                          </w:p>
                          <w:p w14:paraId="6C8075D8" w14:textId="77777777" w:rsidR="00827C04" w:rsidRDefault="00827C04" w:rsidP="005F1DFB">
                            <w:pPr>
                              <w:spacing w:after="0" w:line="240" w:lineRule="auto"/>
                              <w:rPr>
                                <w:rFonts w:ascii="Segoe UI" w:hAnsi="Segoe UI" w:cs="Segoe UI"/>
                                <w:sz w:val="20"/>
                                <w:szCs w:val="20"/>
                              </w:rPr>
                            </w:pPr>
                            <w:r w:rsidRPr="00EE05FD">
                              <w:rPr>
                                <w:rFonts w:ascii="Segoe UI" w:hAnsi="Segoe UI" w:cs="Segoe UI"/>
                                <w:sz w:val="20"/>
                                <w:szCs w:val="20"/>
                              </w:rPr>
                              <w:t>Universidad de Almería.</w:t>
                            </w:r>
                          </w:p>
                          <w:p w14:paraId="1735E3DF" w14:textId="77777777" w:rsidR="00827C04" w:rsidRPr="003F49BB" w:rsidRDefault="00827C04" w:rsidP="005F1DFB">
                            <w:pPr>
                              <w:spacing w:after="0" w:line="240" w:lineRule="auto"/>
                              <w:rPr>
                                <w:rFonts w:ascii="Segoe UI" w:hAnsi="Segoe UI" w:cs="Segoe UI"/>
                                <w:i/>
                                <w:sz w:val="20"/>
                                <w:szCs w:val="20"/>
                              </w:rPr>
                            </w:pPr>
                            <w:r w:rsidRPr="003F49BB">
                              <w:rPr>
                                <w:rFonts w:ascii="Segoe UI" w:hAnsi="Segoe UI" w:cs="Segoe UI"/>
                                <w:i/>
                                <w:sz w:val="20"/>
                                <w:szCs w:val="20"/>
                              </w:rPr>
                              <w:t>vbg415@ual.es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D715D" id="_x0000_t202" coordsize="21600,21600" o:spt="202" path="m,l,21600r21600,l21600,xe">
                <v:stroke joinstyle="miter"/>
                <v:path gradientshapeok="t" o:connecttype="rect"/>
              </v:shapetype>
              <v:shape id="4 Cuadro de texto" o:spid="_x0000_s1026" type="#_x0000_t202" style="position:absolute;left:0;text-align:left;margin-left:-54.95pt;margin-top:6pt;width:491.1pt;height:4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" filled="f" stroked="f" strokeweight=".5pt">
                <v:textbox>
                  <w:txbxContent>
                    <w:p w14:paraId="4D436CF4" w14:textId="766E7C06" w:rsidR="00827C04" w:rsidRDefault="00300DEB">
                      <w:pPr>
                        <w:rPr>
                          <w:rFonts w:ascii="Segoe UI" w:hAnsi="Segoe UI" w:cs="Segoe UI"/>
                          <w:b/>
                          <w:color w:val="FFFFFF" w:themeColor="background1"/>
                          <w:sz w:val="36"/>
                          <w:szCs w:val="36"/>
                        </w:rPr>
                      </w:pPr>
                      <w:r>
                        <w:rPr>
                          <w:rFonts w:ascii="Segoe UI" w:hAnsi="Segoe UI" w:cs="Segoe UI"/>
                          <w:b/>
                          <w:color w:val="FFFFFF" w:themeColor="background1"/>
                          <w:sz w:val="36"/>
                          <w:szCs w:val="36"/>
                        </w:rPr>
                        <w:t>Octubre</w:t>
                      </w:r>
                      <w:r w:rsidR="00A64D45">
                        <w:rPr>
                          <w:rFonts w:ascii="Segoe UI" w:hAnsi="Segoe UI" w:cs="Segoe UI"/>
                          <w:b/>
                          <w:color w:val="FFFFFF" w:themeColor="background1"/>
                          <w:sz w:val="36"/>
                          <w:szCs w:val="36"/>
                        </w:rPr>
                        <w:t>-</w:t>
                      </w:r>
                      <w:r>
                        <w:rPr>
                          <w:rFonts w:ascii="Segoe UI" w:hAnsi="Segoe UI" w:cs="Segoe UI"/>
                          <w:b/>
                          <w:color w:val="FFFFFF" w:themeColor="background1"/>
                          <w:sz w:val="36"/>
                          <w:szCs w:val="36"/>
                        </w:rPr>
                        <w:t>Diciembre</w:t>
                      </w:r>
                      <w:r w:rsidR="0068726D">
                        <w:rPr>
                          <w:rFonts w:ascii="Segoe UI" w:hAnsi="Segoe UI" w:cs="Segoe UI"/>
                          <w:b/>
                          <w:color w:val="FFFFFF" w:themeColor="background1"/>
                          <w:sz w:val="36"/>
                          <w:szCs w:val="36"/>
                        </w:rPr>
                        <w:t xml:space="preserve"> 2024</w:t>
                      </w:r>
                    </w:p>
                    <w:p w14:paraId="2EB7BD8F" w14:textId="77777777" w:rsidR="00827C04" w:rsidRPr="00D37249" w:rsidRDefault="00827C04">
                      <w:pPr>
                        <w:rPr>
                          <w:rFonts w:ascii="Segoe UI" w:hAnsi="Segoe UI" w:cs="Segoe UI"/>
                          <w:b/>
                          <w:color w:val="FFFFFF" w:themeColor="background1"/>
                          <w:sz w:val="36"/>
                          <w:szCs w:val="36"/>
                        </w:rPr>
                      </w:pPr>
                    </w:p>
                    <w:p w14:paraId="59EFE686" w14:textId="77777777" w:rsidR="00827C04" w:rsidRPr="00D37249" w:rsidRDefault="00827C04" w:rsidP="005F1DFB">
                      <w:pPr>
                        <w:spacing w:after="0" w:line="240" w:lineRule="auto"/>
                        <w:rPr>
                          <w:rFonts w:ascii="Segoe UI" w:hAnsi="Segoe UI" w:cs="Segoe UI"/>
                          <w:b/>
                          <w:color w:val="FFFFFF" w:themeColor="background1"/>
                          <w:sz w:val="96"/>
                          <w:szCs w:val="96"/>
                        </w:rPr>
                      </w:pPr>
                      <w:r w:rsidRPr="00D37249">
                        <w:rPr>
                          <w:rFonts w:ascii="Segoe UI" w:hAnsi="Segoe UI" w:cs="Segoe UI"/>
                          <w:b/>
                          <w:color w:val="FFFFFF" w:themeColor="background1"/>
                          <w:sz w:val="96"/>
                          <w:szCs w:val="96"/>
                        </w:rPr>
                        <w:t>INFORME</w:t>
                      </w:r>
                    </w:p>
                    <w:p w14:paraId="636B78C5" w14:textId="77777777" w:rsidR="00827C04" w:rsidRPr="005F1DFB" w:rsidRDefault="00827C04" w:rsidP="005F1DFB">
                      <w:pPr>
                        <w:spacing w:after="0" w:line="240" w:lineRule="auto"/>
                        <w:rPr>
                          <w:rFonts w:ascii="Segoe UI" w:hAnsi="Segoe UI" w:cs="Segoe UI"/>
                          <w:b/>
                          <w:sz w:val="36"/>
                          <w:szCs w:val="36"/>
                        </w:rPr>
                      </w:pPr>
                      <w:r>
                        <w:rPr>
                          <w:rFonts w:ascii="Segoe UI" w:hAnsi="Segoe UI" w:cs="Segoe UI"/>
                          <w:b/>
                          <w:sz w:val="36"/>
                          <w:szCs w:val="36"/>
                        </w:rPr>
                        <w:t>DERECHO Y CONSUMO (BIBLIOGRAFÍ</w:t>
                      </w:r>
                      <w:r w:rsidRPr="005F1DFB">
                        <w:rPr>
                          <w:rFonts w:ascii="Segoe UI" w:hAnsi="Segoe UI" w:cs="Segoe UI"/>
                          <w:b/>
                          <w:sz w:val="36"/>
                          <w:szCs w:val="36"/>
                        </w:rPr>
                        <w:t>A)</w:t>
                      </w:r>
                    </w:p>
                    <w:p w14:paraId="2D051275" w14:textId="77777777" w:rsidR="00827C04" w:rsidRDefault="00827C04" w:rsidP="005F1DFB">
                      <w:pPr>
                        <w:spacing w:after="0" w:line="240" w:lineRule="auto"/>
                        <w:rPr>
                          <w:rFonts w:ascii="Segoe UI" w:hAnsi="Segoe UI" w:cs="Segoe UI"/>
                          <w:b/>
                          <w:color w:val="FFFFFF" w:themeColor="background1"/>
                          <w:sz w:val="36"/>
                          <w:szCs w:val="36"/>
                        </w:rPr>
                      </w:pPr>
                    </w:p>
                    <w:p w14:paraId="36A1D3C4" w14:textId="77777777" w:rsidR="00827C04" w:rsidRDefault="00827C04" w:rsidP="005F1DFB">
                      <w:pPr>
                        <w:spacing w:after="0" w:line="240" w:lineRule="auto"/>
                        <w:rPr>
                          <w:rFonts w:ascii="Segoe UI" w:hAnsi="Segoe UI" w:cs="Segoe UI"/>
                          <w:b/>
                          <w:color w:val="FFFFFF" w:themeColor="background1"/>
                          <w:sz w:val="36"/>
                          <w:szCs w:val="36"/>
                        </w:rPr>
                      </w:pPr>
                    </w:p>
                    <w:p w14:paraId="7945E80E" w14:textId="77777777" w:rsidR="00827C04" w:rsidRDefault="00827C04" w:rsidP="005F1DFB">
                      <w:pPr>
                        <w:spacing w:after="0" w:line="240" w:lineRule="auto"/>
                        <w:rPr>
                          <w:rFonts w:ascii="Segoe UI" w:hAnsi="Segoe UI" w:cs="Segoe UI"/>
                          <w:b/>
                          <w:color w:val="FFFFFF" w:themeColor="background1"/>
                        </w:rPr>
                      </w:pPr>
                    </w:p>
                    <w:p w14:paraId="09E469D5" w14:textId="77777777" w:rsidR="00827C04" w:rsidRDefault="00827C04" w:rsidP="005F1DFB">
                      <w:pPr>
                        <w:spacing w:after="0" w:line="240" w:lineRule="auto"/>
                        <w:rPr>
                          <w:rFonts w:ascii="Segoe UI" w:hAnsi="Segoe UI" w:cs="Segoe UI"/>
                          <w:b/>
                          <w:color w:val="FFFFFF" w:themeColor="background1"/>
                        </w:rPr>
                      </w:pPr>
                    </w:p>
                    <w:p w14:paraId="1ABCD6E4" w14:textId="77777777" w:rsidR="00827C04" w:rsidRDefault="00827C04" w:rsidP="005F1DFB">
                      <w:pPr>
                        <w:spacing w:after="0" w:line="240" w:lineRule="auto"/>
                        <w:rPr>
                          <w:rFonts w:ascii="Segoe UI" w:hAnsi="Segoe UI" w:cs="Segoe UI"/>
                          <w:b/>
                          <w:color w:val="FFFFFF" w:themeColor="background1"/>
                        </w:rPr>
                      </w:pPr>
                    </w:p>
                    <w:p w14:paraId="598C9961" w14:textId="77777777" w:rsidR="00827C04" w:rsidRDefault="00827C04" w:rsidP="005F1DFB">
                      <w:pPr>
                        <w:spacing w:after="0" w:line="240" w:lineRule="auto"/>
                        <w:rPr>
                          <w:rFonts w:ascii="Segoe UI" w:hAnsi="Segoe UI" w:cs="Segoe UI"/>
                          <w:b/>
                          <w:color w:val="FFFFFF" w:themeColor="background1"/>
                        </w:rPr>
                      </w:pPr>
                    </w:p>
                    <w:p w14:paraId="01E5130E" w14:textId="77777777" w:rsidR="00827C04" w:rsidRDefault="00827C04" w:rsidP="005F1DFB">
                      <w:pPr>
                        <w:spacing w:after="0" w:line="240" w:lineRule="auto"/>
                        <w:rPr>
                          <w:rFonts w:ascii="Segoe UI" w:hAnsi="Segoe UI" w:cs="Segoe UI"/>
                          <w:b/>
                          <w:color w:val="FFFFFF" w:themeColor="background1"/>
                        </w:rPr>
                      </w:pPr>
                    </w:p>
                    <w:p w14:paraId="4C18BA61" w14:textId="77777777" w:rsidR="00827C04" w:rsidRDefault="00827C04" w:rsidP="005F1DFB">
                      <w:pPr>
                        <w:spacing w:after="0" w:line="240" w:lineRule="auto"/>
                        <w:rPr>
                          <w:rFonts w:ascii="Segoe UI" w:hAnsi="Segoe UI" w:cs="Segoe UI"/>
                          <w:b/>
                          <w:color w:val="FFFFFF" w:themeColor="background1"/>
                        </w:rPr>
                      </w:pPr>
                    </w:p>
                    <w:p w14:paraId="6BB30137" w14:textId="77777777" w:rsidR="00827C04" w:rsidRDefault="00827C04" w:rsidP="005F1DFB">
                      <w:pPr>
                        <w:spacing w:after="0" w:line="240" w:lineRule="auto"/>
                        <w:rPr>
                          <w:rFonts w:ascii="Segoe UI" w:hAnsi="Segoe UI" w:cs="Segoe UI"/>
                          <w:b/>
                          <w:color w:val="FFFFFF" w:themeColor="background1"/>
                        </w:rPr>
                      </w:pPr>
                    </w:p>
                    <w:p w14:paraId="4D4293FD" w14:textId="77777777" w:rsidR="00827C04" w:rsidRDefault="00827C04" w:rsidP="005F1DFB">
                      <w:pPr>
                        <w:spacing w:after="0" w:line="240" w:lineRule="auto"/>
                        <w:rPr>
                          <w:rFonts w:ascii="Segoe UI" w:hAnsi="Segoe UI" w:cs="Segoe UI"/>
                          <w:b/>
                          <w:color w:val="FFFFFF" w:themeColor="background1"/>
                        </w:rPr>
                      </w:pPr>
                    </w:p>
                    <w:p w14:paraId="0E34383D" w14:textId="77777777" w:rsidR="00827C04" w:rsidRDefault="00827C04" w:rsidP="005F1DFB">
                      <w:pPr>
                        <w:spacing w:after="0" w:line="240" w:lineRule="auto"/>
                        <w:rPr>
                          <w:rFonts w:ascii="Segoe UI" w:hAnsi="Segoe UI" w:cs="Segoe UI"/>
                          <w:b/>
                        </w:rPr>
                      </w:pPr>
                    </w:p>
                    <w:p w14:paraId="045E4226" w14:textId="77777777" w:rsidR="00827C04" w:rsidRPr="00EE05FD" w:rsidRDefault="00827C04" w:rsidP="005F1DFB">
                      <w:pPr>
                        <w:spacing w:after="0" w:line="240" w:lineRule="auto"/>
                        <w:rPr>
                          <w:rFonts w:ascii="Segoe UI" w:hAnsi="Segoe UI" w:cs="Segoe UI"/>
                          <w:sz w:val="20"/>
                          <w:szCs w:val="20"/>
                        </w:rPr>
                      </w:pPr>
                      <w:r w:rsidRPr="00EE05FD">
                        <w:rPr>
                          <w:rFonts w:ascii="Segoe UI" w:hAnsi="Segoe UI" w:cs="Segoe UI"/>
                          <w:sz w:val="20"/>
                          <w:szCs w:val="20"/>
                        </w:rPr>
                        <w:t>Víctor Bastante Granell</w:t>
                      </w:r>
                      <w:r>
                        <w:rPr>
                          <w:rFonts w:ascii="Segoe UI" w:hAnsi="Segoe UI" w:cs="Segoe UI"/>
                          <w:sz w:val="20"/>
                          <w:szCs w:val="20"/>
                        </w:rPr>
                        <w:t xml:space="preserve">. </w:t>
                      </w:r>
                    </w:p>
                    <w:p w14:paraId="2F1C51F2" w14:textId="1051A3DC" w:rsidR="00827C04" w:rsidRPr="00EE05FD" w:rsidRDefault="00F475F0" w:rsidP="005F1DFB">
                      <w:pPr>
                        <w:spacing w:after="0" w:line="240" w:lineRule="auto"/>
                        <w:rPr>
                          <w:rFonts w:ascii="Segoe UI" w:hAnsi="Segoe UI" w:cs="Segoe UI"/>
                          <w:sz w:val="20"/>
                          <w:szCs w:val="20"/>
                        </w:rPr>
                      </w:pPr>
                      <w:r>
                        <w:rPr>
                          <w:rFonts w:ascii="Segoe UI" w:hAnsi="Segoe UI" w:cs="Segoe UI"/>
                          <w:sz w:val="20"/>
                          <w:szCs w:val="20"/>
                        </w:rPr>
                        <w:t>Profesor</w:t>
                      </w:r>
                      <w:r w:rsidR="0068726D">
                        <w:rPr>
                          <w:rFonts w:ascii="Segoe UI" w:hAnsi="Segoe UI" w:cs="Segoe UI"/>
                          <w:sz w:val="20"/>
                          <w:szCs w:val="20"/>
                        </w:rPr>
                        <w:t xml:space="preserve"> Titular de Universidad</w:t>
                      </w:r>
                      <w:r w:rsidR="00827C04" w:rsidRPr="00EE05FD">
                        <w:rPr>
                          <w:rFonts w:ascii="Segoe UI" w:hAnsi="Segoe UI" w:cs="Segoe UI"/>
                          <w:sz w:val="20"/>
                          <w:szCs w:val="20"/>
                        </w:rPr>
                        <w:t xml:space="preserve">. </w:t>
                      </w:r>
                    </w:p>
                    <w:p w14:paraId="6C8075D8" w14:textId="77777777" w:rsidR="00827C04" w:rsidRDefault="00827C04" w:rsidP="005F1DFB">
                      <w:pPr>
                        <w:spacing w:after="0" w:line="240" w:lineRule="auto"/>
                        <w:rPr>
                          <w:rFonts w:ascii="Segoe UI" w:hAnsi="Segoe UI" w:cs="Segoe UI"/>
                          <w:sz w:val="20"/>
                          <w:szCs w:val="20"/>
                        </w:rPr>
                      </w:pPr>
                      <w:r w:rsidRPr="00EE05FD">
                        <w:rPr>
                          <w:rFonts w:ascii="Segoe UI" w:hAnsi="Segoe UI" w:cs="Segoe UI"/>
                          <w:sz w:val="20"/>
                          <w:szCs w:val="20"/>
                        </w:rPr>
                        <w:t>Universidad de Almería.</w:t>
                      </w:r>
                    </w:p>
                    <w:p w14:paraId="1735E3DF" w14:textId="77777777" w:rsidR="00827C04" w:rsidRPr="003F49BB" w:rsidRDefault="00827C04" w:rsidP="005F1DFB">
                      <w:pPr>
                        <w:spacing w:after="0" w:line="240" w:lineRule="auto"/>
                        <w:rPr>
                          <w:rFonts w:ascii="Segoe UI" w:hAnsi="Segoe UI" w:cs="Segoe UI"/>
                          <w:i/>
                          <w:sz w:val="20"/>
                          <w:szCs w:val="20"/>
                        </w:rPr>
                      </w:pPr>
                      <w:r w:rsidRPr="003F49BB">
                        <w:rPr>
                          <w:rFonts w:ascii="Segoe UI" w:hAnsi="Segoe UI" w:cs="Segoe UI"/>
                          <w:i/>
                          <w:sz w:val="20"/>
                          <w:szCs w:val="20"/>
                        </w:rPr>
                        <w:t>vbg415@ual.es</w:t>
                      </w:r>
                    </w:p>
                  </w:txbxContent>
                </v:textbox>
              </v:shape>
            </w:pict>
          </mc:Fallback>
        </mc:AlternateContent>
      </w:r>
    </w:p>
    <w:p w14:paraId="634A3D0B" w14:textId="77777777" w:rsidR="00D37249" w:rsidRDefault="00D37249" w:rsidP="00656A1A">
      <w:pPr>
        <w:spacing w:beforeLines="100" w:before="240" w:afterLines="100" w:after="240"/>
        <w:jc w:val="center"/>
        <w:rPr>
          <w:noProof/>
          <w:lang w:eastAsia="es-ES"/>
        </w:rPr>
      </w:pPr>
    </w:p>
    <w:p w14:paraId="3214C097" w14:textId="77777777" w:rsidR="00D37249" w:rsidRDefault="00D37249" w:rsidP="00656A1A">
      <w:pPr>
        <w:spacing w:beforeLines="100" w:before="240" w:afterLines="100" w:after="240"/>
        <w:jc w:val="center"/>
        <w:rPr>
          <w:noProof/>
          <w:lang w:eastAsia="es-ES"/>
        </w:rPr>
      </w:pPr>
    </w:p>
    <w:p w14:paraId="612D226B" w14:textId="77777777" w:rsidR="00D37249" w:rsidRDefault="00D37249" w:rsidP="00656A1A">
      <w:pPr>
        <w:spacing w:beforeLines="100" w:before="240" w:afterLines="100" w:after="240"/>
        <w:jc w:val="center"/>
        <w:rPr>
          <w:noProof/>
          <w:lang w:eastAsia="es-ES"/>
        </w:rPr>
      </w:pPr>
    </w:p>
    <w:p w14:paraId="1B8E3A3D" w14:textId="77777777" w:rsidR="00D37249" w:rsidRDefault="00D37249" w:rsidP="00656A1A">
      <w:pPr>
        <w:spacing w:beforeLines="100" w:before="240" w:afterLines="100" w:after="240"/>
        <w:jc w:val="center"/>
        <w:rPr>
          <w:noProof/>
          <w:lang w:eastAsia="es-ES"/>
        </w:rPr>
      </w:pPr>
    </w:p>
    <w:p w14:paraId="3A5D080F" w14:textId="77777777" w:rsidR="00D37249" w:rsidRDefault="00D37249" w:rsidP="00656A1A">
      <w:pPr>
        <w:spacing w:beforeLines="100" w:before="240" w:afterLines="100" w:after="240"/>
        <w:jc w:val="center"/>
        <w:rPr>
          <w:noProof/>
          <w:lang w:eastAsia="es-ES"/>
        </w:rPr>
      </w:pPr>
    </w:p>
    <w:p w14:paraId="1E0AEF62" w14:textId="77777777" w:rsidR="00D37249" w:rsidRDefault="00D37249" w:rsidP="00656A1A">
      <w:pPr>
        <w:spacing w:beforeLines="100" w:before="240" w:afterLines="100" w:after="240"/>
        <w:jc w:val="center"/>
        <w:rPr>
          <w:noProof/>
          <w:lang w:eastAsia="es-ES"/>
        </w:rPr>
      </w:pPr>
    </w:p>
    <w:p w14:paraId="248E4477" w14:textId="77777777" w:rsidR="00D37249" w:rsidRDefault="00D37249" w:rsidP="00656A1A">
      <w:pPr>
        <w:spacing w:beforeLines="100" w:before="240" w:afterLines="100" w:after="240"/>
        <w:jc w:val="center"/>
        <w:rPr>
          <w:noProof/>
          <w:lang w:eastAsia="es-ES"/>
        </w:rPr>
      </w:pPr>
    </w:p>
    <w:p w14:paraId="00E5561C" w14:textId="77777777" w:rsidR="00D37249" w:rsidRDefault="00D37249" w:rsidP="00656A1A">
      <w:pPr>
        <w:spacing w:beforeLines="100" w:before="240" w:afterLines="100" w:after="240"/>
        <w:jc w:val="center"/>
        <w:rPr>
          <w:noProof/>
          <w:lang w:eastAsia="es-ES"/>
        </w:rPr>
      </w:pPr>
    </w:p>
    <w:p w14:paraId="79253195" w14:textId="77777777" w:rsidR="00D37249" w:rsidRDefault="00D37249" w:rsidP="00656A1A">
      <w:pPr>
        <w:spacing w:beforeLines="100" w:before="240" w:afterLines="100" w:after="240"/>
        <w:jc w:val="center"/>
        <w:rPr>
          <w:noProof/>
          <w:lang w:eastAsia="es-ES"/>
        </w:rPr>
      </w:pPr>
    </w:p>
    <w:p w14:paraId="22EC10ED" w14:textId="77777777" w:rsidR="00D37249" w:rsidRDefault="00D37249" w:rsidP="00656A1A">
      <w:pPr>
        <w:spacing w:beforeLines="100" w:before="240" w:afterLines="100" w:after="240"/>
        <w:jc w:val="center"/>
        <w:rPr>
          <w:noProof/>
          <w:lang w:eastAsia="es-ES"/>
        </w:rPr>
      </w:pPr>
    </w:p>
    <w:p w14:paraId="55521369" w14:textId="77777777" w:rsidR="00D37249" w:rsidRDefault="00D37249" w:rsidP="00656A1A">
      <w:pPr>
        <w:spacing w:beforeLines="100" w:before="240" w:afterLines="100" w:after="240"/>
        <w:jc w:val="center"/>
        <w:rPr>
          <w:noProof/>
          <w:lang w:eastAsia="es-ES"/>
        </w:rPr>
      </w:pPr>
    </w:p>
    <w:p w14:paraId="48BF8FA4" w14:textId="77777777" w:rsidR="00D37249" w:rsidRDefault="00D37249" w:rsidP="00656A1A">
      <w:pPr>
        <w:spacing w:beforeLines="100" w:before="240" w:afterLines="100" w:after="240"/>
        <w:jc w:val="center"/>
        <w:rPr>
          <w:noProof/>
          <w:lang w:eastAsia="es-ES"/>
        </w:rPr>
      </w:pPr>
    </w:p>
    <w:p w14:paraId="77F66103" w14:textId="77777777" w:rsidR="00D37249" w:rsidRDefault="00D37249" w:rsidP="00656A1A">
      <w:pPr>
        <w:spacing w:beforeLines="100" w:before="240" w:afterLines="100" w:after="240"/>
        <w:jc w:val="center"/>
        <w:rPr>
          <w:noProof/>
          <w:lang w:eastAsia="es-ES"/>
        </w:rPr>
      </w:pPr>
    </w:p>
    <w:p w14:paraId="41F4B982" w14:textId="77777777" w:rsidR="00D37249" w:rsidRDefault="00D37249" w:rsidP="00656A1A">
      <w:pPr>
        <w:spacing w:beforeLines="100" w:before="240" w:afterLines="100" w:after="240"/>
        <w:jc w:val="center"/>
        <w:rPr>
          <w:noProof/>
          <w:lang w:eastAsia="es-ES"/>
        </w:rPr>
      </w:pPr>
    </w:p>
    <w:p w14:paraId="647D8F29" w14:textId="77777777" w:rsidR="00D37249" w:rsidRDefault="00D37249" w:rsidP="00656A1A">
      <w:pPr>
        <w:spacing w:beforeLines="100" w:before="240" w:afterLines="100" w:after="240"/>
        <w:jc w:val="center"/>
        <w:rPr>
          <w:noProof/>
          <w:lang w:eastAsia="es-ES"/>
        </w:rPr>
      </w:pPr>
    </w:p>
    <w:p w14:paraId="3FE9F70E" w14:textId="77777777" w:rsidR="00D37249" w:rsidRDefault="005F0DEC"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60288" behindDoc="0" locked="0" layoutInCell="1" allowOverlap="1" wp14:anchorId="648F4A92" wp14:editId="682CB527">
                <wp:simplePos x="0" y="0"/>
                <wp:positionH relativeFrom="column">
                  <wp:posOffset>5288354</wp:posOffset>
                </wp:positionH>
                <wp:positionV relativeFrom="paragraph">
                  <wp:posOffset>504175</wp:posOffset>
                </wp:positionV>
                <wp:extent cx="1190360" cy="786396"/>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190360" cy="786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130AB" w14:textId="77777777" w:rsidR="00827C04" w:rsidRPr="005F0DEC" w:rsidRDefault="00827C04">
                            <w:pPr>
                              <w:rPr>
                                <w:rFonts w:ascii="Monotype Corsiva" w:hAnsi="Monotype Corsiva"/>
                                <w:b/>
                                <w:color w:val="FFFFFF" w:themeColor="background1"/>
                                <w:sz w:val="72"/>
                                <w:szCs w:val="72"/>
                              </w:rPr>
                            </w:pPr>
                            <w:r w:rsidRPr="005F0DEC">
                              <w:rPr>
                                <w:rFonts w:ascii="Monotype Corsiva" w:hAnsi="Monotype Corsiva"/>
                                <w:b/>
                                <w:color w:val="FFFFFF" w:themeColor="background1"/>
                                <w:sz w:val="72"/>
                                <w:szCs w:val="72"/>
                              </w:rPr>
                              <w:t>NyR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F4A92" id="1 Cuadro de texto" o:spid="_x0000_s1027" type="#_x0000_t202" style="position:absolute;left:0;text-align:left;margin-left:416.4pt;margin-top:39.7pt;width:93.75pt;height: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" filled="f" stroked="f" strokeweight=".5pt">
                <v:textbox>
                  <w:txbxContent>
                    <w:p w14:paraId="320130AB" w14:textId="77777777" w:rsidR="00827C04" w:rsidRPr="005F0DEC" w:rsidRDefault="00827C04">
                      <w:pPr>
                        <w:rPr>
                          <w:rFonts w:ascii="Monotype Corsiva" w:hAnsi="Monotype Corsiva"/>
                          <w:b/>
                          <w:color w:val="FFFFFF" w:themeColor="background1"/>
                          <w:sz w:val="72"/>
                          <w:szCs w:val="72"/>
                        </w:rPr>
                      </w:pPr>
                      <w:r w:rsidRPr="005F0DEC">
                        <w:rPr>
                          <w:rFonts w:ascii="Monotype Corsiva" w:hAnsi="Monotype Corsiva"/>
                          <w:b/>
                          <w:color w:val="FFFFFF" w:themeColor="background1"/>
                          <w:sz w:val="72"/>
                          <w:szCs w:val="72"/>
                        </w:rPr>
                        <w:t>NyR</w:t>
                      </w:r>
                    </w:p>
                  </w:txbxContent>
                </v:textbox>
              </v:shape>
            </w:pict>
          </mc:Fallback>
        </mc:AlternateContent>
      </w:r>
    </w:p>
    <w:p w14:paraId="0DB7A1CA" w14:textId="77777777" w:rsidR="00C660D0" w:rsidRDefault="000562B1" w:rsidP="00226C2F">
      <w:pPr>
        <w:spacing w:after="0" w:line="240" w:lineRule="auto"/>
        <w:jc w:val="center"/>
        <w:rPr>
          <w:rFonts w:cstheme="minorHAnsi"/>
          <w:b/>
          <w:color w:val="FFFFFF" w:themeColor="background1"/>
          <w:sz w:val="32"/>
          <w:szCs w:val="32"/>
        </w:rPr>
      </w:pPr>
      <w:r w:rsidRPr="00226C2F">
        <w:rPr>
          <w:rFonts w:cstheme="minorHAnsi"/>
          <w:b/>
          <w:noProof/>
          <w:color w:val="FFFFFF" w:themeColor="background1"/>
          <w:sz w:val="32"/>
          <w:szCs w:val="32"/>
          <w:lang w:eastAsia="es-ES"/>
        </w:rPr>
        <w:lastRenderedPageBreak/>
        <w:drawing>
          <wp:anchor distT="0" distB="0" distL="114300" distR="114300" simplePos="0" relativeHeight="251662336" behindDoc="1" locked="0" layoutInCell="1" allowOverlap="1" wp14:anchorId="162E8B83" wp14:editId="043286BA">
            <wp:simplePos x="0" y="0"/>
            <wp:positionH relativeFrom="column">
              <wp:posOffset>-1048237</wp:posOffset>
            </wp:positionH>
            <wp:positionV relativeFrom="paragraph">
              <wp:posOffset>-889162</wp:posOffset>
            </wp:positionV>
            <wp:extent cx="7549116" cy="9803218"/>
            <wp:effectExtent l="0" t="0" r="0" b="7620"/>
            <wp:wrapNone/>
            <wp:docPr id="7" name="Imagen 7" descr="C:\Users\Jesus\Downloads\Red and Grayscale Corporate Company Annual Repor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sus\Downloads\Red and Grayscale Corporate Company Annual Report (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9116" cy="9803218"/>
                    </a:xfrm>
                    <a:prstGeom prst="rect">
                      <a:avLst/>
                    </a:prstGeom>
                    <a:noFill/>
                    <a:ln>
                      <a:noFill/>
                    </a:ln>
                  </pic:spPr>
                </pic:pic>
              </a:graphicData>
            </a:graphic>
            <wp14:sizeRelH relativeFrom="page">
              <wp14:pctWidth>0</wp14:pctWidth>
            </wp14:sizeRelH>
            <wp14:sizeRelV relativeFrom="page">
              <wp14:pctHeight>0</wp14:pctHeight>
            </wp14:sizeRelV>
          </wp:anchor>
        </w:drawing>
      </w:r>
      <w:r w:rsidR="00226C2F">
        <w:rPr>
          <w:rFonts w:cstheme="minorHAnsi"/>
          <w:b/>
          <w:noProof/>
          <w:color w:val="FFFFFF" w:themeColor="background1"/>
          <w:sz w:val="32"/>
          <w:szCs w:val="32"/>
          <w:lang w:eastAsia="es-ES"/>
        </w:rPr>
        <mc:AlternateContent>
          <mc:Choice Requires="wps">
            <w:drawing>
              <wp:anchor distT="0" distB="0" distL="114300" distR="114300" simplePos="0" relativeHeight="251663360" behindDoc="0" locked="0" layoutInCell="1" allowOverlap="1" wp14:anchorId="3FA495B1" wp14:editId="280F7CF2">
                <wp:simplePos x="0" y="0"/>
                <wp:positionH relativeFrom="column">
                  <wp:posOffset>1120775</wp:posOffset>
                </wp:positionH>
                <wp:positionV relativeFrom="paragraph">
                  <wp:posOffset>-218307</wp:posOffset>
                </wp:positionV>
                <wp:extent cx="3466213" cy="1073889"/>
                <wp:effectExtent l="0" t="0" r="0" b="0"/>
                <wp:wrapNone/>
                <wp:docPr id="11" name="11 Cuadro de texto"/>
                <wp:cNvGraphicFramePr/>
                <a:graphic xmlns:a="http://schemas.openxmlformats.org/drawingml/2006/main">
                  <a:graphicData uri="http://schemas.microsoft.com/office/word/2010/wordprocessingShape">
                    <wps:wsp>
                      <wps:cNvSpPr txBox="1"/>
                      <wps:spPr>
                        <a:xfrm>
                          <a:off x="0" y="0"/>
                          <a:ext cx="3466213" cy="10738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498AFD" w14:textId="77777777" w:rsidR="00827C04" w:rsidRPr="00226C2F" w:rsidRDefault="00827C04" w:rsidP="00226C2F">
                            <w:pPr>
                              <w:spacing w:after="0" w:line="240" w:lineRule="auto"/>
                              <w:jc w:val="center"/>
                              <w:rPr>
                                <w:rFonts w:cstheme="minorHAnsi"/>
                                <w:b/>
                                <w:color w:val="000000" w:themeColor="text1"/>
                                <w:sz w:val="32"/>
                                <w:szCs w:val="32"/>
                              </w:rPr>
                            </w:pPr>
                            <w:r>
                              <w:rPr>
                                <w:rFonts w:cstheme="minorHAnsi"/>
                                <w:b/>
                                <w:color w:val="FFFFFF" w:themeColor="background1"/>
                                <w:sz w:val="32"/>
                                <w:szCs w:val="32"/>
                              </w:rPr>
                              <w:t>I</w:t>
                            </w:r>
                            <w:r w:rsidRPr="00226C2F">
                              <w:rPr>
                                <w:rFonts w:cstheme="minorHAnsi"/>
                                <w:b/>
                                <w:color w:val="FFFFFF" w:themeColor="background1"/>
                                <w:sz w:val="32"/>
                                <w:szCs w:val="32"/>
                              </w:rPr>
                              <w:t>NFORME</w:t>
                            </w:r>
                          </w:p>
                          <w:p w14:paraId="7A65D15E" w14:textId="77777777" w:rsidR="00827C04" w:rsidRPr="00226C2F" w:rsidRDefault="00827C04" w:rsidP="00226C2F">
                            <w:pPr>
                              <w:spacing w:after="0" w:line="240" w:lineRule="auto"/>
                              <w:jc w:val="center"/>
                              <w:rPr>
                                <w:rFonts w:cstheme="minorHAnsi"/>
                                <w:b/>
                                <w:color w:val="000000" w:themeColor="text1"/>
                                <w:sz w:val="28"/>
                                <w:szCs w:val="28"/>
                              </w:rPr>
                            </w:pPr>
                            <w:r>
                              <w:rPr>
                                <w:rFonts w:cstheme="minorHAnsi"/>
                                <w:b/>
                                <w:color w:val="000000" w:themeColor="text1"/>
                                <w:sz w:val="28"/>
                                <w:szCs w:val="28"/>
                              </w:rPr>
                              <w:t xml:space="preserve">DERECHO Y CONSUMO </w:t>
                            </w:r>
                            <w:r w:rsidRPr="00226C2F">
                              <w:rPr>
                                <w:rFonts w:cstheme="minorHAnsi"/>
                                <w:b/>
                                <w:color w:val="000000" w:themeColor="text1"/>
                                <w:sz w:val="28"/>
                                <w:szCs w:val="28"/>
                              </w:rPr>
                              <w:t>(BIBLIOGRAFÍA)</w:t>
                            </w:r>
                          </w:p>
                          <w:p w14:paraId="2F1DEB9A" w14:textId="77777777" w:rsidR="00827C04" w:rsidRPr="005F0DEC" w:rsidRDefault="00827C04" w:rsidP="00226C2F">
                            <w:pPr>
                              <w:spacing w:after="0" w:line="240" w:lineRule="auto"/>
                              <w:rPr>
                                <w:rFonts w:cstheme="minorHAnsi"/>
                                <w:b/>
                                <w:color w:val="FFFFFF" w:themeColor="background1"/>
                              </w:rPr>
                            </w:pPr>
                          </w:p>
                          <w:p w14:paraId="31D940F1" w14:textId="4ECBE94C" w:rsidR="00827C04" w:rsidRDefault="00300DEB" w:rsidP="00567AAA">
                            <w:pPr>
                              <w:jc w:val="center"/>
                            </w:pPr>
                            <w:r>
                              <w:rPr>
                                <w:rFonts w:cstheme="minorHAnsi"/>
                                <w:b/>
                                <w:color w:val="FFFFFF" w:themeColor="background1"/>
                                <w:sz w:val="20"/>
                                <w:szCs w:val="20"/>
                              </w:rPr>
                              <w:t>Octubre-Diciembre</w:t>
                            </w:r>
                            <w:r w:rsidR="0068726D">
                              <w:rPr>
                                <w:rFonts w:cstheme="minorHAnsi"/>
                                <w:b/>
                                <w:color w:val="FFFFFF" w:themeColor="background1"/>
                                <w:sz w:val="20"/>
                                <w:szCs w:val="20"/>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A495B1" id="11 Cuadro de texto" o:spid="_x0000_s1028" type="#_x0000_t202" style="position:absolute;left:0;text-align:left;margin-left:88.25pt;margin-top:-17.2pt;width:272.95pt;height:84.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" filled="f" stroked="f" strokeweight=".5pt">
                <v:textbox>
                  <w:txbxContent>
                    <w:p w14:paraId="22498AFD" w14:textId="77777777" w:rsidR="00827C04" w:rsidRPr="00226C2F" w:rsidRDefault="00827C04" w:rsidP="00226C2F">
                      <w:pPr>
                        <w:spacing w:after="0" w:line="240" w:lineRule="auto"/>
                        <w:jc w:val="center"/>
                        <w:rPr>
                          <w:rFonts w:cstheme="minorHAnsi"/>
                          <w:b/>
                          <w:color w:val="000000" w:themeColor="text1"/>
                          <w:sz w:val="32"/>
                          <w:szCs w:val="32"/>
                        </w:rPr>
                      </w:pPr>
                      <w:r>
                        <w:rPr>
                          <w:rFonts w:cstheme="minorHAnsi"/>
                          <w:b/>
                          <w:color w:val="FFFFFF" w:themeColor="background1"/>
                          <w:sz w:val="32"/>
                          <w:szCs w:val="32"/>
                        </w:rPr>
                        <w:t>I</w:t>
                      </w:r>
                      <w:r w:rsidRPr="00226C2F">
                        <w:rPr>
                          <w:rFonts w:cstheme="minorHAnsi"/>
                          <w:b/>
                          <w:color w:val="FFFFFF" w:themeColor="background1"/>
                          <w:sz w:val="32"/>
                          <w:szCs w:val="32"/>
                        </w:rPr>
                        <w:t>NFORME</w:t>
                      </w:r>
                    </w:p>
                    <w:p w14:paraId="7A65D15E" w14:textId="77777777" w:rsidR="00827C04" w:rsidRPr="00226C2F" w:rsidRDefault="00827C04" w:rsidP="00226C2F">
                      <w:pPr>
                        <w:spacing w:after="0" w:line="240" w:lineRule="auto"/>
                        <w:jc w:val="center"/>
                        <w:rPr>
                          <w:rFonts w:cstheme="minorHAnsi"/>
                          <w:b/>
                          <w:color w:val="000000" w:themeColor="text1"/>
                          <w:sz w:val="28"/>
                          <w:szCs w:val="28"/>
                        </w:rPr>
                      </w:pPr>
                      <w:r>
                        <w:rPr>
                          <w:rFonts w:cstheme="minorHAnsi"/>
                          <w:b/>
                          <w:color w:val="000000" w:themeColor="text1"/>
                          <w:sz w:val="28"/>
                          <w:szCs w:val="28"/>
                        </w:rPr>
                        <w:t xml:space="preserve">DERECHO Y CONSUMO </w:t>
                      </w:r>
                      <w:r w:rsidRPr="00226C2F">
                        <w:rPr>
                          <w:rFonts w:cstheme="minorHAnsi"/>
                          <w:b/>
                          <w:color w:val="000000" w:themeColor="text1"/>
                          <w:sz w:val="28"/>
                          <w:szCs w:val="28"/>
                        </w:rPr>
                        <w:t>(BIBLIOGRAFÍA)</w:t>
                      </w:r>
                    </w:p>
                    <w:p w14:paraId="2F1DEB9A" w14:textId="77777777" w:rsidR="00827C04" w:rsidRPr="005F0DEC" w:rsidRDefault="00827C04" w:rsidP="00226C2F">
                      <w:pPr>
                        <w:spacing w:after="0" w:line="240" w:lineRule="auto"/>
                        <w:rPr>
                          <w:rFonts w:cstheme="minorHAnsi"/>
                          <w:b/>
                          <w:color w:val="FFFFFF" w:themeColor="background1"/>
                        </w:rPr>
                      </w:pPr>
                    </w:p>
                    <w:p w14:paraId="31D940F1" w14:textId="4ECBE94C" w:rsidR="00827C04" w:rsidRDefault="00300DEB" w:rsidP="00567AAA">
                      <w:pPr>
                        <w:jc w:val="center"/>
                      </w:pPr>
                      <w:r>
                        <w:rPr>
                          <w:rFonts w:cstheme="minorHAnsi"/>
                          <w:b/>
                          <w:color w:val="FFFFFF" w:themeColor="background1"/>
                          <w:sz w:val="20"/>
                          <w:szCs w:val="20"/>
                        </w:rPr>
                        <w:t>Octubre-Diciembre</w:t>
                      </w:r>
                      <w:r w:rsidR="0068726D">
                        <w:rPr>
                          <w:rFonts w:cstheme="minorHAnsi"/>
                          <w:b/>
                          <w:color w:val="FFFFFF" w:themeColor="background1"/>
                          <w:sz w:val="20"/>
                          <w:szCs w:val="20"/>
                        </w:rPr>
                        <w:t xml:space="preserve"> 2024</w:t>
                      </w:r>
                    </w:p>
                  </w:txbxContent>
                </v:textbox>
              </v:shape>
            </w:pict>
          </mc:Fallback>
        </mc:AlternateContent>
      </w:r>
    </w:p>
    <w:p w14:paraId="58C683B8" w14:textId="77777777" w:rsidR="00226C2F" w:rsidRDefault="00226C2F" w:rsidP="00226C2F">
      <w:pPr>
        <w:spacing w:after="0" w:line="240" w:lineRule="auto"/>
        <w:jc w:val="center"/>
        <w:rPr>
          <w:rFonts w:cstheme="minorHAnsi"/>
          <w:b/>
          <w:color w:val="FFFFFF" w:themeColor="background1"/>
          <w:sz w:val="32"/>
          <w:szCs w:val="32"/>
        </w:rPr>
      </w:pPr>
    </w:p>
    <w:p w14:paraId="52B812AB" w14:textId="77777777" w:rsidR="00226C2F" w:rsidRDefault="00226C2F" w:rsidP="00226C2F">
      <w:pPr>
        <w:spacing w:after="0" w:line="240" w:lineRule="auto"/>
        <w:jc w:val="center"/>
        <w:rPr>
          <w:rFonts w:cstheme="minorHAnsi"/>
          <w:b/>
          <w:color w:val="FFFFFF" w:themeColor="background1"/>
          <w:sz w:val="32"/>
          <w:szCs w:val="32"/>
        </w:rPr>
      </w:pPr>
      <w:r>
        <w:rPr>
          <w:noProof/>
          <w:lang w:eastAsia="es-ES"/>
        </w:rPr>
        <mc:AlternateContent>
          <mc:Choice Requires="wps">
            <w:drawing>
              <wp:anchor distT="0" distB="0" distL="114300" distR="114300" simplePos="0" relativeHeight="251665408" behindDoc="0" locked="0" layoutInCell="1" allowOverlap="1" wp14:anchorId="75391AFD" wp14:editId="2ACD5C44">
                <wp:simplePos x="0" y="0"/>
                <wp:positionH relativeFrom="column">
                  <wp:posOffset>4331335</wp:posOffset>
                </wp:positionH>
                <wp:positionV relativeFrom="paragraph">
                  <wp:posOffset>71297</wp:posOffset>
                </wp:positionV>
                <wp:extent cx="659130" cy="477520"/>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659130" cy="477520"/>
                        </a:xfrm>
                        <a:prstGeom prst="rect">
                          <a:avLst/>
                        </a:prstGeom>
                        <a:noFill/>
                        <a:ln w="6350">
                          <a:noFill/>
                        </a:ln>
                        <a:effectLst/>
                      </wps:spPr>
                      <wps:txbx>
                        <w:txbxContent>
                          <w:p w14:paraId="04DC319D" w14:textId="77777777" w:rsidR="00827C04" w:rsidRPr="00226C2F" w:rsidRDefault="00827C04" w:rsidP="00226C2F">
                            <w:pPr>
                              <w:rPr>
                                <w:rFonts w:ascii="Monotype Corsiva" w:hAnsi="Monotype Corsiva"/>
                                <w:b/>
                                <w:color w:val="FFFFFF" w:themeColor="background1"/>
                                <w:sz w:val="32"/>
                                <w:szCs w:val="32"/>
                              </w:rPr>
                            </w:pPr>
                            <w:r w:rsidRPr="00226C2F">
                              <w:rPr>
                                <w:rFonts w:ascii="Monotype Corsiva" w:hAnsi="Monotype Corsiva"/>
                                <w:b/>
                                <w:color w:val="FFFFFF" w:themeColor="background1"/>
                                <w:sz w:val="32"/>
                                <w:szCs w:val="32"/>
                              </w:rPr>
                              <w:t>NyR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91AFD" id="12 Cuadro de texto" o:spid="_x0000_s1029" type="#_x0000_t202" style="position:absolute;left:0;text-align:left;margin-left:341.05pt;margin-top:5.6pt;width:51.9pt;height:3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" filled="f" stroked="f" strokeweight=".5pt">
                <v:textbox>
                  <w:txbxContent>
                    <w:p w14:paraId="04DC319D" w14:textId="77777777" w:rsidR="00827C04" w:rsidRPr="00226C2F" w:rsidRDefault="00827C04" w:rsidP="00226C2F">
                      <w:pPr>
                        <w:rPr>
                          <w:rFonts w:ascii="Monotype Corsiva" w:hAnsi="Monotype Corsiva"/>
                          <w:b/>
                          <w:color w:val="FFFFFF" w:themeColor="background1"/>
                          <w:sz w:val="32"/>
                          <w:szCs w:val="32"/>
                        </w:rPr>
                      </w:pPr>
                      <w:r w:rsidRPr="00226C2F">
                        <w:rPr>
                          <w:rFonts w:ascii="Monotype Corsiva" w:hAnsi="Monotype Corsiva"/>
                          <w:b/>
                          <w:color w:val="FFFFFF" w:themeColor="background1"/>
                          <w:sz w:val="32"/>
                          <w:szCs w:val="32"/>
                        </w:rPr>
                        <w:t>NyR</w:t>
                      </w:r>
                    </w:p>
                  </w:txbxContent>
                </v:textbox>
              </v:shape>
            </w:pict>
          </mc:Fallback>
        </mc:AlternateContent>
      </w:r>
    </w:p>
    <w:p w14:paraId="7AB10861" w14:textId="77777777" w:rsidR="00226C2F" w:rsidRDefault="00226C2F" w:rsidP="00226C2F">
      <w:pPr>
        <w:spacing w:after="0" w:line="240" w:lineRule="auto"/>
        <w:jc w:val="center"/>
        <w:rPr>
          <w:rFonts w:cstheme="minorHAnsi"/>
          <w:b/>
          <w:color w:val="FFFFFF" w:themeColor="background1"/>
          <w:sz w:val="32"/>
          <w:szCs w:val="32"/>
        </w:rPr>
      </w:pPr>
    </w:p>
    <w:p w14:paraId="749B5E68" w14:textId="77777777" w:rsidR="00226C2F" w:rsidRPr="00226C2F" w:rsidRDefault="00226C2F" w:rsidP="00226C2F">
      <w:pPr>
        <w:spacing w:after="0" w:line="240" w:lineRule="auto"/>
        <w:jc w:val="center"/>
        <w:rPr>
          <w:rFonts w:cstheme="minorHAnsi"/>
          <w:b/>
          <w:color w:val="FFFFFF" w:themeColor="background1"/>
          <w:sz w:val="20"/>
          <w:szCs w:val="20"/>
        </w:rPr>
      </w:pPr>
    </w:p>
    <w:p w14:paraId="1A8FE9A3" w14:textId="77777777" w:rsidR="0068726D" w:rsidRPr="001563A1" w:rsidRDefault="0068726D" w:rsidP="001563A1">
      <w:pPr>
        <w:spacing w:after="0" w:line="240" w:lineRule="auto"/>
        <w:jc w:val="both"/>
        <w:rPr>
          <w:sz w:val="20"/>
          <w:szCs w:val="20"/>
        </w:rPr>
      </w:pPr>
    </w:p>
    <w:p w14:paraId="173C27D6"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bCs/>
          <w:sz w:val="20"/>
          <w:szCs w:val="20"/>
          <w:lang w:eastAsia="es-ES"/>
        </w:rPr>
        <w:t>Achón Bruñén, María José.</w:t>
      </w:r>
      <w:r w:rsidRPr="00D0064B">
        <w:rPr>
          <w:rFonts w:eastAsia="Times New Roman" w:cstheme="minorHAnsi"/>
          <w:sz w:val="20"/>
          <w:szCs w:val="20"/>
          <w:lang w:eastAsia="es-ES"/>
        </w:rPr>
        <w:t xml:space="preserve"> “Casuística de la imposición de costas en procesos de cláusulas abusivas: Análisis de los distintos supuestos problemáticos que pueden plantearse”: </w:t>
      </w:r>
      <w:r w:rsidRPr="00D0064B">
        <w:rPr>
          <w:rFonts w:eastAsia="Times New Roman" w:cstheme="minorHAnsi"/>
          <w:i/>
          <w:iCs/>
          <w:sz w:val="20"/>
          <w:szCs w:val="20"/>
          <w:lang w:eastAsia="es-ES"/>
        </w:rPr>
        <w:t>Diario La Ley</w:t>
      </w:r>
      <w:r w:rsidRPr="00D0064B">
        <w:rPr>
          <w:rFonts w:eastAsia="Times New Roman" w:cstheme="minorHAnsi"/>
          <w:sz w:val="20"/>
          <w:szCs w:val="20"/>
          <w:lang w:eastAsia="es-ES"/>
        </w:rPr>
        <w:t>, Nº. 10579, 2024.</w:t>
      </w:r>
    </w:p>
    <w:p w14:paraId="0B2E8A4F"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79D0EDBE"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bCs/>
          <w:sz w:val="20"/>
          <w:szCs w:val="20"/>
          <w:lang w:eastAsia="es-ES"/>
        </w:rPr>
        <w:t>Achón Bruñén, María José.</w:t>
      </w:r>
      <w:r w:rsidRPr="00D0064B">
        <w:rPr>
          <w:rFonts w:eastAsia="Times New Roman" w:cstheme="minorHAnsi"/>
          <w:sz w:val="20"/>
          <w:szCs w:val="20"/>
          <w:lang w:eastAsia="es-ES"/>
        </w:rPr>
        <w:t xml:space="preserve"> “Modificaciones relativas a la apreciación de oficio o a instancia de parte de cláusulas abusivas en los procesos de ejecución (RDL 6/2023, de 19 de diciembre)”: </w:t>
      </w:r>
      <w:r w:rsidRPr="00D0064B">
        <w:rPr>
          <w:rFonts w:eastAsia="Times New Roman" w:cstheme="minorHAnsi"/>
          <w:i/>
          <w:iCs/>
          <w:sz w:val="20"/>
          <w:szCs w:val="20"/>
          <w:lang w:eastAsia="es-ES"/>
        </w:rPr>
        <w:t>Proceso civil: cuaderno jurídico</w:t>
      </w:r>
      <w:r w:rsidRPr="00D0064B">
        <w:rPr>
          <w:rFonts w:eastAsia="Times New Roman" w:cstheme="minorHAnsi"/>
          <w:sz w:val="20"/>
          <w:szCs w:val="20"/>
          <w:lang w:eastAsia="es-ES"/>
        </w:rPr>
        <w:t>, Nº. 156, 2024, págs. 11-21.</w:t>
      </w:r>
    </w:p>
    <w:p w14:paraId="137CA67C"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5F3D8A48"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sz w:val="20"/>
          <w:szCs w:val="20"/>
          <w:lang w:eastAsia="es-ES"/>
        </w:rPr>
        <w:t xml:space="preserve">Agüero Ortiz, Alicia. “II Estadísticas de las TAE y precios medios aplicados a los micropréstamos (2024)”. </w:t>
      </w:r>
      <w:r w:rsidRPr="00D0064B">
        <w:rPr>
          <w:rFonts w:eastAsia="Times New Roman" w:cstheme="minorHAnsi"/>
          <w:i/>
          <w:iCs/>
          <w:sz w:val="20"/>
          <w:szCs w:val="20"/>
          <w:lang w:eastAsia="es-ES"/>
        </w:rPr>
        <w:t>Revista CESCO de Derecho de Consumo</w:t>
      </w:r>
      <w:r w:rsidRPr="00D0064B">
        <w:rPr>
          <w:rFonts w:eastAsia="Times New Roman" w:cstheme="minorHAnsi"/>
          <w:sz w:val="20"/>
          <w:szCs w:val="20"/>
          <w:lang w:eastAsia="es-ES"/>
        </w:rPr>
        <w:t>, Nº. 52, 2024, págs. 68-115.</w:t>
      </w:r>
    </w:p>
    <w:p w14:paraId="300B95D9"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56EEDA86"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bCs/>
          <w:sz w:val="20"/>
          <w:szCs w:val="20"/>
          <w:lang w:eastAsia="es-ES"/>
        </w:rPr>
        <w:t>Albiez Dohrmann, Klaus Jochen</w:t>
      </w:r>
      <w:r w:rsidRPr="00D0064B">
        <w:rPr>
          <w:rFonts w:eastAsia="Times New Roman" w:cstheme="minorHAnsi"/>
          <w:sz w:val="20"/>
          <w:szCs w:val="20"/>
          <w:lang w:eastAsia="es-ES"/>
        </w:rPr>
        <w:t xml:space="preserve">; </w:t>
      </w:r>
      <w:r w:rsidRPr="00D0064B">
        <w:rPr>
          <w:rFonts w:eastAsia="Times New Roman" w:cstheme="minorHAnsi"/>
          <w:bCs/>
          <w:sz w:val="20"/>
          <w:szCs w:val="20"/>
          <w:lang w:eastAsia="es-ES"/>
        </w:rPr>
        <w:t>Castillo Parrilla, José Antonio.</w:t>
      </w:r>
      <w:r w:rsidRPr="00D0064B">
        <w:rPr>
          <w:rFonts w:eastAsia="Times New Roman" w:cstheme="minorHAnsi"/>
          <w:sz w:val="20"/>
          <w:szCs w:val="20"/>
          <w:lang w:eastAsia="es-ES"/>
        </w:rPr>
        <w:t xml:space="preserve"> “Medidas para el cumplimiento del Reglamento (UE) 2019/1150 y libre prestación de servicios de la sociedad de la información”: </w:t>
      </w:r>
      <w:r w:rsidRPr="00D0064B">
        <w:rPr>
          <w:rFonts w:eastAsia="Times New Roman" w:cstheme="minorHAnsi"/>
          <w:i/>
          <w:iCs/>
          <w:sz w:val="20"/>
          <w:szCs w:val="20"/>
          <w:lang w:eastAsia="es-ES"/>
        </w:rPr>
        <w:t>La Ley Unión Europea</w:t>
      </w:r>
      <w:r w:rsidRPr="00D0064B">
        <w:rPr>
          <w:rFonts w:eastAsia="Times New Roman" w:cstheme="minorHAnsi"/>
          <w:sz w:val="20"/>
          <w:szCs w:val="20"/>
          <w:lang w:eastAsia="es-ES"/>
        </w:rPr>
        <w:t>, Nº. 128, 2024.</w:t>
      </w:r>
    </w:p>
    <w:p w14:paraId="47808584"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244235E0" w14:textId="77777777" w:rsidR="00D0064B" w:rsidRDefault="00D0064B" w:rsidP="00D0064B">
      <w:pPr>
        <w:pStyle w:val="Prrafodelista"/>
        <w:numPr>
          <w:ilvl w:val="0"/>
          <w:numId w:val="17"/>
        </w:numPr>
        <w:spacing w:after="0" w:line="240" w:lineRule="auto"/>
        <w:ind w:left="360"/>
        <w:jc w:val="both"/>
        <w:rPr>
          <w:rFonts w:cstheme="minorHAnsi"/>
          <w:sz w:val="20"/>
          <w:szCs w:val="20"/>
        </w:rPr>
      </w:pPr>
      <w:r w:rsidRPr="00D0064B">
        <w:rPr>
          <w:rFonts w:cstheme="minorHAnsi"/>
          <w:sz w:val="20"/>
          <w:szCs w:val="20"/>
        </w:rPr>
        <w:t xml:space="preserve">Álvarez Suárez, Laura. “Los consumidores frente al phishing: Mecanismos para paliar las consecuencias de una estafa digital”. </w:t>
      </w:r>
      <w:r w:rsidRPr="00D0064B">
        <w:rPr>
          <w:rFonts w:cstheme="minorHAnsi"/>
          <w:i/>
          <w:sz w:val="20"/>
          <w:szCs w:val="20"/>
        </w:rPr>
        <w:t>Revista Jurídica sobre Consumidores y Usuarios</w:t>
      </w:r>
      <w:r w:rsidRPr="00D0064B">
        <w:rPr>
          <w:rFonts w:cstheme="minorHAnsi"/>
          <w:sz w:val="20"/>
          <w:szCs w:val="20"/>
        </w:rPr>
        <w:t xml:space="preserve">, Nº 16. Phishing y ciberestafas, Noviembre 2024. </w:t>
      </w:r>
    </w:p>
    <w:p w14:paraId="288EF112" w14:textId="77777777" w:rsidR="00D0064B" w:rsidRPr="00D0064B" w:rsidRDefault="00D0064B" w:rsidP="00D0064B">
      <w:pPr>
        <w:pStyle w:val="Prrafodelista"/>
        <w:spacing w:after="0" w:line="240" w:lineRule="auto"/>
        <w:ind w:left="360"/>
        <w:jc w:val="both"/>
        <w:rPr>
          <w:rFonts w:cstheme="minorHAnsi"/>
          <w:sz w:val="20"/>
          <w:szCs w:val="20"/>
        </w:rPr>
      </w:pPr>
    </w:p>
    <w:p w14:paraId="1B199B22"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sz w:val="20"/>
          <w:szCs w:val="20"/>
          <w:lang w:eastAsia="es-ES"/>
        </w:rPr>
        <w:t xml:space="preserve">Alvear Téllez, Julio. “El ejercicio ilegítimo de la libertad de empresa en las cláusulas abusivas: una mirada a la jurisprudencia del consumidor”. </w:t>
      </w:r>
      <w:r w:rsidRPr="00D0064B">
        <w:rPr>
          <w:rFonts w:eastAsia="Times New Roman" w:cstheme="minorHAnsi"/>
          <w:i/>
          <w:iCs/>
          <w:sz w:val="20"/>
          <w:szCs w:val="20"/>
          <w:lang w:eastAsia="es-ES"/>
        </w:rPr>
        <w:t>Revista de Derecho</w:t>
      </w:r>
      <w:r w:rsidRPr="00D0064B">
        <w:rPr>
          <w:rFonts w:eastAsia="Times New Roman" w:cstheme="minorHAnsi"/>
          <w:sz w:val="20"/>
          <w:szCs w:val="20"/>
          <w:lang w:eastAsia="es-ES"/>
        </w:rPr>
        <w:t>, Vol. 37, Nº. 1, 2024, págs. 31-52.</w:t>
      </w:r>
    </w:p>
    <w:p w14:paraId="0EC30A65"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40612924"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sz w:val="20"/>
          <w:szCs w:val="20"/>
          <w:lang w:eastAsia="es-ES"/>
        </w:rPr>
        <w:t xml:space="preserve">Argelich Comelles, Cristina. “Del Reglamento 2024/1028 sobre recogida e intercambio de datos de los servicios de alquiler de alojamientos de corta duración al Real Decreto sobre la ‘Ventanilla Única Digital de Arrendamientos’ de uso turístico”. </w:t>
      </w:r>
      <w:r w:rsidRPr="00D0064B">
        <w:rPr>
          <w:rFonts w:eastAsia="Times New Roman" w:cstheme="minorHAnsi"/>
          <w:i/>
          <w:iCs/>
          <w:sz w:val="20"/>
          <w:szCs w:val="20"/>
          <w:lang w:eastAsia="es-ES"/>
        </w:rPr>
        <w:t>Diario La Ley</w:t>
      </w:r>
      <w:r w:rsidRPr="00D0064B">
        <w:rPr>
          <w:rFonts w:eastAsia="Times New Roman" w:cstheme="minorHAnsi"/>
          <w:sz w:val="20"/>
          <w:szCs w:val="20"/>
          <w:lang w:eastAsia="es-ES"/>
        </w:rPr>
        <w:t>, Nº. 10607, 2024.</w:t>
      </w:r>
    </w:p>
    <w:p w14:paraId="6B7289C6"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6A740FFC"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sz w:val="20"/>
          <w:szCs w:val="20"/>
          <w:lang w:eastAsia="es-ES"/>
        </w:rPr>
        <w:t xml:space="preserve">Bastante Granell, Víctor. </w:t>
      </w:r>
      <w:r w:rsidRPr="00D0064B">
        <w:rPr>
          <w:rFonts w:eastAsia="Times New Roman" w:cstheme="minorHAnsi"/>
          <w:i/>
          <w:sz w:val="20"/>
          <w:szCs w:val="20"/>
          <w:lang w:eastAsia="es-ES"/>
        </w:rPr>
        <w:t>El seguro de alquiler de vivienda para arrendadores</w:t>
      </w:r>
      <w:r w:rsidRPr="00D0064B">
        <w:rPr>
          <w:rFonts w:eastAsia="Times New Roman" w:cstheme="minorHAnsi"/>
          <w:sz w:val="20"/>
          <w:szCs w:val="20"/>
          <w:lang w:eastAsia="es-ES"/>
        </w:rPr>
        <w:t xml:space="preserve">. Aranzadi, diciembre 2024. </w:t>
      </w:r>
    </w:p>
    <w:p w14:paraId="241C5CE7"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01962273"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sz w:val="20"/>
          <w:szCs w:val="20"/>
          <w:lang w:eastAsia="es-ES"/>
        </w:rPr>
        <w:t xml:space="preserve">Carrasco Perera, Ángel Francisco. “Repensar la prescripción extintiva de la restitución en virtud de una cláusula nula de repercusión de gastos hipotecarios. (I) Los plazos”. </w:t>
      </w:r>
      <w:r w:rsidRPr="00D0064B">
        <w:rPr>
          <w:rFonts w:eastAsia="Times New Roman" w:cstheme="minorHAnsi"/>
          <w:i/>
          <w:iCs/>
          <w:sz w:val="20"/>
          <w:szCs w:val="20"/>
          <w:lang w:eastAsia="es-ES"/>
        </w:rPr>
        <w:t>Revista CESCO de Derecho de Consumo</w:t>
      </w:r>
      <w:r w:rsidRPr="00D0064B">
        <w:rPr>
          <w:rFonts w:eastAsia="Times New Roman" w:cstheme="minorHAnsi"/>
          <w:sz w:val="20"/>
          <w:szCs w:val="20"/>
          <w:lang w:eastAsia="es-ES"/>
        </w:rPr>
        <w:t>, Nº. 51, 2024, págs. 16-43.</w:t>
      </w:r>
    </w:p>
    <w:p w14:paraId="6F24DA04"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77B43877"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sz w:val="20"/>
          <w:szCs w:val="20"/>
          <w:lang w:eastAsia="es-ES"/>
        </w:rPr>
        <w:t xml:space="preserve">Colmenero Guerra, José Antonio. “Reflexiones sobre el nuevo Reglamento que regula el sistema arbitral de consumo (RD 713/2024, de 23 de julio)”. </w:t>
      </w:r>
      <w:r w:rsidRPr="00D0064B">
        <w:rPr>
          <w:rFonts w:eastAsia="Times New Roman" w:cstheme="minorHAnsi"/>
          <w:i/>
          <w:iCs/>
          <w:sz w:val="20"/>
          <w:szCs w:val="20"/>
          <w:lang w:eastAsia="es-ES"/>
        </w:rPr>
        <w:t>La Ley. Mediación y arbitraje</w:t>
      </w:r>
      <w:r w:rsidRPr="00D0064B">
        <w:rPr>
          <w:rFonts w:eastAsia="Times New Roman" w:cstheme="minorHAnsi"/>
          <w:sz w:val="20"/>
          <w:szCs w:val="20"/>
          <w:lang w:eastAsia="es-ES"/>
        </w:rPr>
        <w:t>, Nº. 20, 2024.</w:t>
      </w:r>
    </w:p>
    <w:p w14:paraId="73CCABF5"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57E73141" w14:textId="77777777" w:rsidR="00D0064B" w:rsidRDefault="00D0064B" w:rsidP="00D0064B">
      <w:pPr>
        <w:pStyle w:val="Prrafodelista"/>
        <w:numPr>
          <w:ilvl w:val="0"/>
          <w:numId w:val="17"/>
        </w:numPr>
        <w:spacing w:after="0" w:line="240" w:lineRule="auto"/>
        <w:ind w:left="360"/>
        <w:jc w:val="both"/>
        <w:rPr>
          <w:rFonts w:cstheme="minorHAnsi"/>
          <w:sz w:val="20"/>
          <w:szCs w:val="20"/>
        </w:rPr>
      </w:pPr>
      <w:r w:rsidRPr="00D0064B">
        <w:rPr>
          <w:rFonts w:cstheme="minorHAnsi"/>
          <w:sz w:val="20"/>
          <w:szCs w:val="20"/>
        </w:rPr>
        <w:t>De Prada Rodríguez-Carrascal, Miguel. “Phishing bancario. Responsabilidad civil de los proveedores de servicios de pago. Análisis de riesgo. Responsabilidad objetiva. Negligencia grave. Prohibición de regreso”. Revista Jurídica sobre Consumidores y Usuarios, Nº. 16. Phishing y ciberestafas, Noviembre 2024.</w:t>
      </w:r>
    </w:p>
    <w:p w14:paraId="0DEDD469" w14:textId="77777777" w:rsidR="00D0064B" w:rsidRPr="00D0064B" w:rsidRDefault="00D0064B" w:rsidP="00D0064B">
      <w:pPr>
        <w:pStyle w:val="Prrafodelista"/>
        <w:spacing w:after="0" w:line="240" w:lineRule="auto"/>
        <w:ind w:left="360"/>
        <w:jc w:val="both"/>
        <w:rPr>
          <w:rFonts w:cstheme="minorHAnsi"/>
          <w:sz w:val="20"/>
          <w:szCs w:val="20"/>
        </w:rPr>
      </w:pPr>
    </w:p>
    <w:p w14:paraId="5B5971F0"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bCs/>
          <w:sz w:val="20"/>
          <w:szCs w:val="20"/>
          <w:lang w:eastAsia="es-ES"/>
        </w:rPr>
        <w:t>Diéguez Aguilera, Laura.</w:t>
      </w:r>
      <w:r w:rsidRPr="00D0064B">
        <w:rPr>
          <w:rFonts w:eastAsia="Times New Roman" w:cstheme="minorHAnsi"/>
          <w:sz w:val="20"/>
          <w:szCs w:val="20"/>
          <w:lang w:eastAsia="es-ES"/>
        </w:rPr>
        <w:t xml:space="preserve"> “Análisis jurisprudencial del derecho de desistimiento del consumidor en los contratos celebrados a distancia y fuera de los establecimientos mercantiles”: </w:t>
      </w:r>
      <w:r w:rsidRPr="00D0064B">
        <w:rPr>
          <w:rFonts w:eastAsia="Times New Roman" w:cstheme="minorHAnsi"/>
          <w:i/>
          <w:iCs/>
          <w:sz w:val="20"/>
          <w:szCs w:val="20"/>
          <w:lang w:eastAsia="es-ES"/>
        </w:rPr>
        <w:t>Revista de derecho de la competencia y la distribución</w:t>
      </w:r>
      <w:r w:rsidRPr="00D0064B">
        <w:rPr>
          <w:rFonts w:eastAsia="Times New Roman" w:cstheme="minorHAnsi"/>
          <w:sz w:val="20"/>
          <w:szCs w:val="20"/>
          <w:lang w:eastAsia="es-ES"/>
        </w:rPr>
        <w:t>, Nº. 34, 2024.</w:t>
      </w:r>
    </w:p>
    <w:p w14:paraId="77FA841A"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1174F089" w14:textId="77777777" w:rsidR="00D0064B" w:rsidRDefault="00D0064B" w:rsidP="00D0064B">
      <w:pPr>
        <w:pStyle w:val="Prrafodelista"/>
        <w:numPr>
          <w:ilvl w:val="0"/>
          <w:numId w:val="17"/>
        </w:numPr>
        <w:spacing w:after="0" w:line="240" w:lineRule="auto"/>
        <w:ind w:left="360"/>
        <w:jc w:val="both"/>
        <w:rPr>
          <w:rFonts w:cstheme="minorHAnsi"/>
          <w:sz w:val="20"/>
          <w:szCs w:val="20"/>
        </w:rPr>
      </w:pPr>
      <w:r w:rsidRPr="00D0064B">
        <w:rPr>
          <w:rFonts w:cstheme="minorHAnsi"/>
          <w:sz w:val="20"/>
          <w:szCs w:val="20"/>
        </w:rPr>
        <w:t xml:space="preserve">Fernández Escudero, Vanesa. “Combatir el ciberfraude, un reto para los consumidores”. </w:t>
      </w:r>
      <w:r w:rsidRPr="00D0064B">
        <w:rPr>
          <w:rFonts w:cstheme="minorHAnsi"/>
          <w:i/>
          <w:sz w:val="20"/>
          <w:szCs w:val="20"/>
        </w:rPr>
        <w:t>Revista Jurídica sobre Consumidores y Usuarios</w:t>
      </w:r>
      <w:r w:rsidRPr="00D0064B">
        <w:rPr>
          <w:rFonts w:cstheme="minorHAnsi"/>
          <w:sz w:val="20"/>
          <w:szCs w:val="20"/>
        </w:rPr>
        <w:t xml:space="preserve">, Nº 16. Phishing y ciberestafas, Noviembre 2024, pp. 41-51. </w:t>
      </w:r>
    </w:p>
    <w:p w14:paraId="60AACFFB" w14:textId="77777777" w:rsidR="00D0064B" w:rsidRPr="00D0064B" w:rsidRDefault="00D0064B" w:rsidP="00D0064B">
      <w:pPr>
        <w:pStyle w:val="Prrafodelista"/>
        <w:spacing w:after="0" w:line="240" w:lineRule="auto"/>
        <w:ind w:left="360"/>
        <w:jc w:val="both"/>
        <w:rPr>
          <w:rFonts w:cstheme="minorHAnsi"/>
          <w:sz w:val="20"/>
          <w:szCs w:val="20"/>
        </w:rPr>
      </w:pPr>
    </w:p>
    <w:p w14:paraId="4E3C8445"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bCs/>
          <w:sz w:val="20"/>
          <w:szCs w:val="20"/>
          <w:lang w:eastAsia="es-ES"/>
        </w:rPr>
        <w:lastRenderedPageBreak/>
        <w:t>Fernández García de la Yedra, Ainhoa.</w:t>
      </w:r>
      <w:r w:rsidRPr="00D0064B">
        <w:rPr>
          <w:rFonts w:eastAsia="Times New Roman" w:cstheme="minorHAnsi"/>
          <w:sz w:val="20"/>
          <w:szCs w:val="20"/>
          <w:lang w:eastAsia="es-ES"/>
        </w:rPr>
        <w:t xml:space="preserve"> “Reglamento (UE) 2024/1028 del Parlamento Europeo y del Consejo, de 11 de abril de 2024, sobre la recogida y el intercambio de datos relativos a los servicios de alquiler de alojamientos de corta duración. ¿Cómo afecta a las obligaciones vigentes?”: </w:t>
      </w:r>
      <w:r w:rsidRPr="00D0064B">
        <w:rPr>
          <w:rFonts w:eastAsia="Times New Roman" w:cstheme="minorHAnsi"/>
          <w:i/>
          <w:iCs/>
          <w:sz w:val="20"/>
          <w:szCs w:val="20"/>
          <w:lang w:eastAsia="es-ES"/>
        </w:rPr>
        <w:t>Revista de derecho de la competencia y la distribución</w:t>
      </w:r>
      <w:r w:rsidRPr="00D0064B">
        <w:rPr>
          <w:rFonts w:eastAsia="Times New Roman" w:cstheme="minorHAnsi"/>
          <w:sz w:val="20"/>
          <w:szCs w:val="20"/>
          <w:lang w:eastAsia="es-ES"/>
        </w:rPr>
        <w:t>, Nº. 34, 2024.</w:t>
      </w:r>
    </w:p>
    <w:p w14:paraId="13F9B7D0"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02AB365E"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sz w:val="20"/>
          <w:szCs w:val="20"/>
          <w:lang w:eastAsia="es-ES"/>
        </w:rPr>
        <w:t xml:space="preserve">Fierro Rodríguez, Diego. “Análisis de los daños derivados de infracciones administrativas del Reglamento General de Protección de Datos a la luz del asunto C-590/22”. </w:t>
      </w:r>
      <w:r w:rsidRPr="00D0064B">
        <w:rPr>
          <w:rFonts w:eastAsia="Times New Roman" w:cstheme="minorHAnsi"/>
          <w:i/>
          <w:iCs/>
          <w:sz w:val="20"/>
          <w:szCs w:val="20"/>
          <w:lang w:eastAsia="es-ES"/>
        </w:rPr>
        <w:t>Práctica derecho daños: Revista de Responsabilidad Civil y Seguros</w:t>
      </w:r>
      <w:r w:rsidRPr="00D0064B">
        <w:rPr>
          <w:rFonts w:eastAsia="Times New Roman" w:cstheme="minorHAnsi"/>
          <w:sz w:val="20"/>
          <w:szCs w:val="20"/>
          <w:lang w:eastAsia="es-ES"/>
        </w:rPr>
        <w:t>, Nº. 160, 2024, pág. 3.</w:t>
      </w:r>
    </w:p>
    <w:p w14:paraId="6E0D620E"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7D516BD1"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bCs/>
          <w:sz w:val="20"/>
          <w:szCs w:val="20"/>
          <w:lang w:eastAsia="es-ES"/>
        </w:rPr>
        <w:t>Fierro Rodríguez, Diego.</w:t>
      </w:r>
      <w:r w:rsidRPr="00D0064B">
        <w:rPr>
          <w:rFonts w:eastAsia="Times New Roman" w:cstheme="minorHAnsi"/>
          <w:sz w:val="20"/>
          <w:szCs w:val="20"/>
          <w:lang w:eastAsia="es-ES"/>
        </w:rPr>
        <w:t xml:space="preserve"> “Unos definitivos primeros pasos para la creación de la Autoridad Administrativa Independiente de Defensa del Cliente Financiero”: </w:t>
      </w:r>
      <w:r w:rsidRPr="00D0064B">
        <w:rPr>
          <w:rFonts w:eastAsia="Times New Roman" w:cstheme="minorHAnsi"/>
          <w:i/>
          <w:iCs/>
          <w:sz w:val="20"/>
          <w:szCs w:val="20"/>
          <w:lang w:eastAsia="es-ES"/>
        </w:rPr>
        <w:t>Diario La Ley</w:t>
      </w:r>
      <w:r w:rsidRPr="00D0064B">
        <w:rPr>
          <w:rFonts w:eastAsia="Times New Roman" w:cstheme="minorHAnsi"/>
          <w:sz w:val="20"/>
          <w:szCs w:val="20"/>
          <w:lang w:eastAsia="es-ES"/>
        </w:rPr>
        <w:t>, Nº. 10570, 2024.</w:t>
      </w:r>
    </w:p>
    <w:p w14:paraId="10ADE31B"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37A22F8F"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bCs/>
          <w:sz w:val="20"/>
          <w:szCs w:val="20"/>
          <w:lang w:eastAsia="es-ES"/>
        </w:rPr>
        <w:t>Fuentes-Lojo Rius, Alejandro.</w:t>
      </w:r>
      <w:r w:rsidRPr="00D0064B">
        <w:rPr>
          <w:rFonts w:eastAsia="Times New Roman" w:cstheme="minorHAnsi"/>
          <w:sz w:val="20"/>
          <w:szCs w:val="20"/>
          <w:lang w:eastAsia="es-ES"/>
        </w:rPr>
        <w:t xml:space="preserve"> “Interés casacional notorio en las sentencias que están aplicando la cláusula </w:t>
      </w:r>
      <w:r w:rsidRPr="00D0064B">
        <w:rPr>
          <w:rFonts w:eastAsia="Times New Roman" w:cstheme="minorHAnsi"/>
          <w:i/>
          <w:iCs/>
          <w:sz w:val="20"/>
          <w:szCs w:val="20"/>
          <w:lang w:eastAsia="es-ES"/>
        </w:rPr>
        <w:t>rebus sic stantibus</w:t>
      </w:r>
      <w:r w:rsidRPr="00D0064B">
        <w:rPr>
          <w:rFonts w:eastAsia="Times New Roman" w:cstheme="minorHAnsi"/>
          <w:sz w:val="20"/>
          <w:szCs w:val="20"/>
          <w:lang w:eastAsia="es-ES"/>
        </w:rPr>
        <w:t xml:space="preserve"> con motivo de la pandemia”: </w:t>
      </w:r>
      <w:r w:rsidRPr="00D0064B">
        <w:rPr>
          <w:rFonts w:eastAsia="Times New Roman" w:cstheme="minorHAnsi"/>
          <w:i/>
          <w:iCs/>
          <w:sz w:val="20"/>
          <w:szCs w:val="20"/>
          <w:lang w:eastAsia="es-ES"/>
        </w:rPr>
        <w:t>Diario La Ley</w:t>
      </w:r>
      <w:r w:rsidRPr="00D0064B">
        <w:rPr>
          <w:rFonts w:eastAsia="Times New Roman" w:cstheme="minorHAnsi"/>
          <w:sz w:val="20"/>
          <w:szCs w:val="20"/>
          <w:lang w:eastAsia="es-ES"/>
        </w:rPr>
        <w:t>, Nº. 10569, 2024.</w:t>
      </w:r>
    </w:p>
    <w:p w14:paraId="12779578"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64074A74"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bCs/>
          <w:sz w:val="20"/>
          <w:szCs w:val="20"/>
          <w:lang w:eastAsia="es-ES"/>
        </w:rPr>
        <w:t>Galán García, Sara.</w:t>
      </w:r>
      <w:r w:rsidRPr="00D0064B">
        <w:rPr>
          <w:rFonts w:eastAsia="Times New Roman" w:cstheme="minorHAnsi"/>
          <w:sz w:val="20"/>
          <w:szCs w:val="20"/>
          <w:lang w:eastAsia="es-ES"/>
        </w:rPr>
        <w:t xml:space="preserve"> “El RGPD en la práctica. Experiencias de las Autoridades de Protección de Datos”: </w:t>
      </w:r>
      <w:r w:rsidRPr="00D0064B">
        <w:rPr>
          <w:rFonts w:eastAsia="Times New Roman" w:cstheme="minorHAnsi"/>
          <w:i/>
          <w:iCs/>
          <w:sz w:val="20"/>
          <w:szCs w:val="20"/>
          <w:lang w:eastAsia="es-ES"/>
        </w:rPr>
        <w:t>La Ley Privacidad</w:t>
      </w:r>
      <w:r w:rsidRPr="00D0064B">
        <w:rPr>
          <w:rFonts w:eastAsia="Times New Roman" w:cstheme="minorHAnsi"/>
          <w:sz w:val="20"/>
          <w:szCs w:val="20"/>
          <w:lang w:eastAsia="es-ES"/>
        </w:rPr>
        <w:t>, Nº. 21, 2024.</w:t>
      </w:r>
    </w:p>
    <w:p w14:paraId="79EE335C"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06C02540"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bCs/>
          <w:sz w:val="20"/>
          <w:szCs w:val="20"/>
          <w:lang w:eastAsia="es-ES"/>
        </w:rPr>
        <w:t>García Jiménez, Ana Julia.</w:t>
      </w:r>
      <w:r w:rsidRPr="00D0064B">
        <w:rPr>
          <w:rFonts w:eastAsia="Times New Roman" w:cstheme="minorHAnsi"/>
          <w:sz w:val="20"/>
          <w:szCs w:val="20"/>
          <w:lang w:eastAsia="es-ES"/>
        </w:rPr>
        <w:t xml:space="preserve"> “Hipotecas que flotan: Una proposición de </w:t>
      </w:r>
      <w:r w:rsidRPr="00D0064B">
        <w:rPr>
          <w:rFonts w:eastAsia="Times New Roman" w:cstheme="minorHAnsi"/>
          <w:i/>
          <w:iCs/>
          <w:sz w:val="20"/>
          <w:szCs w:val="20"/>
          <w:lang w:eastAsia="es-ES"/>
        </w:rPr>
        <w:t>lege ferenda</w:t>
      </w:r>
      <w:r w:rsidRPr="00D0064B">
        <w:rPr>
          <w:rFonts w:eastAsia="Times New Roman" w:cstheme="minorHAnsi"/>
          <w:sz w:val="20"/>
          <w:szCs w:val="20"/>
          <w:lang w:eastAsia="es-ES"/>
        </w:rPr>
        <w:t xml:space="preserve">”: </w:t>
      </w:r>
      <w:r w:rsidRPr="00D0064B">
        <w:rPr>
          <w:rFonts w:eastAsia="Times New Roman" w:cstheme="minorHAnsi"/>
          <w:i/>
          <w:iCs/>
          <w:sz w:val="20"/>
          <w:szCs w:val="20"/>
          <w:lang w:eastAsia="es-ES"/>
        </w:rPr>
        <w:t>Diario La Ley</w:t>
      </w:r>
      <w:r w:rsidRPr="00D0064B">
        <w:rPr>
          <w:rFonts w:eastAsia="Times New Roman" w:cstheme="minorHAnsi"/>
          <w:sz w:val="20"/>
          <w:szCs w:val="20"/>
          <w:lang w:eastAsia="es-ES"/>
        </w:rPr>
        <w:t>, Nº. 10574, 2024.</w:t>
      </w:r>
    </w:p>
    <w:p w14:paraId="4235453C"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1461CB50"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bCs/>
          <w:sz w:val="20"/>
          <w:szCs w:val="20"/>
          <w:lang w:eastAsia="es-ES"/>
        </w:rPr>
        <w:t>Gavalec, M.</w:t>
      </w:r>
      <w:r w:rsidRPr="00D0064B">
        <w:rPr>
          <w:rFonts w:eastAsia="Times New Roman" w:cstheme="minorHAnsi"/>
          <w:sz w:val="20"/>
          <w:szCs w:val="20"/>
          <w:lang w:eastAsia="es-ES"/>
        </w:rPr>
        <w:t xml:space="preserve"> “Exención de la compensación a los pasajeros en caso de gran retraso o de cancelación de un vuelo por circunstancias extraordinarias: TJ, Sala Octava, S 13 junio 2024. Asunto C-385/23: Finnair Oyj”: </w:t>
      </w:r>
      <w:r w:rsidRPr="00D0064B">
        <w:rPr>
          <w:rFonts w:eastAsia="Times New Roman" w:cstheme="minorHAnsi"/>
          <w:i/>
          <w:iCs/>
          <w:sz w:val="20"/>
          <w:szCs w:val="20"/>
          <w:lang w:eastAsia="es-ES"/>
        </w:rPr>
        <w:t>La Ley Unión Europea</w:t>
      </w:r>
      <w:r w:rsidRPr="00D0064B">
        <w:rPr>
          <w:rFonts w:eastAsia="Times New Roman" w:cstheme="minorHAnsi"/>
          <w:sz w:val="20"/>
          <w:szCs w:val="20"/>
          <w:lang w:eastAsia="es-ES"/>
        </w:rPr>
        <w:t>, Nº. 128, 2024.</w:t>
      </w:r>
    </w:p>
    <w:p w14:paraId="10ADEF88"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06C18559"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sz w:val="20"/>
          <w:szCs w:val="20"/>
          <w:lang w:eastAsia="es-ES"/>
        </w:rPr>
        <w:t xml:space="preserve">Gómez Martínez, Carlos. “Els interessos usuraris en els crèdits «revolving». Sentència de la Sala Civil del Tribunal Suprem núm. 442/2023, de 15 de febrer (ponent: Sr. Sancho Gargallo)”. </w:t>
      </w:r>
      <w:r w:rsidRPr="00D0064B">
        <w:rPr>
          <w:rFonts w:eastAsia="Times New Roman" w:cstheme="minorHAnsi"/>
          <w:i/>
          <w:iCs/>
          <w:sz w:val="20"/>
          <w:szCs w:val="20"/>
          <w:lang w:eastAsia="es-ES"/>
        </w:rPr>
        <w:t>RJIB. Revista jurídica de les Illes Balears</w:t>
      </w:r>
      <w:r w:rsidRPr="00D0064B">
        <w:rPr>
          <w:rFonts w:eastAsia="Times New Roman" w:cstheme="minorHAnsi"/>
          <w:sz w:val="20"/>
          <w:szCs w:val="20"/>
          <w:lang w:eastAsia="es-ES"/>
        </w:rPr>
        <w:t>, Nº. 24, 2023.</w:t>
      </w:r>
    </w:p>
    <w:p w14:paraId="7BCAFAFC"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49254D2C"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sz w:val="20"/>
          <w:szCs w:val="20"/>
          <w:lang w:eastAsia="es-ES"/>
        </w:rPr>
        <w:t xml:space="preserve">González Carrasco, María Carmen. “Hitos relevantes en la jurisprudencia y la doctrina registral sobre viviendas de uso turístico y alquileres vacacionales”. </w:t>
      </w:r>
      <w:r w:rsidRPr="00D0064B">
        <w:rPr>
          <w:rFonts w:eastAsia="Times New Roman" w:cstheme="minorHAnsi"/>
          <w:i/>
          <w:iCs/>
          <w:sz w:val="20"/>
          <w:szCs w:val="20"/>
          <w:lang w:eastAsia="es-ES"/>
        </w:rPr>
        <w:t>Revista CESCO de Derecho de Consumo</w:t>
      </w:r>
      <w:r w:rsidRPr="00D0064B">
        <w:rPr>
          <w:rFonts w:eastAsia="Times New Roman" w:cstheme="minorHAnsi"/>
          <w:sz w:val="20"/>
          <w:szCs w:val="20"/>
          <w:lang w:eastAsia="es-ES"/>
        </w:rPr>
        <w:t>, Nº. 51, 2024, págs. 89-102.</w:t>
      </w:r>
    </w:p>
    <w:p w14:paraId="350B99CC"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370E6069"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sz w:val="20"/>
          <w:szCs w:val="20"/>
          <w:lang w:eastAsia="es-ES"/>
        </w:rPr>
        <w:t xml:space="preserve">Goñi Rodríguez de Almeida, M.ª. “La ejecución hipotecaria de la vivienda habitual”. </w:t>
      </w:r>
      <w:r w:rsidRPr="00D0064B">
        <w:rPr>
          <w:rFonts w:eastAsia="Times New Roman" w:cstheme="minorHAnsi"/>
          <w:i/>
          <w:iCs/>
          <w:sz w:val="20"/>
          <w:szCs w:val="20"/>
          <w:lang w:eastAsia="es-ES"/>
        </w:rPr>
        <w:t>Revista Crítica de Derecho Inmobiliario</w:t>
      </w:r>
      <w:r w:rsidRPr="00D0064B">
        <w:rPr>
          <w:rFonts w:eastAsia="Times New Roman" w:cstheme="minorHAnsi"/>
          <w:sz w:val="20"/>
          <w:szCs w:val="20"/>
          <w:lang w:eastAsia="es-ES"/>
        </w:rPr>
        <w:t>, Año nº 100, Nº. 805, 2024, págs. 2809-2824.</w:t>
      </w:r>
    </w:p>
    <w:p w14:paraId="1917F184"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3D95644D"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bCs/>
          <w:sz w:val="20"/>
          <w:szCs w:val="20"/>
          <w:lang w:eastAsia="es-ES"/>
        </w:rPr>
        <w:t>Grimalt Servera, Pedro y Andreu Martínez, M.ª Belén.</w:t>
      </w:r>
      <w:r w:rsidRPr="00D0064B">
        <w:rPr>
          <w:rFonts w:eastAsia="Times New Roman" w:cstheme="minorHAnsi"/>
          <w:sz w:val="20"/>
          <w:szCs w:val="20"/>
          <w:lang w:eastAsia="es-ES"/>
        </w:rPr>
        <w:t xml:space="preserve"> “Anteproyecto de Ley Orgánica para la protección de las personas menores de edad en los entornos digitales: aspectos civiles y de protección de datos”: </w:t>
      </w:r>
      <w:r w:rsidRPr="00D0064B">
        <w:rPr>
          <w:rFonts w:eastAsia="Times New Roman" w:cstheme="minorHAnsi"/>
          <w:i/>
          <w:iCs/>
          <w:sz w:val="20"/>
          <w:szCs w:val="20"/>
          <w:lang w:eastAsia="es-ES"/>
        </w:rPr>
        <w:t>La Ley Privacidad</w:t>
      </w:r>
      <w:r w:rsidRPr="00D0064B">
        <w:rPr>
          <w:rFonts w:eastAsia="Times New Roman" w:cstheme="minorHAnsi"/>
          <w:sz w:val="20"/>
          <w:szCs w:val="20"/>
          <w:lang w:eastAsia="es-ES"/>
        </w:rPr>
        <w:t>, Nº. 21, 2024.</w:t>
      </w:r>
    </w:p>
    <w:p w14:paraId="46991697"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2735B4BE"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bCs/>
          <w:sz w:val="20"/>
          <w:szCs w:val="20"/>
          <w:lang w:eastAsia="es-ES"/>
        </w:rPr>
        <w:t>Guerra Pérez, Miguel.</w:t>
      </w:r>
      <w:r w:rsidRPr="00D0064B">
        <w:rPr>
          <w:rFonts w:eastAsia="Times New Roman" w:cstheme="minorHAnsi"/>
          <w:sz w:val="20"/>
          <w:szCs w:val="20"/>
          <w:lang w:eastAsia="es-ES"/>
        </w:rPr>
        <w:t xml:space="preserve"> “Monitorio: La reforma del control de abusividad por el RDL 6/2023, de 19 de diciembre”: </w:t>
      </w:r>
      <w:r w:rsidRPr="00D0064B">
        <w:rPr>
          <w:rFonts w:eastAsia="Times New Roman" w:cstheme="minorHAnsi"/>
          <w:i/>
          <w:iCs/>
          <w:sz w:val="20"/>
          <w:szCs w:val="20"/>
          <w:lang w:eastAsia="es-ES"/>
        </w:rPr>
        <w:t>Proceso civil: cuaderno jurídico</w:t>
      </w:r>
      <w:r w:rsidRPr="00D0064B">
        <w:rPr>
          <w:rFonts w:eastAsia="Times New Roman" w:cstheme="minorHAnsi"/>
          <w:sz w:val="20"/>
          <w:szCs w:val="20"/>
          <w:lang w:eastAsia="es-ES"/>
        </w:rPr>
        <w:t>, Nº. 156, 2024, págs. 27-32.</w:t>
      </w:r>
    </w:p>
    <w:p w14:paraId="7A047D30"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52639D89"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bCs/>
          <w:sz w:val="20"/>
          <w:szCs w:val="20"/>
          <w:lang w:eastAsia="es-ES"/>
        </w:rPr>
        <w:t>Gutiérrez Mayo, Escarlata.</w:t>
      </w:r>
      <w:r w:rsidRPr="00D0064B">
        <w:rPr>
          <w:rFonts w:eastAsia="Times New Roman" w:cstheme="minorHAnsi"/>
          <w:sz w:val="20"/>
          <w:szCs w:val="20"/>
          <w:lang w:eastAsia="es-ES"/>
        </w:rPr>
        <w:t xml:space="preserve"> “¿Puede Meta usar los datos personales de sus clientes para entrenar sus sistemas de IA?”: </w:t>
      </w:r>
      <w:r w:rsidRPr="00D0064B">
        <w:rPr>
          <w:rFonts w:eastAsia="Times New Roman" w:cstheme="minorHAnsi"/>
          <w:i/>
          <w:iCs/>
          <w:sz w:val="20"/>
          <w:szCs w:val="20"/>
          <w:lang w:eastAsia="es-ES"/>
        </w:rPr>
        <w:t>La Ley Privacidad</w:t>
      </w:r>
      <w:r w:rsidRPr="00D0064B">
        <w:rPr>
          <w:rFonts w:eastAsia="Times New Roman" w:cstheme="minorHAnsi"/>
          <w:sz w:val="20"/>
          <w:szCs w:val="20"/>
          <w:lang w:eastAsia="es-ES"/>
        </w:rPr>
        <w:t>, Nº. 21, 2024.</w:t>
      </w:r>
    </w:p>
    <w:p w14:paraId="19438E94"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529F79AB"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sz w:val="20"/>
          <w:szCs w:val="20"/>
          <w:lang w:eastAsia="es-ES"/>
        </w:rPr>
        <w:t xml:space="preserve">Jerez Delgado, Carmen. “Los MASC en el ámbito del derecho de consumo”. </w:t>
      </w:r>
      <w:r w:rsidRPr="00D0064B">
        <w:rPr>
          <w:rFonts w:eastAsia="Times New Roman" w:cstheme="minorHAnsi"/>
          <w:i/>
          <w:iCs/>
          <w:sz w:val="20"/>
          <w:szCs w:val="20"/>
          <w:lang w:eastAsia="es-ES"/>
        </w:rPr>
        <w:t>Diario La Ley</w:t>
      </w:r>
      <w:r w:rsidRPr="00D0064B">
        <w:rPr>
          <w:rFonts w:eastAsia="Times New Roman" w:cstheme="minorHAnsi"/>
          <w:sz w:val="20"/>
          <w:szCs w:val="20"/>
          <w:lang w:eastAsia="es-ES"/>
        </w:rPr>
        <w:t>, Nº. 10620, 2024.</w:t>
      </w:r>
    </w:p>
    <w:p w14:paraId="4FC18C38"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4B0B7A59"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bCs/>
          <w:sz w:val="20"/>
          <w:szCs w:val="20"/>
          <w:lang w:eastAsia="es-ES"/>
        </w:rPr>
        <w:t>Juan Gómez, Mateo C.</w:t>
      </w:r>
      <w:r w:rsidRPr="00D0064B">
        <w:rPr>
          <w:rFonts w:eastAsia="Times New Roman" w:cstheme="minorHAnsi"/>
          <w:sz w:val="20"/>
          <w:szCs w:val="20"/>
          <w:lang w:eastAsia="es-ES"/>
        </w:rPr>
        <w:t xml:space="preserve"> “Reflexiones sobre la condena en costas en supuestos de estimación parcial de la demanda de nulidad de condiciones generales de la contratación”: </w:t>
      </w:r>
      <w:r w:rsidRPr="00D0064B">
        <w:rPr>
          <w:rFonts w:eastAsia="Times New Roman" w:cstheme="minorHAnsi"/>
          <w:i/>
          <w:iCs/>
          <w:sz w:val="20"/>
          <w:szCs w:val="20"/>
          <w:lang w:eastAsia="es-ES"/>
        </w:rPr>
        <w:t>Actualidad civil</w:t>
      </w:r>
      <w:r w:rsidRPr="00D0064B">
        <w:rPr>
          <w:rFonts w:eastAsia="Times New Roman" w:cstheme="minorHAnsi"/>
          <w:sz w:val="20"/>
          <w:szCs w:val="20"/>
          <w:lang w:eastAsia="es-ES"/>
        </w:rPr>
        <w:t>, Nº. 9, 2024.</w:t>
      </w:r>
    </w:p>
    <w:p w14:paraId="04E8CF3A"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12619162"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bCs/>
          <w:sz w:val="20"/>
          <w:szCs w:val="20"/>
          <w:lang w:eastAsia="es-ES"/>
        </w:rPr>
        <w:t>Lara González, Rafael.</w:t>
      </w:r>
      <w:r w:rsidRPr="00D0064B">
        <w:rPr>
          <w:rFonts w:eastAsia="Times New Roman" w:cstheme="minorHAnsi"/>
          <w:sz w:val="20"/>
          <w:szCs w:val="20"/>
          <w:lang w:eastAsia="es-ES"/>
        </w:rPr>
        <w:t xml:space="preserve"> “El arbitraje de consumo en su cuadragésimo aniversario”: </w:t>
      </w:r>
      <w:r w:rsidRPr="00D0064B">
        <w:rPr>
          <w:rFonts w:eastAsia="Times New Roman" w:cstheme="minorHAnsi"/>
          <w:i/>
          <w:iCs/>
          <w:sz w:val="20"/>
          <w:szCs w:val="20"/>
          <w:lang w:eastAsia="es-ES"/>
        </w:rPr>
        <w:t>La Ley. Mediación y arbitraje</w:t>
      </w:r>
      <w:r w:rsidRPr="00D0064B">
        <w:rPr>
          <w:rFonts w:eastAsia="Times New Roman" w:cstheme="minorHAnsi"/>
          <w:sz w:val="20"/>
          <w:szCs w:val="20"/>
          <w:lang w:eastAsia="es-ES"/>
        </w:rPr>
        <w:t>, Nº. 20, 2024.</w:t>
      </w:r>
    </w:p>
    <w:p w14:paraId="4F2D32FC"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44132967"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bCs/>
          <w:sz w:val="20"/>
          <w:szCs w:val="20"/>
          <w:lang w:eastAsia="es-ES"/>
        </w:rPr>
        <w:lastRenderedPageBreak/>
        <w:t>León Alapont, José.</w:t>
      </w:r>
      <w:r w:rsidRPr="00D0064B">
        <w:rPr>
          <w:rFonts w:eastAsia="Times New Roman" w:cstheme="minorHAnsi"/>
          <w:sz w:val="20"/>
          <w:szCs w:val="20"/>
          <w:lang w:eastAsia="es-ES"/>
        </w:rPr>
        <w:t xml:space="preserve"> “Comentarios a la proyectada reforma del Código Penal prevista en el Anteproyecto de Ley Orgánica para la protección de las personas menores de edad en los entornos digitales”: </w:t>
      </w:r>
      <w:r w:rsidRPr="00D0064B">
        <w:rPr>
          <w:rFonts w:eastAsia="Times New Roman" w:cstheme="minorHAnsi"/>
          <w:i/>
          <w:iCs/>
          <w:sz w:val="20"/>
          <w:szCs w:val="20"/>
          <w:lang w:eastAsia="es-ES"/>
        </w:rPr>
        <w:t>Diario La Ley</w:t>
      </w:r>
      <w:r w:rsidRPr="00D0064B">
        <w:rPr>
          <w:rFonts w:eastAsia="Times New Roman" w:cstheme="minorHAnsi"/>
          <w:sz w:val="20"/>
          <w:szCs w:val="20"/>
          <w:lang w:eastAsia="es-ES"/>
        </w:rPr>
        <w:t>, Nº. 10565, 2024.</w:t>
      </w:r>
    </w:p>
    <w:p w14:paraId="1409C3F1"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2E28353A"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sz w:val="20"/>
          <w:szCs w:val="20"/>
          <w:lang w:eastAsia="es-ES"/>
        </w:rPr>
        <w:t xml:space="preserve">Llamas Pombo, Eugenio. “La acción colectiva resarcitoria y su proyectada regulación”. </w:t>
      </w:r>
      <w:r w:rsidRPr="00D0064B">
        <w:rPr>
          <w:rFonts w:eastAsia="Times New Roman" w:cstheme="minorHAnsi"/>
          <w:i/>
          <w:iCs/>
          <w:sz w:val="20"/>
          <w:szCs w:val="20"/>
          <w:lang w:eastAsia="es-ES"/>
        </w:rPr>
        <w:t>Práctica derecho daños: Revista de Responsabilidad Civil y Seguros</w:t>
      </w:r>
      <w:r w:rsidRPr="00D0064B">
        <w:rPr>
          <w:rFonts w:eastAsia="Times New Roman" w:cstheme="minorHAnsi"/>
          <w:sz w:val="20"/>
          <w:szCs w:val="20"/>
          <w:lang w:eastAsia="es-ES"/>
        </w:rPr>
        <w:t>, Nº. 159, 2024, pág. 1.</w:t>
      </w:r>
    </w:p>
    <w:p w14:paraId="55AEB896"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578EBF9F"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sz w:val="20"/>
          <w:szCs w:val="20"/>
          <w:lang w:eastAsia="es-ES"/>
        </w:rPr>
        <w:t xml:space="preserve">López García, Pablo. “El régimen de recursos contra el auto que deniega la exoneración del pasivo insatisfecho con liquidación de la masa activa o que la concede con menor alcance del solicitado por el deudor”. </w:t>
      </w:r>
      <w:r w:rsidRPr="00D0064B">
        <w:rPr>
          <w:rFonts w:eastAsia="Times New Roman" w:cstheme="minorHAnsi"/>
          <w:i/>
          <w:iCs/>
          <w:sz w:val="20"/>
          <w:szCs w:val="20"/>
          <w:lang w:eastAsia="es-ES"/>
        </w:rPr>
        <w:t>Actualidad civil</w:t>
      </w:r>
      <w:r w:rsidRPr="00D0064B">
        <w:rPr>
          <w:rFonts w:eastAsia="Times New Roman" w:cstheme="minorHAnsi"/>
          <w:sz w:val="20"/>
          <w:szCs w:val="20"/>
          <w:lang w:eastAsia="es-ES"/>
        </w:rPr>
        <w:t>, Nº. 11, 2024.</w:t>
      </w:r>
    </w:p>
    <w:p w14:paraId="2AEC29A3"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1A5A1087"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sz w:val="20"/>
          <w:szCs w:val="20"/>
          <w:lang w:eastAsia="es-ES"/>
        </w:rPr>
        <w:t xml:space="preserve">Marín López, Manuel Jesús. “Intereses usurarios en los préstamos de financiación a comprador de vehículos: no cabe aplicar el índice 'crédito para otros fines' recogido en las tablas del Banco de España para averiguar si hay usura”. </w:t>
      </w:r>
      <w:r w:rsidRPr="00D0064B">
        <w:rPr>
          <w:rFonts w:eastAsia="Times New Roman" w:cstheme="minorHAnsi"/>
          <w:i/>
          <w:iCs/>
          <w:sz w:val="20"/>
          <w:szCs w:val="20"/>
          <w:lang w:eastAsia="es-ES"/>
        </w:rPr>
        <w:t>Revista CESCO de Derecho de Consumo</w:t>
      </w:r>
      <w:r w:rsidRPr="00D0064B">
        <w:rPr>
          <w:rFonts w:eastAsia="Times New Roman" w:cstheme="minorHAnsi"/>
          <w:sz w:val="20"/>
          <w:szCs w:val="20"/>
          <w:lang w:eastAsia="es-ES"/>
        </w:rPr>
        <w:t>, Nº. 52, 2024, págs. 1-67.</w:t>
      </w:r>
    </w:p>
    <w:p w14:paraId="41060F35"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0C38D5C0"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sz w:val="20"/>
          <w:szCs w:val="20"/>
          <w:lang w:eastAsia="es-ES"/>
        </w:rPr>
        <w:t xml:space="preserve">Martín Faba, José María. “El TJUE privilegia la transparencia en acciones colectivas”. </w:t>
      </w:r>
      <w:r w:rsidRPr="00D0064B">
        <w:rPr>
          <w:rFonts w:eastAsia="Times New Roman" w:cstheme="minorHAnsi"/>
          <w:i/>
          <w:iCs/>
          <w:sz w:val="20"/>
          <w:szCs w:val="20"/>
          <w:lang w:eastAsia="es-ES"/>
        </w:rPr>
        <w:t>Revista CESCO de Derecho de Consumo</w:t>
      </w:r>
      <w:r w:rsidRPr="00D0064B">
        <w:rPr>
          <w:rFonts w:eastAsia="Times New Roman" w:cstheme="minorHAnsi"/>
          <w:sz w:val="20"/>
          <w:szCs w:val="20"/>
          <w:lang w:eastAsia="es-ES"/>
        </w:rPr>
        <w:t>, Nº. 51, 2024, págs. 1-15.</w:t>
      </w:r>
    </w:p>
    <w:p w14:paraId="2082388D"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7B6CDDE5"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sz w:val="20"/>
          <w:szCs w:val="20"/>
          <w:lang w:eastAsia="es-ES"/>
        </w:rPr>
        <w:t xml:space="preserve">Martínez Espín, Pascual. “Análisis del Real Decreto 713/2024 sobre el Sistema Arbitral de Consumo”. </w:t>
      </w:r>
      <w:r w:rsidRPr="00D0064B">
        <w:rPr>
          <w:rFonts w:eastAsia="Times New Roman" w:cstheme="minorHAnsi"/>
          <w:i/>
          <w:iCs/>
          <w:sz w:val="20"/>
          <w:szCs w:val="20"/>
          <w:lang w:eastAsia="es-ES"/>
        </w:rPr>
        <w:t>Revista CESCO de Derecho de Consumo</w:t>
      </w:r>
      <w:r w:rsidRPr="00D0064B">
        <w:rPr>
          <w:rFonts w:eastAsia="Times New Roman" w:cstheme="minorHAnsi"/>
          <w:sz w:val="20"/>
          <w:szCs w:val="20"/>
          <w:lang w:eastAsia="es-ES"/>
        </w:rPr>
        <w:t>, Nº. 51, 2024, págs. 57-88.</w:t>
      </w:r>
    </w:p>
    <w:p w14:paraId="3EC039F6"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1A898E68"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sz w:val="20"/>
          <w:szCs w:val="20"/>
          <w:lang w:eastAsia="es-ES"/>
        </w:rPr>
        <w:t xml:space="preserve">Martínez Espín, Pascual. “La protección contra la insolvencia del organizador de viajes combinados también se extiende a los casos en los que el viajero ha cancelado el viaje, antes de que ocurra la insolvencia, debido a circunstancias inevitables y extraordinarias”. </w:t>
      </w:r>
      <w:r w:rsidRPr="00D0064B">
        <w:rPr>
          <w:rFonts w:eastAsia="Times New Roman" w:cstheme="minorHAnsi"/>
          <w:i/>
          <w:iCs/>
          <w:sz w:val="20"/>
          <w:szCs w:val="20"/>
          <w:lang w:eastAsia="es-ES"/>
        </w:rPr>
        <w:t>Revista CESCO de Derecho de Consumo</w:t>
      </w:r>
      <w:r w:rsidRPr="00D0064B">
        <w:rPr>
          <w:rFonts w:eastAsia="Times New Roman" w:cstheme="minorHAnsi"/>
          <w:sz w:val="20"/>
          <w:szCs w:val="20"/>
          <w:lang w:eastAsia="es-ES"/>
        </w:rPr>
        <w:t>, Nº. 51, 2024, págs. 118-131.</w:t>
      </w:r>
    </w:p>
    <w:p w14:paraId="6F7C69CE"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2A28FB22"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bCs/>
          <w:sz w:val="20"/>
          <w:szCs w:val="20"/>
          <w:lang w:eastAsia="es-ES"/>
        </w:rPr>
        <w:t>Miralles Bonilla, Lucía.</w:t>
      </w:r>
      <w:r w:rsidRPr="00D0064B">
        <w:rPr>
          <w:rFonts w:eastAsia="Times New Roman" w:cstheme="minorHAnsi"/>
          <w:sz w:val="20"/>
          <w:szCs w:val="20"/>
          <w:lang w:eastAsia="es-ES"/>
        </w:rPr>
        <w:t xml:space="preserve"> “Directrices y recomendaciones del Comité Europeo de Protección de Datos en relación con el articulado del RGPD”: </w:t>
      </w:r>
      <w:r w:rsidRPr="00D0064B">
        <w:rPr>
          <w:rFonts w:eastAsia="Times New Roman" w:cstheme="minorHAnsi"/>
          <w:i/>
          <w:iCs/>
          <w:sz w:val="20"/>
          <w:szCs w:val="20"/>
          <w:lang w:eastAsia="es-ES"/>
        </w:rPr>
        <w:t>La Ley Privacidad</w:t>
      </w:r>
      <w:r w:rsidRPr="00D0064B">
        <w:rPr>
          <w:rFonts w:eastAsia="Times New Roman" w:cstheme="minorHAnsi"/>
          <w:sz w:val="20"/>
          <w:szCs w:val="20"/>
          <w:lang w:eastAsia="es-ES"/>
        </w:rPr>
        <w:t>, Nº. 21, 2024.</w:t>
      </w:r>
    </w:p>
    <w:p w14:paraId="12F40311"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0137088B"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sz w:val="20"/>
          <w:szCs w:val="20"/>
          <w:lang w:eastAsia="es-ES"/>
        </w:rPr>
        <w:t xml:space="preserve">Monforte, José Domingo. “Responsabilidad financiera. Préstamo irresponsable”. </w:t>
      </w:r>
      <w:r w:rsidRPr="00D0064B">
        <w:rPr>
          <w:rFonts w:eastAsia="Times New Roman" w:cstheme="minorHAnsi"/>
          <w:i/>
          <w:iCs/>
          <w:sz w:val="20"/>
          <w:szCs w:val="20"/>
          <w:lang w:eastAsia="es-ES"/>
        </w:rPr>
        <w:t>Diario La Ley</w:t>
      </w:r>
      <w:r w:rsidRPr="00D0064B">
        <w:rPr>
          <w:rFonts w:eastAsia="Times New Roman" w:cstheme="minorHAnsi"/>
          <w:sz w:val="20"/>
          <w:szCs w:val="20"/>
          <w:lang w:eastAsia="es-ES"/>
        </w:rPr>
        <w:t>, Nº. 10606, 2024.</w:t>
      </w:r>
    </w:p>
    <w:p w14:paraId="36266723"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374F7106"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sz w:val="20"/>
          <w:szCs w:val="20"/>
          <w:lang w:eastAsia="es-ES"/>
        </w:rPr>
        <w:t xml:space="preserve">Mozo, Ana; Sanz, Macarena. “El Futuro del Crédito al Consumo: entre Tecnología y Protección al Consumidor”. </w:t>
      </w:r>
      <w:r w:rsidRPr="00D0064B">
        <w:rPr>
          <w:rFonts w:eastAsia="Times New Roman" w:cstheme="minorHAnsi"/>
          <w:i/>
          <w:iCs/>
          <w:sz w:val="20"/>
          <w:szCs w:val="20"/>
          <w:lang w:eastAsia="es-ES"/>
        </w:rPr>
        <w:t>Diario La Ley</w:t>
      </w:r>
      <w:r w:rsidRPr="00D0064B">
        <w:rPr>
          <w:rFonts w:eastAsia="Times New Roman" w:cstheme="minorHAnsi"/>
          <w:sz w:val="20"/>
          <w:szCs w:val="20"/>
          <w:lang w:eastAsia="es-ES"/>
        </w:rPr>
        <w:t>, Nº. 10604, 2024.</w:t>
      </w:r>
    </w:p>
    <w:p w14:paraId="7A4F79E3"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7DAFB351"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bCs/>
          <w:sz w:val="20"/>
          <w:szCs w:val="20"/>
          <w:lang w:eastAsia="es-ES"/>
        </w:rPr>
        <w:t>Orozco González, Margarita.</w:t>
      </w:r>
      <w:r w:rsidRPr="00D0064B">
        <w:rPr>
          <w:rFonts w:eastAsia="Times New Roman" w:cstheme="minorHAnsi"/>
          <w:sz w:val="20"/>
          <w:szCs w:val="20"/>
          <w:lang w:eastAsia="es-ES"/>
        </w:rPr>
        <w:t xml:space="preserve"> “A vueltas con los claroscuros en torno al régimen de responsabilidad civil por daños en los supuestos de perjuicios ocasionados por incumplimientos del RGPD. A propósito de las STJUE de 11 de abril y 20 de junio de 2024”: </w:t>
      </w:r>
      <w:r w:rsidRPr="00D0064B">
        <w:rPr>
          <w:rFonts w:eastAsia="Times New Roman" w:cstheme="minorHAnsi"/>
          <w:i/>
          <w:iCs/>
          <w:sz w:val="20"/>
          <w:szCs w:val="20"/>
          <w:lang w:eastAsia="es-ES"/>
        </w:rPr>
        <w:t>La Ley Privacidad</w:t>
      </w:r>
      <w:r w:rsidRPr="00D0064B">
        <w:rPr>
          <w:rFonts w:eastAsia="Times New Roman" w:cstheme="minorHAnsi"/>
          <w:sz w:val="20"/>
          <w:szCs w:val="20"/>
          <w:lang w:eastAsia="es-ES"/>
        </w:rPr>
        <w:t>, Nº. 21, 2024.</w:t>
      </w:r>
    </w:p>
    <w:p w14:paraId="5603E0F1"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587F224F"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sz w:val="20"/>
          <w:szCs w:val="20"/>
          <w:lang w:eastAsia="es-ES"/>
        </w:rPr>
        <w:t xml:space="preserve">Palomino Angeles, Elisa. “Las obligaciones de transparencia para eliminar los riesgos de los sistemas de inteligencia artificial”. </w:t>
      </w:r>
      <w:r w:rsidRPr="00D0064B">
        <w:rPr>
          <w:rFonts w:eastAsia="Times New Roman" w:cstheme="minorHAnsi"/>
          <w:i/>
          <w:iCs/>
          <w:sz w:val="20"/>
          <w:szCs w:val="20"/>
          <w:lang w:eastAsia="es-ES"/>
        </w:rPr>
        <w:t>Informática y Derecho: Revista Iberoamericana de Derecho Informático (segunda época)</w:t>
      </w:r>
      <w:r w:rsidRPr="00D0064B">
        <w:rPr>
          <w:rFonts w:eastAsia="Times New Roman" w:cstheme="minorHAnsi"/>
          <w:sz w:val="20"/>
          <w:szCs w:val="20"/>
          <w:lang w:eastAsia="es-ES"/>
        </w:rPr>
        <w:t>, Nº. 15, 1, 2024, págs. 99-107.</w:t>
      </w:r>
    </w:p>
    <w:p w14:paraId="6DD9518B"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20542284"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sz w:val="20"/>
          <w:szCs w:val="20"/>
          <w:lang w:eastAsia="es-ES"/>
        </w:rPr>
        <w:t xml:space="preserve">Paredes Vázquez, Yolanda. “Internet y Redes Sociales. Su relación con el incremento de la delincuencia juvenil. Protección del menor. Anteproyecto de Ley Orgánica para la protección de las personas menores de edad en los entornos digitales”. </w:t>
      </w:r>
      <w:r w:rsidRPr="00D0064B">
        <w:rPr>
          <w:rFonts w:eastAsia="Times New Roman" w:cstheme="minorHAnsi"/>
          <w:i/>
          <w:iCs/>
          <w:sz w:val="20"/>
          <w:szCs w:val="20"/>
          <w:lang w:eastAsia="es-ES"/>
        </w:rPr>
        <w:t>Diario La Ley</w:t>
      </w:r>
      <w:r w:rsidRPr="00D0064B">
        <w:rPr>
          <w:rFonts w:eastAsia="Times New Roman" w:cstheme="minorHAnsi"/>
          <w:sz w:val="20"/>
          <w:szCs w:val="20"/>
          <w:lang w:eastAsia="es-ES"/>
        </w:rPr>
        <w:t>, Nº. 10612, 2024.</w:t>
      </w:r>
    </w:p>
    <w:p w14:paraId="451A3316"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56BCF86B"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bCs/>
          <w:sz w:val="20"/>
          <w:szCs w:val="20"/>
          <w:lang w:eastAsia="es-ES"/>
        </w:rPr>
        <w:t>Pérez Estrada, Miren Josune.</w:t>
      </w:r>
      <w:r w:rsidRPr="00D0064B">
        <w:rPr>
          <w:rFonts w:eastAsia="Times New Roman" w:cstheme="minorHAnsi"/>
          <w:sz w:val="20"/>
          <w:szCs w:val="20"/>
          <w:lang w:eastAsia="es-ES"/>
        </w:rPr>
        <w:t xml:space="preserve"> “Desafíos de la protección de los datos personales en el ámbito penal europeo”: </w:t>
      </w:r>
      <w:r w:rsidRPr="00D0064B">
        <w:rPr>
          <w:rFonts w:eastAsia="Times New Roman" w:cstheme="minorHAnsi"/>
          <w:i/>
          <w:iCs/>
          <w:sz w:val="20"/>
          <w:szCs w:val="20"/>
          <w:lang w:eastAsia="es-ES"/>
        </w:rPr>
        <w:t>Revista General de Derecho Procesal</w:t>
      </w:r>
      <w:r w:rsidRPr="00D0064B">
        <w:rPr>
          <w:rFonts w:eastAsia="Times New Roman" w:cstheme="minorHAnsi"/>
          <w:sz w:val="20"/>
          <w:szCs w:val="20"/>
          <w:lang w:eastAsia="es-ES"/>
        </w:rPr>
        <w:t>, Nº. 64, 2024.</w:t>
      </w:r>
    </w:p>
    <w:p w14:paraId="1926BAEC"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2A93123D"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sz w:val="20"/>
          <w:szCs w:val="20"/>
          <w:lang w:eastAsia="es-ES"/>
        </w:rPr>
        <w:t xml:space="preserve">Planas Ballvé, María. “Ponderación entre la inscripción en el registro de morosos y la protección del derecho al honor del deudor”. </w:t>
      </w:r>
      <w:r w:rsidRPr="00D0064B">
        <w:rPr>
          <w:rFonts w:eastAsia="Times New Roman" w:cstheme="minorHAnsi"/>
          <w:i/>
          <w:iCs/>
          <w:sz w:val="20"/>
          <w:szCs w:val="20"/>
          <w:lang w:eastAsia="es-ES"/>
        </w:rPr>
        <w:t>Actualidad civil</w:t>
      </w:r>
      <w:r w:rsidRPr="00D0064B">
        <w:rPr>
          <w:rFonts w:eastAsia="Times New Roman" w:cstheme="minorHAnsi"/>
          <w:sz w:val="20"/>
          <w:szCs w:val="20"/>
          <w:lang w:eastAsia="es-ES"/>
        </w:rPr>
        <w:t>, Nº. 10, 2024.</w:t>
      </w:r>
    </w:p>
    <w:p w14:paraId="7DDDA0BC"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672F812E"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bCs/>
          <w:sz w:val="20"/>
          <w:szCs w:val="20"/>
          <w:lang w:eastAsia="es-ES"/>
        </w:rPr>
        <w:t>Reche Tello, Nuria.</w:t>
      </w:r>
      <w:r w:rsidRPr="00D0064B">
        <w:rPr>
          <w:rFonts w:eastAsia="Times New Roman" w:cstheme="minorHAnsi"/>
          <w:sz w:val="20"/>
          <w:szCs w:val="20"/>
          <w:lang w:eastAsia="es-ES"/>
        </w:rPr>
        <w:t xml:space="preserve"> “Tratamiento de los neurodatos y desafíos de su protección. Comentario a propósito del Informe Techdispatch del SEPD y la AEPD”: </w:t>
      </w:r>
      <w:r w:rsidRPr="00D0064B">
        <w:rPr>
          <w:rFonts w:eastAsia="Times New Roman" w:cstheme="minorHAnsi"/>
          <w:i/>
          <w:iCs/>
          <w:sz w:val="20"/>
          <w:szCs w:val="20"/>
          <w:lang w:eastAsia="es-ES"/>
        </w:rPr>
        <w:t>La Ley Privacidad</w:t>
      </w:r>
      <w:r w:rsidRPr="00D0064B">
        <w:rPr>
          <w:rFonts w:eastAsia="Times New Roman" w:cstheme="minorHAnsi"/>
          <w:sz w:val="20"/>
          <w:szCs w:val="20"/>
          <w:lang w:eastAsia="es-ES"/>
        </w:rPr>
        <w:t>, Nº. 21, 2024.</w:t>
      </w:r>
    </w:p>
    <w:p w14:paraId="3A6C448F"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247BA571"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sz w:val="20"/>
          <w:szCs w:val="20"/>
          <w:lang w:eastAsia="es-ES"/>
        </w:rPr>
        <w:lastRenderedPageBreak/>
        <w:t xml:space="preserve">Rico Carrillo, Mariliana. “Estatuto jurídico de los proveedores de servicios de intermediación en línea en el Reglamento europeo sobre plataformas digitales”. </w:t>
      </w:r>
      <w:r w:rsidRPr="00D0064B">
        <w:rPr>
          <w:rFonts w:eastAsia="Times New Roman" w:cstheme="minorHAnsi"/>
          <w:i/>
          <w:iCs/>
          <w:sz w:val="20"/>
          <w:szCs w:val="20"/>
          <w:lang w:eastAsia="es-ES"/>
        </w:rPr>
        <w:t>Informática y Derecho: Revista Iberoamericana de Derecho Informático (segunda época)</w:t>
      </w:r>
      <w:r w:rsidRPr="00D0064B">
        <w:rPr>
          <w:rFonts w:eastAsia="Times New Roman" w:cstheme="minorHAnsi"/>
          <w:sz w:val="20"/>
          <w:szCs w:val="20"/>
          <w:lang w:eastAsia="es-ES"/>
        </w:rPr>
        <w:t>, Nº. 15, 1, 2024, págs. 47-55.</w:t>
      </w:r>
    </w:p>
    <w:p w14:paraId="668EE9F4"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3686B0D3"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sz w:val="20"/>
          <w:szCs w:val="20"/>
          <w:lang w:eastAsia="es-ES"/>
        </w:rPr>
        <w:t xml:space="preserve">Rubí Puig, Antoni. “Una lectura del reglamento de inteligencia artificial desde el derecho privado”. </w:t>
      </w:r>
      <w:r w:rsidRPr="00D0064B">
        <w:rPr>
          <w:rFonts w:eastAsia="Times New Roman" w:cstheme="minorHAnsi"/>
          <w:i/>
          <w:iCs/>
          <w:sz w:val="20"/>
          <w:szCs w:val="20"/>
          <w:lang w:eastAsia="es-ES"/>
        </w:rPr>
        <w:t>Indret: Revista para el Análisis del Derecho</w:t>
      </w:r>
      <w:r w:rsidRPr="00D0064B">
        <w:rPr>
          <w:rFonts w:eastAsia="Times New Roman" w:cstheme="minorHAnsi"/>
          <w:sz w:val="20"/>
          <w:szCs w:val="20"/>
          <w:lang w:eastAsia="es-ES"/>
        </w:rPr>
        <w:t>, Nº. 4, 2024.</w:t>
      </w:r>
    </w:p>
    <w:p w14:paraId="13B224D6"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683A6125" w14:textId="77777777" w:rsidR="00D0064B" w:rsidRDefault="00D0064B" w:rsidP="00D0064B">
      <w:pPr>
        <w:pStyle w:val="Prrafodelista"/>
        <w:numPr>
          <w:ilvl w:val="0"/>
          <w:numId w:val="17"/>
        </w:numPr>
        <w:spacing w:after="0" w:line="240" w:lineRule="auto"/>
        <w:ind w:left="360"/>
        <w:jc w:val="both"/>
        <w:rPr>
          <w:rFonts w:cstheme="minorHAnsi"/>
          <w:sz w:val="20"/>
          <w:szCs w:val="20"/>
        </w:rPr>
      </w:pPr>
      <w:r w:rsidRPr="00D0064B">
        <w:rPr>
          <w:rFonts w:cstheme="minorHAnsi"/>
          <w:sz w:val="20"/>
          <w:szCs w:val="20"/>
        </w:rPr>
        <w:t xml:space="preserve">Sánchez Lería, Reyes. “Derechos de terceros sobre la cosa vendida ocontenido digital suministrado: el tratamiento de la falta de conformidad jurídica en la legislación protectora de consumidores”. </w:t>
      </w:r>
      <w:r w:rsidRPr="00D0064B">
        <w:rPr>
          <w:rFonts w:cstheme="minorHAnsi"/>
          <w:i/>
          <w:sz w:val="20"/>
          <w:szCs w:val="20"/>
        </w:rPr>
        <w:t>Anuario de Derecho Civil</w:t>
      </w:r>
      <w:r w:rsidRPr="00D0064B">
        <w:rPr>
          <w:rFonts w:cstheme="minorHAnsi"/>
          <w:sz w:val="20"/>
          <w:szCs w:val="20"/>
        </w:rPr>
        <w:t xml:space="preserve">, Núm. LXXVII-IV, Octubre 2024, pp. 1569-1628. </w:t>
      </w:r>
    </w:p>
    <w:p w14:paraId="343BEE80" w14:textId="77777777" w:rsidR="00D0064B" w:rsidRPr="00D0064B" w:rsidRDefault="00D0064B" w:rsidP="00D0064B">
      <w:pPr>
        <w:pStyle w:val="Prrafodelista"/>
        <w:spacing w:after="0" w:line="240" w:lineRule="auto"/>
        <w:ind w:left="360"/>
        <w:jc w:val="both"/>
        <w:rPr>
          <w:rFonts w:cstheme="minorHAnsi"/>
          <w:sz w:val="20"/>
          <w:szCs w:val="20"/>
        </w:rPr>
      </w:pPr>
    </w:p>
    <w:p w14:paraId="22ADC81F" w14:textId="77777777" w:rsidR="00D0064B" w:rsidRDefault="00D0064B" w:rsidP="00D0064B">
      <w:pPr>
        <w:pStyle w:val="Prrafodelista"/>
        <w:numPr>
          <w:ilvl w:val="0"/>
          <w:numId w:val="17"/>
        </w:numPr>
        <w:spacing w:after="0" w:line="240" w:lineRule="auto"/>
        <w:ind w:left="360"/>
        <w:jc w:val="both"/>
        <w:rPr>
          <w:rFonts w:cstheme="minorHAnsi"/>
          <w:sz w:val="20"/>
          <w:szCs w:val="20"/>
        </w:rPr>
      </w:pPr>
      <w:r w:rsidRPr="00D0064B">
        <w:rPr>
          <w:rFonts w:cstheme="minorHAnsi"/>
          <w:sz w:val="20"/>
          <w:szCs w:val="20"/>
        </w:rPr>
        <w:t xml:space="preserve">Sande Mayo, María Jesús. “Hacia un nuevo modelo de acciones colectivas: análisis de las propuestas incorporadas en el Proyecto de Ley Orgánica de eficiencia del servicio público de justicia y de acciones colectivas para la protección y defensa de los derechos e intereses de los consumidores y usuarios”. </w:t>
      </w:r>
      <w:r w:rsidRPr="00D0064B">
        <w:rPr>
          <w:rFonts w:cstheme="minorHAnsi"/>
          <w:i/>
          <w:sz w:val="20"/>
          <w:szCs w:val="20"/>
        </w:rPr>
        <w:t>Anuario de Derecho Civil</w:t>
      </w:r>
      <w:r w:rsidRPr="00D0064B">
        <w:rPr>
          <w:rFonts w:cstheme="minorHAnsi"/>
          <w:sz w:val="20"/>
          <w:szCs w:val="20"/>
        </w:rPr>
        <w:t xml:space="preserve">, Núm. LXXVII-IV, Octubre 2024. </w:t>
      </w:r>
    </w:p>
    <w:p w14:paraId="7A396649" w14:textId="77777777" w:rsidR="00D0064B" w:rsidRPr="00D0064B" w:rsidRDefault="00D0064B" w:rsidP="00D0064B">
      <w:pPr>
        <w:pStyle w:val="Prrafodelista"/>
        <w:spacing w:after="0" w:line="240" w:lineRule="auto"/>
        <w:ind w:left="360"/>
        <w:jc w:val="both"/>
        <w:rPr>
          <w:rFonts w:cstheme="minorHAnsi"/>
          <w:sz w:val="20"/>
          <w:szCs w:val="20"/>
        </w:rPr>
      </w:pPr>
    </w:p>
    <w:p w14:paraId="7FE31484"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sz w:val="20"/>
          <w:szCs w:val="20"/>
          <w:lang w:eastAsia="es-ES"/>
        </w:rPr>
        <w:t xml:space="preserve">Soler Martínez, José Antonio. “La prescripción de las acciones de reintegro por nulidad de cláusulas abusivas”. </w:t>
      </w:r>
      <w:r w:rsidRPr="00D0064B">
        <w:rPr>
          <w:rFonts w:eastAsia="Times New Roman" w:cstheme="minorHAnsi"/>
          <w:i/>
          <w:iCs/>
          <w:sz w:val="20"/>
          <w:szCs w:val="20"/>
          <w:lang w:eastAsia="es-ES"/>
        </w:rPr>
        <w:t>Diario La Ley</w:t>
      </w:r>
      <w:r w:rsidRPr="00D0064B">
        <w:rPr>
          <w:rFonts w:eastAsia="Times New Roman" w:cstheme="minorHAnsi"/>
          <w:sz w:val="20"/>
          <w:szCs w:val="20"/>
          <w:lang w:eastAsia="es-ES"/>
        </w:rPr>
        <w:t>, Nº. 10629, 2024.</w:t>
      </w:r>
    </w:p>
    <w:p w14:paraId="0715EACB"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45970231"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bCs/>
          <w:sz w:val="20"/>
          <w:szCs w:val="20"/>
          <w:lang w:eastAsia="es-ES"/>
        </w:rPr>
        <w:t>Spineanu Matei, Octavia.</w:t>
      </w:r>
      <w:r w:rsidRPr="00D0064B">
        <w:rPr>
          <w:rFonts w:eastAsia="Times New Roman" w:cstheme="minorHAnsi"/>
          <w:sz w:val="20"/>
          <w:szCs w:val="20"/>
          <w:lang w:eastAsia="es-ES"/>
        </w:rPr>
        <w:t xml:space="preserve"> “Posibilidad de controlar la transparencia de las cláusulas suelo en el marco de una acción colectiva que comprenda a todo el sistema bancario de un país: TJ, Sala Cuarta, 4 julio 2024. Asunto C-450/22: Caixabank y otros”: </w:t>
      </w:r>
      <w:r w:rsidRPr="00D0064B">
        <w:rPr>
          <w:rFonts w:eastAsia="Times New Roman" w:cstheme="minorHAnsi"/>
          <w:i/>
          <w:iCs/>
          <w:sz w:val="20"/>
          <w:szCs w:val="20"/>
          <w:lang w:eastAsia="es-ES"/>
        </w:rPr>
        <w:t>La Ley Unión Europea</w:t>
      </w:r>
      <w:r w:rsidRPr="00D0064B">
        <w:rPr>
          <w:rFonts w:eastAsia="Times New Roman" w:cstheme="minorHAnsi"/>
          <w:sz w:val="20"/>
          <w:szCs w:val="20"/>
          <w:lang w:eastAsia="es-ES"/>
        </w:rPr>
        <w:t>, Nº. 128, 2024.</w:t>
      </w:r>
    </w:p>
    <w:p w14:paraId="6EDD335A"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4D3BDD8E"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bCs/>
          <w:sz w:val="20"/>
          <w:szCs w:val="20"/>
          <w:lang w:eastAsia="es-ES"/>
        </w:rPr>
        <w:t>Tapia Hermida, Alberto J.</w:t>
      </w:r>
      <w:r w:rsidRPr="00D0064B">
        <w:rPr>
          <w:rFonts w:eastAsia="Times New Roman" w:cstheme="minorHAnsi"/>
          <w:sz w:val="20"/>
          <w:szCs w:val="20"/>
          <w:lang w:eastAsia="es-ES"/>
        </w:rPr>
        <w:t xml:space="preserve"> “Control de la transparencia de las cláusulas suelo mediante acciones colectivas: Sentencia del Tribunal de Justicia 4 de julio de 2024, asunto C-450/22: Caixabank y otros”: </w:t>
      </w:r>
      <w:r w:rsidRPr="00D0064B">
        <w:rPr>
          <w:rFonts w:eastAsia="Times New Roman" w:cstheme="minorHAnsi"/>
          <w:i/>
          <w:iCs/>
          <w:sz w:val="20"/>
          <w:szCs w:val="20"/>
          <w:lang w:eastAsia="es-ES"/>
        </w:rPr>
        <w:t>La Ley Unión Europea</w:t>
      </w:r>
      <w:r w:rsidRPr="00D0064B">
        <w:rPr>
          <w:rFonts w:eastAsia="Times New Roman" w:cstheme="minorHAnsi"/>
          <w:sz w:val="20"/>
          <w:szCs w:val="20"/>
          <w:lang w:eastAsia="es-ES"/>
        </w:rPr>
        <w:t>, Nº. 128, 2024.</w:t>
      </w:r>
    </w:p>
    <w:p w14:paraId="3707FA15"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0CAF5C91"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sz w:val="20"/>
          <w:szCs w:val="20"/>
          <w:lang w:eastAsia="es-ES"/>
        </w:rPr>
        <w:t xml:space="preserve">Tapia Hermida, Alberto J. “El ‘consumidor medio’ en la jurisprudencia reciente del Tribunal de Justicia de la UE”. </w:t>
      </w:r>
      <w:r w:rsidRPr="00D0064B">
        <w:rPr>
          <w:rFonts w:eastAsia="Times New Roman" w:cstheme="minorHAnsi"/>
          <w:i/>
          <w:iCs/>
          <w:sz w:val="20"/>
          <w:szCs w:val="20"/>
          <w:lang w:eastAsia="es-ES"/>
        </w:rPr>
        <w:t>Diario La Ley</w:t>
      </w:r>
      <w:r w:rsidRPr="00D0064B">
        <w:rPr>
          <w:rFonts w:eastAsia="Times New Roman" w:cstheme="minorHAnsi"/>
          <w:sz w:val="20"/>
          <w:szCs w:val="20"/>
          <w:lang w:eastAsia="es-ES"/>
        </w:rPr>
        <w:t>, Nº. 10624, 2024.</w:t>
      </w:r>
    </w:p>
    <w:p w14:paraId="4811D12B"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3E7EE132"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sz w:val="20"/>
          <w:szCs w:val="20"/>
          <w:lang w:eastAsia="es-ES"/>
        </w:rPr>
        <w:t xml:space="preserve">Tapia Hermida, Alberto Javier. “La inteligencia artificial en los mercados financieros: beneficios y riesgos”. </w:t>
      </w:r>
      <w:r w:rsidRPr="00D0064B">
        <w:rPr>
          <w:rFonts w:eastAsia="Times New Roman" w:cstheme="minorHAnsi"/>
          <w:i/>
          <w:iCs/>
          <w:sz w:val="20"/>
          <w:szCs w:val="20"/>
          <w:lang w:eastAsia="es-ES"/>
        </w:rPr>
        <w:t>La Ley Unión Europea</w:t>
      </w:r>
      <w:r w:rsidRPr="00D0064B">
        <w:rPr>
          <w:rFonts w:eastAsia="Times New Roman" w:cstheme="minorHAnsi"/>
          <w:sz w:val="20"/>
          <w:szCs w:val="20"/>
          <w:lang w:eastAsia="es-ES"/>
        </w:rPr>
        <w:t>, Nº. 129, 2024.</w:t>
      </w:r>
    </w:p>
    <w:p w14:paraId="6E923AC8"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24920FAF"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bCs/>
          <w:sz w:val="20"/>
          <w:szCs w:val="20"/>
          <w:lang w:eastAsia="es-ES"/>
        </w:rPr>
        <w:t>Tomillo Urbina, Jorge Luis.</w:t>
      </w:r>
      <w:r w:rsidRPr="00D0064B">
        <w:rPr>
          <w:rFonts w:eastAsia="Times New Roman" w:cstheme="minorHAnsi"/>
          <w:sz w:val="20"/>
          <w:szCs w:val="20"/>
          <w:lang w:eastAsia="es-ES"/>
        </w:rPr>
        <w:t xml:space="preserve"> “(Des)protección y (des)empoderamiento del consumidor en el proyecto de reglamento general de suministro y contratación de energía eléctrica”: </w:t>
      </w:r>
      <w:r w:rsidRPr="00D0064B">
        <w:rPr>
          <w:rFonts w:eastAsia="Times New Roman" w:cstheme="minorHAnsi"/>
          <w:i/>
          <w:iCs/>
          <w:sz w:val="20"/>
          <w:szCs w:val="20"/>
          <w:lang w:eastAsia="es-ES"/>
        </w:rPr>
        <w:t>Diario La Ley</w:t>
      </w:r>
      <w:r w:rsidRPr="00D0064B">
        <w:rPr>
          <w:rFonts w:eastAsia="Times New Roman" w:cstheme="minorHAnsi"/>
          <w:sz w:val="20"/>
          <w:szCs w:val="20"/>
          <w:lang w:eastAsia="es-ES"/>
        </w:rPr>
        <w:t>, Nº. 10569, 2024.</w:t>
      </w:r>
    </w:p>
    <w:p w14:paraId="7AE5F487"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12708238" w14:textId="77777777" w:rsidR="00D0064B" w:rsidRDefault="00D0064B" w:rsidP="00D0064B">
      <w:pPr>
        <w:pStyle w:val="Prrafodelista"/>
        <w:numPr>
          <w:ilvl w:val="0"/>
          <w:numId w:val="17"/>
        </w:numPr>
        <w:spacing w:after="0" w:line="240" w:lineRule="auto"/>
        <w:ind w:left="360"/>
        <w:jc w:val="both"/>
        <w:rPr>
          <w:rFonts w:cstheme="minorHAnsi"/>
          <w:sz w:val="20"/>
          <w:szCs w:val="20"/>
        </w:rPr>
      </w:pPr>
      <w:r w:rsidRPr="00D0064B">
        <w:rPr>
          <w:rFonts w:cstheme="minorHAnsi"/>
          <w:sz w:val="20"/>
          <w:szCs w:val="20"/>
        </w:rPr>
        <w:t xml:space="preserve">Vallejo, Cristina. “Responsabilidad civil de las entidades bancarias frente a los fraudes bancarios. Aspectos prácticos y jurisprudenciales”. </w:t>
      </w:r>
      <w:r w:rsidRPr="00D0064B">
        <w:rPr>
          <w:rFonts w:cstheme="minorHAnsi"/>
          <w:i/>
          <w:sz w:val="20"/>
          <w:szCs w:val="20"/>
        </w:rPr>
        <w:t>Revista Jurídica sobre Consumidores y Usuarios</w:t>
      </w:r>
      <w:r w:rsidRPr="00D0064B">
        <w:rPr>
          <w:rFonts w:cstheme="minorHAnsi"/>
          <w:sz w:val="20"/>
          <w:szCs w:val="20"/>
        </w:rPr>
        <w:t xml:space="preserve">, Nº 16. Phishing y ciberestafas, Noviembre 2024. </w:t>
      </w:r>
    </w:p>
    <w:p w14:paraId="62E2D235" w14:textId="77777777" w:rsidR="00D0064B" w:rsidRPr="00D0064B" w:rsidRDefault="00D0064B" w:rsidP="00D0064B">
      <w:pPr>
        <w:pStyle w:val="Prrafodelista"/>
        <w:spacing w:after="0" w:line="240" w:lineRule="auto"/>
        <w:ind w:left="360"/>
        <w:jc w:val="both"/>
        <w:rPr>
          <w:rFonts w:cstheme="minorHAnsi"/>
          <w:sz w:val="20"/>
          <w:szCs w:val="20"/>
        </w:rPr>
      </w:pPr>
    </w:p>
    <w:p w14:paraId="0140696D"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sz w:val="20"/>
          <w:szCs w:val="20"/>
          <w:lang w:eastAsia="es-ES"/>
        </w:rPr>
        <w:t xml:space="preserve">Vela Torres, Pedro José. “Banco condenado por incumplimiento de los deberes de custodia de los fondos depositados en la cuenta de un cliente vulnerable por razón de su discapacidad”. </w:t>
      </w:r>
      <w:r w:rsidRPr="00D0064B">
        <w:rPr>
          <w:rFonts w:eastAsia="Times New Roman" w:cstheme="minorHAnsi"/>
          <w:i/>
          <w:iCs/>
          <w:sz w:val="20"/>
          <w:szCs w:val="20"/>
          <w:lang w:eastAsia="es-ES"/>
        </w:rPr>
        <w:t>Diario La Ley</w:t>
      </w:r>
      <w:r w:rsidRPr="00D0064B">
        <w:rPr>
          <w:rFonts w:eastAsia="Times New Roman" w:cstheme="minorHAnsi"/>
          <w:sz w:val="20"/>
          <w:szCs w:val="20"/>
          <w:lang w:eastAsia="es-ES"/>
        </w:rPr>
        <w:t>, Nº. 10618, 2024.</w:t>
      </w:r>
    </w:p>
    <w:p w14:paraId="32A71C23"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1F192E3A"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sz w:val="20"/>
          <w:szCs w:val="20"/>
          <w:lang w:eastAsia="es-ES"/>
        </w:rPr>
        <w:t xml:space="preserve">Vela Torres, Pedro José. “Condena a una entidad financiera a indemnizar los daños derivados de la contratación de bonos estructurados”. </w:t>
      </w:r>
      <w:r w:rsidRPr="00D0064B">
        <w:rPr>
          <w:rFonts w:eastAsia="Times New Roman" w:cstheme="minorHAnsi"/>
          <w:i/>
          <w:iCs/>
          <w:sz w:val="20"/>
          <w:szCs w:val="20"/>
          <w:lang w:eastAsia="es-ES"/>
        </w:rPr>
        <w:t>Diario La Ley</w:t>
      </w:r>
      <w:r w:rsidRPr="00D0064B">
        <w:rPr>
          <w:rFonts w:eastAsia="Times New Roman" w:cstheme="minorHAnsi"/>
          <w:sz w:val="20"/>
          <w:szCs w:val="20"/>
          <w:lang w:eastAsia="es-ES"/>
        </w:rPr>
        <w:t>, Nº. 10608, 2024.</w:t>
      </w:r>
    </w:p>
    <w:p w14:paraId="4FEF3F3C"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240F2052" w14:textId="77777777" w:rsidR="00D0064B" w:rsidRDefault="00D0064B" w:rsidP="00D0064B">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sz w:val="20"/>
          <w:szCs w:val="20"/>
          <w:lang w:eastAsia="es-ES"/>
        </w:rPr>
        <w:t xml:space="preserve">Verdún Pérez, Francisco. “Comentarios sobre las disposiciones concernientes al Derecho de consumidores contenidas en el Real Decreto-ley 6/2023, de 19 de diciembre”. </w:t>
      </w:r>
      <w:r w:rsidRPr="00D0064B">
        <w:rPr>
          <w:rFonts w:eastAsia="Times New Roman" w:cstheme="minorHAnsi"/>
          <w:i/>
          <w:iCs/>
          <w:sz w:val="20"/>
          <w:szCs w:val="20"/>
          <w:lang w:eastAsia="es-ES"/>
        </w:rPr>
        <w:t>Revista CESCO de Derecho de Consumo</w:t>
      </w:r>
      <w:r w:rsidRPr="00D0064B">
        <w:rPr>
          <w:rFonts w:eastAsia="Times New Roman" w:cstheme="minorHAnsi"/>
          <w:sz w:val="20"/>
          <w:szCs w:val="20"/>
          <w:lang w:eastAsia="es-ES"/>
        </w:rPr>
        <w:t>, Nº. 51, 2024, págs. 132-162.</w:t>
      </w:r>
    </w:p>
    <w:p w14:paraId="2859B671"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62AF2B53" w14:textId="6B20E218" w:rsidR="00924BE0" w:rsidRDefault="00D0064B" w:rsidP="00924BE0">
      <w:pPr>
        <w:pStyle w:val="Prrafodelista"/>
        <w:numPr>
          <w:ilvl w:val="0"/>
          <w:numId w:val="17"/>
        </w:numPr>
        <w:spacing w:after="0" w:line="240" w:lineRule="auto"/>
        <w:ind w:left="360"/>
        <w:jc w:val="both"/>
        <w:rPr>
          <w:rFonts w:eastAsia="Times New Roman" w:cstheme="minorHAnsi"/>
          <w:sz w:val="20"/>
          <w:szCs w:val="20"/>
          <w:lang w:eastAsia="es-ES"/>
        </w:rPr>
      </w:pPr>
      <w:r w:rsidRPr="00D0064B">
        <w:rPr>
          <w:rFonts w:eastAsia="Times New Roman" w:cstheme="minorHAnsi"/>
          <w:bCs/>
          <w:sz w:val="20"/>
          <w:szCs w:val="20"/>
          <w:lang w:eastAsia="es-ES"/>
        </w:rPr>
        <w:t>Wahl, Nils.</w:t>
      </w:r>
      <w:r w:rsidRPr="00D0064B">
        <w:rPr>
          <w:rFonts w:eastAsia="Times New Roman" w:cstheme="minorHAnsi"/>
          <w:sz w:val="20"/>
          <w:szCs w:val="20"/>
          <w:lang w:eastAsia="es-ES"/>
        </w:rPr>
        <w:t xml:space="preserve"> “Obligaciones de los operadores de comunicaciones de la sociedad de información: TJ, Sala Segunda, S 30 mayo 2024. Asuntos acumulados C-664/22: Google Ireland Ltd y C-666/22: Eg Vacation Rentals Ireland Ltd”: </w:t>
      </w:r>
      <w:r w:rsidRPr="00D0064B">
        <w:rPr>
          <w:rFonts w:eastAsia="Times New Roman" w:cstheme="minorHAnsi"/>
          <w:i/>
          <w:iCs/>
          <w:sz w:val="20"/>
          <w:szCs w:val="20"/>
          <w:lang w:eastAsia="es-ES"/>
        </w:rPr>
        <w:t>La Ley Unión Europea</w:t>
      </w:r>
      <w:r w:rsidRPr="00D0064B">
        <w:rPr>
          <w:rFonts w:eastAsia="Times New Roman" w:cstheme="minorHAnsi"/>
          <w:sz w:val="20"/>
          <w:szCs w:val="20"/>
          <w:lang w:eastAsia="es-ES"/>
        </w:rPr>
        <w:t>, Nº. 128, 2024.</w:t>
      </w:r>
    </w:p>
    <w:p w14:paraId="678EA9ED" w14:textId="77777777" w:rsidR="00D0064B" w:rsidRPr="00D0064B" w:rsidRDefault="00D0064B" w:rsidP="00D0064B">
      <w:pPr>
        <w:pStyle w:val="Prrafodelista"/>
        <w:spacing w:after="0" w:line="240" w:lineRule="auto"/>
        <w:ind w:left="360"/>
        <w:jc w:val="both"/>
        <w:rPr>
          <w:rFonts w:eastAsia="Times New Roman" w:cstheme="minorHAnsi"/>
          <w:sz w:val="20"/>
          <w:szCs w:val="20"/>
          <w:lang w:eastAsia="es-ES"/>
        </w:rPr>
      </w:pPr>
    </w:p>
    <w:p w14:paraId="6719E900" w14:textId="77777777" w:rsidR="00D0064B" w:rsidRDefault="00D0064B" w:rsidP="001563A1">
      <w:pPr>
        <w:jc w:val="center"/>
        <w:rPr>
          <w:sz w:val="16"/>
          <w:szCs w:val="16"/>
        </w:rPr>
      </w:pPr>
    </w:p>
    <w:p w14:paraId="680C8129" w14:textId="77777777" w:rsidR="00D0064B" w:rsidRDefault="00D0064B" w:rsidP="001563A1">
      <w:pPr>
        <w:jc w:val="center"/>
        <w:rPr>
          <w:sz w:val="16"/>
          <w:szCs w:val="16"/>
        </w:rPr>
      </w:pPr>
    </w:p>
    <w:p w14:paraId="42C3EBC5" w14:textId="77777777" w:rsidR="00D0064B" w:rsidRDefault="00D0064B" w:rsidP="001563A1">
      <w:pPr>
        <w:jc w:val="center"/>
        <w:rPr>
          <w:sz w:val="16"/>
          <w:szCs w:val="16"/>
        </w:rPr>
      </w:pPr>
    </w:p>
    <w:p w14:paraId="7138B14A" w14:textId="77777777" w:rsidR="00D0064B" w:rsidRDefault="00D0064B" w:rsidP="001563A1">
      <w:pPr>
        <w:jc w:val="center"/>
        <w:rPr>
          <w:sz w:val="16"/>
          <w:szCs w:val="16"/>
        </w:rPr>
      </w:pPr>
    </w:p>
    <w:p w14:paraId="26F66416" w14:textId="77777777" w:rsidR="00D0064B" w:rsidRDefault="00D0064B" w:rsidP="001563A1">
      <w:pPr>
        <w:jc w:val="center"/>
        <w:rPr>
          <w:sz w:val="16"/>
          <w:szCs w:val="16"/>
        </w:rPr>
      </w:pPr>
    </w:p>
    <w:p w14:paraId="556A71BD" w14:textId="77777777" w:rsidR="00D0064B" w:rsidRDefault="00D0064B" w:rsidP="001563A1">
      <w:pPr>
        <w:jc w:val="center"/>
        <w:rPr>
          <w:sz w:val="16"/>
          <w:szCs w:val="16"/>
        </w:rPr>
      </w:pPr>
    </w:p>
    <w:p w14:paraId="6F9A4004" w14:textId="77777777" w:rsidR="00D0064B" w:rsidRDefault="00D0064B" w:rsidP="001563A1">
      <w:pPr>
        <w:jc w:val="center"/>
        <w:rPr>
          <w:sz w:val="16"/>
          <w:szCs w:val="16"/>
        </w:rPr>
      </w:pPr>
    </w:p>
    <w:p w14:paraId="0B96C9ED" w14:textId="77777777" w:rsidR="00D0064B" w:rsidRDefault="00D0064B" w:rsidP="001563A1">
      <w:pPr>
        <w:jc w:val="center"/>
        <w:rPr>
          <w:sz w:val="16"/>
          <w:szCs w:val="16"/>
        </w:rPr>
      </w:pPr>
    </w:p>
    <w:p w14:paraId="32CD2EF0" w14:textId="77777777" w:rsidR="00D0064B" w:rsidRDefault="00D0064B" w:rsidP="001563A1">
      <w:pPr>
        <w:jc w:val="center"/>
        <w:rPr>
          <w:sz w:val="16"/>
          <w:szCs w:val="16"/>
        </w:rPr>
      </w:pPr>
    </w:p>
    <w:p w14:paraId="048E7C9E" w14:textId="77777777" w:rsidR="00D0064B" w:rsidRDefault="00D0064B" w:rsidP="001563A1">
      <w:pPr>
        <w:jc w:val="center"/>
        <w:rPr>
          <w:sz w:val="16"/>
          <w:szCs w:val="16"/>
        </w:rPr>
      </w:pPr>
    </w:p>
    <w:p w14:paraId="694F5B30" w14:textId="77777777" w:rsidR="00D0064B" w:rsidRDefault="00D0064B" w:rsidP="001563A1">
      <w:pPr>
        <w:jc w:val="center"/>
        <w:rPr>
          <w:sz w:val="16"/>
          <w:szCs w:val="16"/>
        </w:rPr>
      </w:pPr>
    </w:p>
    <w:p w14:paraId="246A3D92" w14:textId="77777777" w:rsidR="00D0064B" w:rsidRDefault="00D0064B" w:rsidP="001563A1">
      <w:pPr>
        <w:jc w:val="center"/>
        <w:rPr>
          <w:sz w:val="16"/>
          <w:szCs w:val="16"/>
        </w:rPr>
      </w:pPr>
    </w:p>
    <w:p w14:paraId="1AC8CA8E" w14:textId="77777777" w:rsidR="00D0064B" w:rsidRDefault="00D0064B" w:rsidP="001563A1">
      <w:pPr>
        <w:jc w:val="center"/>
        <w:rPr>
          <w:sz w:val="16"/>
          <w:szCs w:val="16"/>
        </w:rPr>
      </w:pPr>
    </w:p>
    <w:p w14:paraId="240F6C20" w14:textId="77777777" w:rsidR="00D0064B" w:rsidRDefault="00D0064B" w:rsidP="001563A1">
      <w:pPr>
        <w:jc w:val="center"/>
        <w:rPr>
          <w:sz w:val="16"/>
          <w:szCs w:val="16"/>
        </w:rPr>
      </w:pPr>
    </w:p>
    <w:p w14:paraId="7EB3C67D" w14:textId="77777777" w:rsidR="00D0064B" w:rsidRDefault="00D0064B" w:rsidP="001563A1">
      <w:pPr>
        <w:jc w:val="center"/>
        <w:rPr>
          <w:sz w:val="16"/>
          <w:szCs w:val="16"/>
        </w:rPr>
      </w:pPr>
    </w:p>
    <w:p w14:paraId="51D29275" w14:textId="77777777" w:rsidR="00D0064B" w:rsidRDefault="00D0064B" w:rsidP="001563A1">
      <w:pPr>
        <w:jc w:val="center"/>
        <w:rPr>
          <w:sz w:val="16"/>
          <w:szCs w:val="16"/>
        </w:rPr>
      </w:pPr>
    </w:p>
    <w:p w14:paraId="164985D2" w14:textId="77777777" w:rsidR="00D0064B" w:rsidRDefault="00D0064B" w:rsidP="001563A1">
      <w:pPr>
        <w:jc w:val="center"/>
        <w:rPr>
          <w:sz w:val="16"/>
          <w:szCs w:val="16"/>
        </w:rPr>
      </w:pPr>
    </w:p>
    <w:p w14:paraId="1D9F91AC" w14:textId="77777777" w:rsidR="00D0064B" w:rsidRDefault="00D0064B" w:rsidP="001563A1">
      <w:pPr>
        <w:jc w:val="center"/>
        <w:rPr>
          <w:sz w:val="16"/>
          <w:szCs w:val="16"/>
        </w:rPr>
      </w:pPr>
    </w:p>
    <w:p w14:paraId="0DA438CC" w14:textId="77777777" w:rsidR="00D0064B" w:rsidRDefault="00D0064B" w:rsidP="001563A1">
      <w:pPr>
        <w:jc w:val="center"/>
        <w:rPr>
          <w:sz w:val="16"/>
          <w:szCs w:val="16"/>
        </w:rPr>
      </w:pPr>
    </w:p>
    <w:p w14:paraId="70239E42" w14:textId="77777777" w:rsidR="00D0064B" w:rsidRDefault="00D0064B" w:rsidP="001563A1">
      <w:pPr>
        <w:jc w:val="center"/>
        <w:rPr>
          <w:sz w:val="16"/>
          <w:szCs w:val="16"/>
        </w:rPr>
      </w:pPr>
    </w:p>
    <w:p w14:paraId="217B3401" w14:textId="77777777" w:rsidR="00D0064B" w:rsidRDefault="00D0064B" w:rsidP="001563A1">
      <w:pPr>
        <w:jc w:val="center"/>
        <w:rPr>
          <w:sz w:val="16"/>
          <w:szCs w:val="16"/>
        </w:rPr>
      </w:pPr>
    </w:p>
    <w:p w14:paraId="0E86BEBE" w14:textId="77777777" w:rsidR="00D0064B" w:rsidRDefault="00D0064B" w:rsidP="001563A1">
      <w:pPr>
        <w:jc w:val="center"/>
        <w:rPr>
          <w:sz w:val="16"/>
          <w:szCs w:val="16"/>
        </w:rPr>
      </w:pPr>
    </w:p>
    <w:p w14:paraId="62503139" w14:textId="77777777" w:rsidR="00D0064B" w:rsidRDefault="00D0064B" w:rsidP="001563A1">
      <w:pPr>
        <w:jc w:val="center"/>
        <w:rPr>
          <w:sz w:val="16"/>
          <w:szCs w:val="16"/>
        </w:rPr>
      </w:pPr>
    </w:p>
    <w:p w14:paraId="397D4C5F" w14:textId="77777777" w:rsidR="00D0064B" w:rsidRDefault="00D0064B" w:rsidP="001563A1">
      <w:pPr>
        <w:jc w:val="center"/>
        <w:rPr>
          <w:sz w:val="16"/>
          <w:szCs w:val="16"/>
        </w:rPr>
      </w:pPr>
    </w:p>
    <w:p w14:paraId="16E7AB3C" w14:textId="77777777" w:rsidR="00D0064B" w:rsidRDefault="00D0064B" w:rsidP="001563A1">
      <w:pPr>
        <w:jc w:val="center"/>
        <w:rPr>
          <w:sz w:val="16"/>
          <w:szCs w:val="16"/>
        </w:rPr>
      </w:pPr>
    </w:p>
    <w:p w14:paraId="50A0E4A7" w14:textId="77777777" w:rsidR="00D0064B" w:rsidRDefault="00D0064B" w:rsidP="001563A1">
      <w:pPr>
        <w:jc w:val="center"/>
        <w:rPr>
          <w:sz w:val="16"/>
          <w:szCs w:val="16"/>
        </w:rPr>
      </w:pPr>
    </w:p>
    <w:p w14:paraId="4770BBED" w14:textId="77777777" w:rsidR="00D0064B" w:rsidRDefault="00D0064B" w:rsidP="001563A1">
      <w:pPr>
        <w:jc w:val="center"/>
        <w:rPr>
          <w:sz w:val="16"/>
          <w:szCs w:val="16"/>
        </w:rPr>
      </w:pPr>
    </w:p>
    <w:p w14:paraId="4AE64418" w14:textId="77777777" w:rsidR="00D0064B" w:rsidRDefault="00D0064B" w:rsidP="001563A1">
      <w:pPr>
        <w:jc w:val="center"/>
        <w:rPr>
          <w:sz w:val="16"/>
          <w:szCs w:val="16"/>
        </w:rPr>
      </w:pPr>
    </w:p>
    <w:p w14:paraId="7ECF341E" w14:textId="77777777" w:rsidR="00D0064B" w:rsidRDefault="00D0064B" w:rsidP="001563A1">
      <w:pPr>
        <w:jc w:val="center"/>
        <w:rPr>
          <w:sz w:val="16"/>
          <w:szCs w:val="16"/>
        </w:rPr>
      </w:pPr>
    </w:p>
    <w:p w14:paraId="6E0F5636" w14:textId="77777777" w:rsidR="00D0064B" w:rsidRDefault="00D0064B" w:rsidP="001563A1">
      <w:pPr>
        <w:jc w:val="center"/>
        <w:rPr>
          <w:sz w:val="16"/>
          <w:szCs w:val="16"/>
        </w:rPr>
      </w:pPr>
    </w:p>
    <w:p w14:paraId="5D6B446F" w14:textId="77777777" w:rsidR="00D0064B" w:rsidRDefault="00D0064B" w:rsidP="001563A1">
      <w:pPr>
        <w:jc w:val="center"/>
        <w:rPr>
          <w:sz w:val="16"/>
          <w:szCs w:val="16"/>
        </w:rPr>
      </w:pPr>
    </w:p>
    <w:p w14:paraId="694BBF7A" w14:textId="77777777" w:rsidR="00D0064B" w:rsidRDefault="00D0064B" w:rsidP="001563A1">
      <w:pPr>
        <w:jc w:val="center"/>
        <w:rPr>
          <w:sz w:val="16"/>
          <w:szCs w:val="16"/>
        </w:rPr>
      </w:pPr>
    </w:p>
    <w:p w14:paraId="73DED83D" w14:textId="551A8FA4" w:rsidR="003F49BB" w:rsidRPr="001563A1" w:rsidRDefault="003F49BB" w:rsidP="001563A1">
      <w:pPr>
        <w:jc w:val="center"/>
        <w:rPr>
          <w:sz w:val="20"/>
          <w:szCs w:val="20"/>
        </w:rPr>
      </w:pPr>
      <w:r w:rsidRPr="001563A1">
        <w:rPr>
          <w:sz w:val="16"/>
          <w:szCs w:val="16"/>
        </w:rPr>
        <w:t>Si algún autor, profesional o investigador conoce la publicación de algún trabajo sobre Derecho y consumo, puede facilitarnos la referencia para publicarlo dentro del presente informe, en el periodo correspondiente.</w:t>
      </w:r>
    </w:p>
    <w:p w14:paraId="75DC2D98" w14:textId="77777777" w:rsidR="00410AC6" w:rsidRPr="001563A1" w:rsidRDefault="00410AC6">
      <w:pPr>
        <w:jc w:val="center"/>
        <w:rPr>
          <w:sz w:val="20"/>
          <w:szCs w:val="20"/>
        </w:rPr>
      </w:pPr>
    </w:p>
    <w:sectPr w:rsidR="00410AC6" w:rsidRPr="001563A1" w:rsidSect="000562B1">
      <w:footerReference w:type="default" r:id="rId10"/>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17A47" w14:textId="77777777" w:rsidR="003109E8" w:rsidRDefault="003109E8" w:rsidP="000562B1">
      <w:pPr>
        <w:spacing w:after="0" w:line="240" w:lineRule="auto"/>
      </w:pPr>
      <w:r>
        <w:separator/>
      </w:r>
    </w:p>
  </w:endnote>
  <w:endnote w:type="continuationSeparator" w:id="0">
    <w:p w14:paraId="7C791CBD" w14:textId="77777777" w:rsidR="003109E8" w:rsidRDefault="003109E8" w:rsidP="00056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1363187"/>
      <w:docPartObj>
        <w:docPartGallery w:val="Page Numbers (Bottom of Page)"/>
        <w:docPartUnique/>
      </w:docPartObj>
    </w:sdtPr>
    <w:sdtEndPr>
      <w:rPr>
        <w:rFonts w:cstheme="minorHAnsi"/>
      </w:rPr>
    </w:sdtEndPr>
    <w:sdtContent>
      <w:p w14:paraId="63290595" w14:textId="77777777" w:rsidR="00827C04" w:rsidRPr="000562B1" w:rsidRDefault="00827C04">
        <w:pPr>
          <w:pStyle w:val="Piedepgina"/>
          <w:jc w:val="right"/>
          <w:rPr>
            <w:rFonts w:cstheme="minorHAnsi"/>
          </w:rPr>
        </w:pPr>
        <w:r w:rsidRPr="000562B1">
          <w:rPr>
            <w:rFonts w:cstheme="minorHAnsi"/>
          </w:rPr>
          <w:fldChar w:fldCharType="begin"/>
        </w:r>
        <w:r w:rsidRPr="000562B1">
          <w:rPr>
            <w:rFonts w:cstheme="minorHAnsi"/>
          </w:rPr>
          <w:instrText>PAGE   \* MERGEFORMAT</w:instrText>
        </w:r>
        <w:r w:rsidRPr="000562B1">
          <w:rPr>
            <w:rFonts w:cstheme="minorHAnsi"/>
          </w:rPr>
          <w:fldChar w:fldCharType="separate"/>
        </w:r>
        <w:r w:rsidR="00EB4F15">
          <w:rPr>
            <w:rFonts w:cstheme="minorHAnsi"/>
            <w:noProof/>
          </w:rPr>
          <w:t>5</w:t>
        </w:r>
        <w:r w:rsidRPr="000562B1">
          <w:rPr>
            <w:rFonts w:cstheme="minorHAnsi"/>
          </w:rPr>
          <w:fldChar w:fldCharType="end"/>
        </w:r>
      </w:p>
    </w:sdtContent>
  </w:sdt>
  <w:p w14:paraId="37C823B9" w14:textId="77777777" w:rsidR="00827C04" w:rsidRDefault="00827C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A4AEC" w14:textId="77777777" w:rsidR="003109E8" w:rsidRDefault="003109E8" w:rsidP="000562B1">
      <w:pPr>
        <w:spacing w:after="0" w:line="240" w:lineRule="auto"/>
      </w:pPr>
      <w:r>
        <w:separator/>
      </w:r>
    </w:p>
  </w:footnote>
  <w:footnote w:type="continuationSeparator" w:id="0">
    <w:p w14:paraId="08493CC4" w14:textId="77777777" w:rsidR="003109E8" w:rsidRDefault="003109E8" w:rsidP="000562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32ECE"/>
    <w:multiLevelType w:val="hybridMultilevel"/>
    <w:tmpl w:val="BE9875C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E315AE"/>
    <w:multiLevelType w:val="hybridMultilevel"/>
    <w:tmpl w:val="F6222D9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0C4B3C"/>
    <w:multiLevelType w:val="hybridMultilevel"/>
    <w:tmpl w:val="19FC5322"/>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747798"/>
    <w:multiLevelType w:val="hybridMultilevel"/>
    <w:tmpl w:val="932C875A"/>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FCB0E10"/>
    <w:multiLevelType w:val="hybridMultilevel"/>
    <w:tmpl w:val="46386646"/>
    <w:lvl w:ilvl="0" w:tplc="45FE9F5A">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4397483"/>
    <w:multiLevelType w:val="hybridMultilevel"/>
    <w:tmpl w:val="2014F25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CA75E7F"/>
    <w:multiLevelType w:val="hybridMultilevel"/>
    <w:tmpl w:val="08249B3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DC54DE8"/>
    <w:multiLevelType w:val="hybridMultilevel"/>
    <w:tmpl w:val="12665926"/>
    <w:lvl w:ilvl="0" w:tplc="45FE9F5A">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3D4075B9"/>
    <w:multiLevelType w:val="hybridMultilevel"/>
    <w:tmpl w:val="55201CA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5481EEE"/>
    <w:multiLevelType w:val="hybridMultilevel"/>
    <w:tmpl w:val="80E67DCA"/>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8995F83"/>
    <w:multiLevelType w:val="hybridMultilevel"/>
    <w:tmpl w:val="CB32DB9E"/>
    <w:lvl w:ilvl="0" w:tplc="1D1411FC">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C286FDE"/>
    <w:multiLevelType w:val="hybridMultilevel"/>
    <w:tmpl w:val="CCA45F98"/>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52C31BE"/>
    <w:multiLevelType w:val="hybridMultilevel"/>
    <w:tmpl w:val="2716F1F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8C651F6"/>
    <w:multiLevelType w:val="hybridMultilevel"/>
    <w:tmpl w:val="373EAE1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FF4221C"/>
    <w:multiLevelType w:val="hybridMultilevel"/>
    <w:tmpl w:val="AB76505C"/>
    <w:lvl w:ilvl="0" w:tplc="45FE9F5A">
      <w:start w:val="1"/>
      <w:numFmt w:val="bullet"/>
      <w:lvlText w:val="-"/>
      <w:lvlJc w:val="left"/>
      <w:pPr>
        <w:ind w:left="1068" w:hanging="360"/>
      </w:pPr>
      <w:rPr>
        <w:rFonts w:ascii="Calibri" w:hAnsi="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15:restartNumberingAfterBreak="0">
    <w:nsid w:val="713A1A64"/>
    <w:multiLevelType w:val="hybridMultilevel"/>
    <w:tmpl w:val="370E71BC"/>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8CB4682"/>
    <w:multiLevelType w:val="hybridMultilevel"/>
    <w:tmpl w:val="F922407E"/>
    <w:lvl w:ilvl="0" w:tplc="45FE9F5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69100726">
    <w:abstractNumId w:val="16"/>
  </w:num>
  <w:num w:numId="2" w16cid:durableId="176892649">
    <w:abstractNumId w:val="1"/>
  </w:num>
  <w:num w:numId="3" w16cid:durableId="2146896459">
    <w:abstractNumId w:val="15"/>
  </w:num>
  <w:num w:numId="4" w16cid:durableId="939682388">
    <w:abstractNumId w:val="8"/>
  </w:num>
  <w:num w:numId="5" w16cid:durableId="1892615920">
    <w:abstractNumId w:val="5"/>
  </w:num>
  <w:num w:numId="6" w16cid:durableId="18316285">
    <w:abstractNumId w:val="6"/>
  </w:num>
  <w:num w:numId="7" w16cid:durableId="996687287">
    <w:abstractNumId w:val="10"/>
  </w:num>
  <w:num w:numId="8" w16cid:durableId="795486992">
    <w:abstractNumId w:val="7"/>
  </w:num>
  <w:num w:numId="9" w16cid:durableId="1332493096">
    <w:abstractNumId w:val="4"/>
  </w:num>
  <w:num w:numId="10" w16cid:durableId="1215122658">
    <w:abstractNumId w:val="14"/>
  </w:num>
  <w:num w:numId="11" w16cid:durableId="1623656937">
    <w:abstractNumId w:val="13"/>
  </w:num>
  <w:num w:numId="12" w16cid:durableId="1955675051">
    <w:abstractNumId w:val="9"/>
  </w:num>
  <w:num w:numId="13" w16cid:durableId="2002007589">
    <w:abstractNumId w:val="3"/>
  </w:num>
  <w:num w:numId="14" w16cid:durableId="322466992">
    <w:abstractNumId w:val="2"/>
  </w:num>
  <w:num w:numId="15" w16cid:durableId="1445035454">
    <w:abstractNumId w:val="0"/>
  </w:num>
  <w:num w:numId="16" w16cid:durableId="2037582083">
    <w:abstractNumId w:val="12"/>
  </w:num>
  <w:num w:numId="17" w16cid:durableId="20065868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78D6"/>
    <w:rsid w:val="00020F4E"/>
    <w:rsid w:val="000562B1"/>
    <w:rsid w:val="0012310A"/>
    <w:rsid w:val="001342BF"/>
    <w:rsid w:val="001563A1"/>
    <w:rsid w:val="0017035A"/>
    <w:rsid w:val="00181687"/>
    <w:rsid w:val="001A3DC8"/>
    <w:rsid w:val="001B31A1"/>
    <w:rsid w:val="001B39D6"/>
    <w:rsid w:val="001E467C"/>
    <w:rsid w:val="00226C2F"/>
    <w:rsid w:val="002321F9"/>
    <w:rsid w:val="00237E7A"/>
    <w:rsid w:val="0024425F"/>
    <w:rsid w:val="002920B4"/>
    <w:rsid w:val="002C3D5D"/>
    <w:rsid w:val="00300DEB"/>
    <w:rsid w:val="003109E8"/>
    <w:rsid w:val="00311051"/>
    <w:rsid w:val="00326C94"/>
    <w:rsid w:val="00353898"/>
    <w:rsid w:val="003559D9"/>
    <w:rsid w:val="003662F8"/>
    <w:rsid w:val="003A1A16"/>
    <w:rsid w:val="003C5AFC"/>
    <w:rsid w:val="003C79EE"/>
    <w:rsid w:val="003C7E66"/>
    <w:rsid w:val="003E66AA"/>
    <w:rsid w:val="003F49BB"/>
    <w:rsid w:val="003F4BCA"/>
    <w:rsid w:val="00410AC6"/>
    <w:rsid w:val="00410FE1"/>
    <w:rsid w:val="004158D3"/>
    <w:rsid w:val="00467E42"/>
    <w:rsid w:val="00474518"/>
    <w:rsid w:val="004767BA"/>
    <w:rsid w:val="004A2F0A"/>
    <w:rsid w:val="004C5AA1"/>
    <w:rsid w:val="004D2AB4"/>
    <w:rsid w:val="004D794A"/>
    <w:rsid w:val="0051297C"/>
    <w:rsid w:val="00520087"/>
    <w:rsid w:val="00534CB9"/>
    <w:rsid w:val="005524C4"/>
    <w:rsid w:val="005527B0"/>
    <w:rsid w:val="00565641"/>
    <w:rsid w:val="00567AAA"/>
    <w:rsid w:val="005B7019"/>
    <w:rsid w:val="005E340F"/>
    <w:rsid w:val="005F0DEC"/>
    <w:rsid w:val="005F1DFB"/>
    <w:rsid w:val="005F3752"/>
    <w:rsid w:val="006306D2"/>
    <w:rsid w:val="00633110"/>
    <w:rsid w:val="00656A1A"/>
    <w:rsid w:val="00673A7C"/>
    <w:rsid w:val="0068726D"/>
    <w:rsid w:val="006B172C"/>
    <w:rsid w:val="006E179A"/>
    <w:rsid w:val="00701A54"/>
    <w:rsid w:val="007834BC"/>
    <w:rsid w:val="007C2FE3"/>
    <w:rsid w:val="007F62F3"/>
    <w:rsid w:val="00816AAB"/>
    <w:rsid w:val="008251E3"/>
    <w:rsid w:val="00827C04"/>
    <w:rsid w:val="00846866"/>
    <w:rsid w:val="008D2AC3"/>
    <w:rsid w:val="008D6849"/>
    <w:rsid w:val="008F19D1"/>
    <w:rsid w:val="00916F83"/>
    <w:rsid w:val="00923CBC"/>
    <w:rsid w:val="00924BE0"/>
    <w:rsid w:val="0093649B"/>
    <w:rsid w:val="009432D4"/>
    <w:rsid w:val="00952BF5"/>
    <w:rsid w:val="0096235F"/>
    <w:rsid w:val="009C07E8"/>
    <w:rsid w:val="009E399E"/>
    <w:rsid w:val="009E7932"/>
    <w:rsid w:val="00A00862"/>
    <w:rsid w:val="00A02CFB"/>
    <w:rsid w:val="00A030AD"/>
    <w:rsid w:val="00A145E4"/>
    <w:rsid w:val="00A15646"/>
    <w:rsid w:val="00A178D6"/>
    <w:rsid w:val="00A21DDE"/>
    <w:rsid w:val="00A4243B"/>
    <w:rsid w:val="00A4262A"/>
    <w:rsid w:val="00A535EC"/>
    <w:rsid w:val="00A64D45"/>
    <w:rsid w:val="00A95CE0"/>
    <w:rsid w:val="00AA7735"/>
    <w:rsid w:val="00AB05F9"/>
    <w:rsid w:val="00B00158"/>
    <w:rsid w:val="00B03532"/>
    <w:rsid w:val="00B065EF"/>
    <w:rsid w:val="00B40032"/>
    <w:rsid w:val="00B42623"/>
    <w:rsid w:val="00B436F4"/>
    <w:rsid w:val="00B44604"/>
    <w:rsid w:val="00B55B74"/>
    <w:rsid w:val="00B917BF"/>
    <w:rsid w:val="00BE3615"/>
    <w:rsid w:val="00C41A52"/>
    <w:rsid w:val="00C45C39"/>
    <w:rsid w:val="00C660D0"/>
    <w:rsid w:val="00C67BF4"/>
    <w:rsid w:val="00C67C8B"/>
    <w:rsid w:val="00C73ED8"/>
    <w:rsid w:val="00C943B2"/>
    <w:rsid w:val="00C97832"/>
    <w:rsid w:val="00CA6AA7"/>
    <w:rsid w:val="00CB0586"/>
    <w:rsid w:val="00CE63DC"/>
    <w:rsid w:val="00D0064B"/>
    <w:rsid w:val="00D364FB"/>
    <w:rsid w:val="00D37249"/>
    <w:rsid w:val="00D827B7"/>
    <w:rsid w:val="00DA30E6"/>
    <w:rsid w:val="00DB719B"/>
    <w:rsid w:val="00DC326F"/>
    <w:rsid w:val="00E37172"/>
    <w:rsid w:val="00E44759"/>
    <w:rsid w:val="00E53C19"/>
    <w:rsid w:val="00E618E3"/>
    <w:rsid w:val="00E7533D"/>
    <w:rsid w:val="00E843AB"/>
    <w:rsid w:val="00E86324"/>
    <w:rsid w:val="00E97DFD"/>
    <w:rsid w:val="00EB4F15"/>
    <w:rsid w:val="00EE05FD"/>
    <w:rsid w:val="00EF0B72"/>
    <w:rsid w:val="00F475F0"/>
    <w:rsid w:val="00F8300F"/>
    <w:rsid w:val="00FA6DED"/>
    <w:rsid w:val="00FD1E51"/>
    <w:rsid w:val="00FD741E"/>
    <w:rsid w:val="00FF61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1F9BF5"/>
  <w15:docId w15:val="{50C5CBA8-DFE3-40C0-A83A-8C8938C70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ind w:left="720"/>
      <w:contextualSpacing/>
    </w:pPr>
  </w:style>
  <w:style w:type="paragraph" w:styleId="Textodeglobo">
    <w:name w:val="Balloon Text"/>
    <w:basedOn w:val="Normal"/>
    <w:link w:val="TextodegloboCar"/>
    <w:uiPriority w:val="99"/>
    <w:semiHidden/>
    <w:unhideWhenUsed/>
    <w:rsid w:val="00C660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6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219153">
      <w:bodyDiv w:val="1"/>
      <w:marLeft w:val="0"/>
      <w:marRight w:val="0"/>
      <w:marTop w:val="0"/>
      <w:marBottom w:val="0"/>
      <w:divBdr>
        <w:top w:val="none" w:sz="0" w:space="0" w:color="auto"/>
        <w:left w:val="none" w:sz="0" w:space="0" w:color="auto"/>
        <w:bottom w:val="none" w:sz="0" w:space="0" w:color="auto"/>
        <w:right w:val="none" w:sz="0" w:space="0" w:color="auto"/>
      </w:divBdr>
      <w:divsChild>
        <w:div w:id="709261901">
          <w:marLeft w:val="0"/>
          <w:marRight w:val="0"/>
          <w:marTop w:val="0"/>
          <w:marBottom w:val="150"/>
          <w:divBdr>
            <w:top w:val="none" w:sz="0" w:space="0" w:color="auto"/>
            <w:left w:val="none" w:sz="0" w:space="0" w:color="auto"/>
            <w:bottom w:val="none" w:sz="0" w:space="0" w:color="auto"/>
            <w:right w:val="none" w:sz="0" w:space="0" w:color="auto"/>
          </w:divBdr>
        </w:div>
        <w:div w:id="54663381">
          <w:marLeft w:val="0"/>
          <w:marRight w:val="0"/>
          <w:marTop w:val="0"/>
          <w:marBottom w:val="300"/>
          <w:divBdr>
            <w:top w:val="none" w:sz="0" w:space="0" w:color="auto"/>
            <w:left w:val="none" w:sz="0" w:space="0" w:color="auto"/>
            <w:bottom w:val="none" w:sz="0" w:space="0" w:color="auto"/>
            <w:right w:val="none" w:sz="0" w:space="0" w:color="auto"/>
          </w:divBdr>
          <w:divsChild>
            <w:div w:id="205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4B8B7-F8D4-44A8-8EE6-17792874E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Pages>
  <Words>1996</Words>
  <Characters>10982</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BASTANTE GONZALEZ</dc:creator>
  <cp:lastModifiedBy>JOSE FELIX MERINO ESCARTIN</cp:lastModifiedBy>
  <cp:revision>11</cp:revision>
  <cp:lastPrinted>2025-04-29T09:28:00Z</cp:lastPrinted>
  <dcterms:created xsi:type="dcterms:W3CDTF">2025-04-09T14:28:00Z</dcterms:created>
  <dcterms:modified xsi:type="dcterms:W3CDTF">2025-05-10T10:07:00Z</dcterms:modified>
</cp:coreProperties>
</file>