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E329" w14:textId="77777777" w:rsidR="00656A1A" w:rsidRDefault="00DA30E6" w:rsidP="00656A1A">
      <w:pPr>
        <w:spacing w:beforeLines="100" w:before="240" w:afterLines="100" w:after="240"/>
        <w:jc w:val="center"/>
        <w:rPr>
          <w:noProof/>
          <w:lang w:eastAsia="es-ES"/>
        </w:rPr>
      </w:pPr>
      <w:bookmarkStart w:id="0" w:name="_GoBack"/>
      <w:bookmarkEnd w:id="0"/>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34F1BCFA" w:rsidR="00827C04" w:rsidRDefault="005932AA">
                            <w:pPr>
                              <w:rPr>
                                <w:rFonts w:ascii="Segoe UI" w:hAnsi="Segoe UI" w:cs="Segoe UI"/>
                                <w:b/>
                                <w:color w:val="FFFFFF" w:themeColor="background1"/>
                                <w:sz w:val="36"/>
                                <w:szCs w:val="36"/>
                              </w:rPr>
                            </w:pPr>
                            <w:r>
                              <w:rPr>
                                <w:rFonts w:ascii="Segoe UI" w:hAnsi="Segoe UI" w:cs="Segoe UI"/>
                                <w:b/>
                                <w:color w:val="FFFFFF" w:themeColor="background1"/>
                                <w:sz w:val="36"/>
                                <w:szCs w:val="36"/>
                              </w:rPr>
                              <w:t>Enero</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Marzo 2025</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34F1BCFA" w:rsidR="00827C04" w:rsidRDefault="005932AA">
                      <w:pPr>
                        <w:rPr>
                          <w:rFonts w:ascii="Segoe UI" w:hAnsi="Segoe UI" w:cs="Segoe UI"/>
                          <w:b/>
                          <w:color w:val="FFFFFF" w:themeColor="background1"/>
                          <w:sz w:val="36"/>
                          <w:szCs w:val="36"/>
                        </w:rPr>
                      </w:pPr>
                      <w:r>
                        <w:rPr>
                          <w:rFonts w:ascii="Segoe UI" w:hAnsi="Segoe UI" w:cs="Segoe UI"/>
                          <w:b/>
                          <w:color w:val="FFFFFF" w:themeColor="background1"/>
                          <w:sz w:val="36"/>
                          <w:szCs w:val="36"/>
                        </w:rPr>
                        <w:t>Enero</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Marzo 2025</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043286BA">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62818E1E" w:rsidR="00827C04" w:rsidRDefault="005932AA" w:rsidP="00567AAA">
                            <w:pPr>
                              <w:jc w:val="center"/>
                            </w:pPr>
                            <w:r>
                              <w:rPr>
                                <w:rFonts w:cstheme="minorHAnsi"/>
                                <w:b/>
                                <w:color w:val="FFFFFF" w:themeColor="background1"/>
                                <w:sz w:val="20"/>
                                <w:szCs w:val="20"/>
                              </w:rPr>
                              <w:t>Enero-Marzo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62818E1E" w:rsidR="00827C04" w:rsidRDefault="005932AA" w:rsidP="00567AAA">
                      <w:pPr>
                        <w:jc w:val="center"/>
                      </w:pPr>
                      <w:r>
                        <w:rPr>
                          <w:rFonts w:cstheme="minorHAnsi"/>
                          <w:b/>
                          <w:color w:val="FFFFFF" w:themeColor="background1"/>
                          <w:sz w:val="20"/>
                          <w:szCs w:val="20"/>
                        </w:rPr>
                        <w:t>Enero-Marzo 2025</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1A8FE9A3" w14:textId="77777777" w:rsidR="0068726D" w:rsidRPr="001563A1" w:rsidRDefault="0068726D" w:rsidP="001563A1">
      <w:pPr>
        <w:spacing w:after="0" w:line="240" w:lineRule="auto"/>
        <w:jc w:val="both"/>
        <w:rPr>
          <w:sz w:val="20"/>
          <w:szCs w:val="20"/>
        </w:rPr>
      </w:pPr>
    </w:p>
    <w:p w14:paraId="68F5E916"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Alkorta Idiakez, Itziar</w:t>
      </w:r>
      <w:r w:rsidRPr="005932AA">
        <w:rPr>
          <w:rFonts w:asciiTheme="minorHAnsi" w:hAnsiTheme="minorHAnsi" w:cstheme="minorHAnsi"/>
          <w:sz w:val="20"/>
          <w:szCs w:val="20"/>
        </w:rPr>
        <w:t xml:space="preserve">, “La liberación anticipada del fiador prohibente debitore: análisis sobre su procedencia y efectos”, </w:t>
      </w:r>
      <w:r w:rsidRPr="005932AA">
        <w:rPr>
          <w:rFonts w:asciiTheme="minorHAnsi" w:hAnsiTheme="minorHAnsi" w:cstheme="minorHAnsi"/>
          <w:i/>
          <w:iCs/>
          <w:sz w:val="20"/>
          <w:szCs w:val="20"/>
        </w:rPr>
        <w:t>Cuadernos de derecho privado: CDP</w:t>
      </w:r>
      <w:r w:rsidRPr="005932AA">
        <w:rPr>
          <w:rFonts w:asciiTheme="minorHAnsi" w:hAnsiTheme="minorHAnsi" w:cstheme="minorHAnsi"/>
          <w:sz w:val="20"/>
          <w:szCs w:val="20"/>
        </w:rPr>
        <w:t xml:space="preserve">, Nº. 10, 2024, págs. </w:t>
      </w:r>
      <w:r w:rsidRPr="005932AA">
        <w:rPr>
          <w:rStyle w:val="citation-199"/>
          <w:rFonts w:asciiTheme="minorHAnsi" w:hAnsiTheme="minorHAnsi" w:cstheme="minorHAnsi"/>
          <w:sz w:val="20"/>
          <w:szCs w:val="20"/>
        </w:rPr>
        <w:t>12-51</w:t>
      </w:r>
      <w:r w:rsidRPr="005932AA">
        <w:rPr>
          <w:rFonts w:asciiTheme="minorHAnsi" w:hAnsiTheme="minorHAnsi" w:cstheme="minorHAnsi"/>
          <w:sz w:val="20"/>
          <w:szCs w:val="20"/>
        </w:rPr>
        <w:t>.</w:t>
      </w:r>
    </w:p>
    <w:p w14:paraId="3CFBDF70"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Aparicio Araque, Blanca</w:t>
      </w:r>
      <w:r w:rsidRPr="005932AA">
        <w:rPr>
          <w:rFonts w:asciiTheme="minorHAnsi" w:hAnsiTheme="minorHAnsi" w:cstheme="minorHAnsi"/>
          <w:sz w:val="20"/>
          <w:szCs w:val="20"/>
        </w:rPr>
        <w:t xml:space="preserve">, "Directrices de la Unión Europea sobre prácticas prohibidas de Inteligencia Artificial",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135-159.</w:t>
      </w:r>
    </w:p>
    <w:p w14:paraId="25B79B7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Arias Moral, Beatriz</w:t>
      </w:r>
      <w:r w:rsidRPr="005932AA">
        <w:rPr>
          <w:rFonts w:asciiTheme="minorHAnsi" w:hAnsiTheme="minorHAnsi" w:cstheme="minorHAnsi"/>
          <w:sz w:val="20"/>
          <w:szCs w:val="20"/>
        </w:rPr>
        <w:t xml:space="preserve">, “El vencimiento anticipado de un préstamo por falta de pago: requisitos”, </w:t>
      </w:r>
      <w:r w:rsidRPr="005932AA">
        <w:rPr>
          <w:rFonts w:asciiTheme="minorHAnsi" w:hAnsiTheme="minorHAnsi" w:cstheme="minorHAnsi"/>
          <w:i/>
          <w:iCs/>
          <w:sz w:val="20"/>
          <w:szCs w:val="20"/>
        </w:rPr>
        <w:t>Revista de estudios jurídicos</w:t>
      </w:r>
      <w:r w:rsidRPr="005932AA">
        <w:rPr>
          <w:rFonts w:asciiTheme="minorHAnsi" w:hAnsiTheme="minorHAnsi" w:cstheme="minorHAnsi"/>
          <w:sz w:val="20"/>
          <w:szCs w:val="20"/>
        </w:rPr>
        <w:t xml:space="preserve">, Nº. </w:t>
      </w:r>
      <w:r w:rsidRPr="005932AA">
        <w:rPr>
          <w:rStyle w:val="citation-198"/>
          <w:rFonts w:asciiTheme="minorHAnsi" w:hAnsiTheme="minorHAnsi" w:cstheme="minorHAnsi"/>
          <w:sz w:val="20"/>
          <w:szCs w:val="20"/>
        </w:rPr>
        <w:t>25, 2025</w:t>
      </w:r>
      <w:r w:rsidRPr="005932AA">
        <w:rPr>
          <w:rFonts w:asciiTheme="minorHAnsi" w:hAnsiTheme="minorHAnsi" w:cstheme="minorHAnsi"/>
          <w:sz w:val="20"/>
          <w:szCs w:val="20"/>
        </w:rPr>
        <w:t>.</w:t>
      </w:r>
    </w:p>
    <w:p w14:paraId="0FD4CF0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97"/>
          <w:rFonts w:asciiTheme="minorHAnsi" w:hAnsiTheme="minorHAnsi" w:cstheme="minorHAnsi"/>
          <w:bCs/>
          <w:sz w:val="20"/>
          <w:szCs w:val="20"/>
        </w:rPr>
        <w:t>Ariza Colmenarejo, M</w:t>
      </w:r>
      <w:proofErr w:type="gramStart"/>
      <w:r w:rsidRPr="005932AA">
        <w:rPr>
          <w:rStyle w:val="citation-197"/>
          <w:rFonts w:asciiTheme="minorHAnsi" w:hAnsiTheme="minorHAnsi" w:cstheme="minorHAnsi"/>
          <w:bCs/>
          <w:sz w:val="20"/>
          <w:szCs w:val="20"/>
        </w:rPr>
        <w:t>.ª</w:t>
      </w:r>
      <w:proofErr w:type="gramEnd"/>
      <w:r w:rsidRPr="005932AA">
        <w:rPr>
          <w:rStyle w:val="citation-197"/>
          <w:rFonts w:asciiTheme="minorHAnsi" w:hAnsiTheme="minorHAnsi" w:cstheme="minorHAnsi"/>
          <w:bCs/>
          <w:sz w:val="20"/>
          <w:szCs w:val="20"/>
        </w:rPr>
        <w:t xml:space="preserve"> Jesús</w:t>
      </w:r>
      <w:r w:rsidRPr="005932AA">
        <w:rPr>
          <w:rStyle w:val="citation-197"/>
          <w:rFonts w:asciiTheme="minorHAnsi" w:hAnsiTheme="minorHAnsi" w:cstheme="minorHAnsi"/>
          <w:sz w:val="20"/>
          <w:szCs w:val="20"/>
        </w:rPr>
        <w:t xml:space="preserve">, “La opción por el procedimiento con pronunciamientos sucesivos de las futuras acciones colectivas”, </w:t>
      </w:r>
      <w:r w:rsidRPr="005932AA">
        <w:rPr>
          <w:rStyle w:val="citation-197"/>
          <w:rFonts w:asciiTheme="minorHAnsi" w:hAnsiTheme="minorHAnsi" w:cstheme="minorHAnsi"/>
          <w:i/>
          <w:iCs/>
          <w:sz w:val="20"/>
          <w:szCs w:val="20"/>
        </w:rPr>
        <w:t>Actualidad civil</w:t>
      </w:r>
      <w:r w:rsidRPr="005932AA">
        <w:rPr>
          <w:rStyle w:val="citation-197"/>
          <w:rFonts w:asciiTheme="minorHAnsi" w:hAnsiTheme="minorHAnsi" w:cstheme="minorHAnsi"/>
          <w:sz w:val="20"/>
          <w:szCs w:val="20"/>
        </w:rPr>
        <w:t>, Nº 2, 2025</w:t>
      </w:r>
      <w:r w:rsidRPr="005932AA">
        <w:rPr>
          <w:rFonts w:asciiTheme="minorHAnsi" w:hAnsiTheme="minorHAnsi" w:cstheme="minorHAnsi"/>
          <w:sz w:val="20"/>
          <w:szCs w:val="20"/>
        </w:rPr>
        <w:t>.</w:t>
      </w:r>
    </w:p>
    <w:p w14:paraId="7217C185"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Balanta, Heidy Elieth</w:t>
      </w:r>
      <w:r w:rsidRPr="005932AA">
        <w:rPr>
          <w:rFonts w:asciiTheme="minorHAnsi" w:hAnsiTheme="minorHAnsi" w:cstheme="minorHAnsi"/>
          <w:sz w:val="20"/>
          <w:szCs w:val="20"/>
        </w:rPr>
        <w:t xml:space="preserve">, “La visión problemática de la corresponsabilidad en el tratamiento de datos personales según la Autoridad de Protección de Datos de Colombia”, </w:t>
      </w:r>
      <w:r w:rsidRPr="005932AA">
        <w:rPr>
          <w:rFonts w:asciiTheme="minorHAnsi" w:hAnsiTheme="minorHAnsi" w:cstheme="minorHAnsi"/>
          <w:i/>
          <w:iCs/>
          <w:sz w:val="20"/>
          <w:szCs w:val="20"/>
        </w:rPr>
        <w:t>La Ley privacidad</w:t>
      </w:r>
      <w:r w:rsidRPr="005932AA">
        <w:rPr>
          <w:rFonts w:asciiTheme="minorHAnsi" w:hAnsiTheme="minorHAnsi" w:cstheme="minorHAnsi"/>
          <w:sz w:val="20"/>
          <w:szCs w:val="20"/>
        </w:rPr>
        <w:t xml:space="preserve">, Nº. </w:t>
      </w:r>
      <w:r w:rsidRPr="005932AA">
        <w:rPr>
          <w:rStyle w:val="citation-196"/>
          <w:rFonts w:asciiTheme="minorHAnsi" w:hAnsiTheme="minorHAnsi" w:cstheme="minorHAnsi"/>
          <w:sz w:val="20"/>
          <w:szCs w:val="20"/>
        </w:rPr>
        <w:t>22, 2024</w:t>
      </w:r>
      <w:r w:rsidRPr="005932AA">
        <w:rPr>
          <w:rFonts w:asciiTheme="minorHAnsi" w:hAnsiTheme="minorHAnsi" w:cstheme="minorHAnsi"/>
          <w:sz w:val="20"/>
          <w:szCs w:val="20"/>
        </w:rPr>
        <w:t>.</w:t>
      </w:r>
    </w:p>
    <w:p w14:paraId="1467F41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Biltgen, F.</w:t>
      </w:r>
      <w:r w:rsidRPr="005932AA">
        <w:rPr>
          <w:rFonts w:asciiTheme="minorHAnsi" w:hAnsiTheme="minorHAnsi" w:cstheme="minorHAnsi"/>
          <w:sz w:val="20"/>
          <w:szCs w:val="20"/>
        </w:rPr>
        <w:t xml:space="preserve">, “Consumidor enfrentado a una organizadora de viajes a raíz de la celebración de un contrato de viaje combinado cuando ambas partes contractuales tienen su domicilio en ese Estado miembro”, </w:t>
      </w:r>
      <w:r w:rsidRPr="005932AA">
        <w:rPr>
          <w:rFonts w:asciiTheme="minorHAnsi" w:hAnsiTheme="minorHAnsi" w:cstheme="minorHAnsi"/>
          <w:i/>
          <w:iCs/>
          <w:sz w:val="20"/>
          <w:szCs w:val="20"/>
        </w:rPr>
        <w:t>La Ley Unión Europea</w:t>
      </w:r>
      <w:r w:rsidRPr="005932AA">
        <w:rPr>
          <w:rFonts w:asciiTheme="minorHAnsi" w:hAnsiTheme="minorHAnsi" w:cstheme="minorHAnsi"/>
          <w:sz w:val="20"/>
          <w:szCs w:val="20"/>
        </w:rPr>
        <w:t xml:space="preserve">, Nº. </w:t>
      </w:r>
      <w:r w:rsidRPr="005932AA">
        <w:rPr>
          <w:rStyle w:val="citation-195"/>
          <w:rFonts w:asciiTheme="minorHAnsi" w:hAnsiTheme="minorHAnsi" w:cstheme="minorHAnsi"/>
          <w:sz w:val="20"/>
          <w:szCs w:val="20"/>
        </w:rPr>
        <w:t>132, 2025</w:t>
      </w:r>
      <w:r w:rsidRPr="005932AA">
        <w:rPr>
          <w:rFonts w:asciiTheme="minorHAnsi" w:hAnsiTheme="minorHAnsi" w:cstheme="minorHAnsi"/>
          <w:sz w:val="20"/>
          <w:szCs w:val="20"/>
        </w:rPr>
        <w:t>.</w:t>
      </w:r>
    </w:p>
    <w:p w14:paraId="730B079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35"/>
          <w:rFonts w:asciiTheme="minorHAnsi" w:hAnsiTheme="minorHAnsi" w:cstheme="minorHAnsi"/>
          <w:bCs/>
          <w:sz w:val="20"/>
          <w:szCs w:val="20"/>
        </w:rPr>
        <w:t>Blas Fernández</w:t>
      </w:r>
      <w:r w:rsidRPr="005932AA">
        <w:rPr>
          <w:rStyle w:val="citation-135"/>
          <w:rFonts w:asciiTheme="minorHAnsi" w:hAnsiTheme="minorHAnsi" w:cstheme="minorHAnsi"/>
          <w:sz w:val="20"/>
          <w:szCs w:val="20"/>
        </w:rPr>
        <w:t xml:space="preserve">, José, “El IRPH tras la STJUE de 12 de diciembre de 2024 (Asunto C-300/2023)”, </w:t>
      </w:r>
      <w:r w:rsidRPr="005932AA">
        <w:rPr>
          <w:rStyle w:val="citation-135"/>
          <w:rFonts w:asciiTheme="minorHAnsi" w:hAnsiTheme="minorHAnsi" w:cstheme="minorHAnsi"/>
          <w:i/>
          <w:iCs/>
          <w:sz w:val="20"/>
          <w:szCs w:val="20"/>
        </w:rPr>
        <w:t>Diario La Ley</w:t>
      </w:r>
      <w:r w:rsidRPr="005932AA">
        <w:rPr>
          <w:rStyle w:val="citation-135"/>
          <w:rFonts w:asciiTheme="minorHAnsi" w:hAnsiTheme="minorHAnsi" w:cstheme="minorHAnsi"/>
          <w:sz w:val="20"/>
          <w:szCs w:val="20"/>
        </w:rPr>
        <w:t>, Nº 10680, 2025</w:t>
      </w:r>
      <w:r w:rsidRPr="005932AA">
        <w:rPr>
          <w:rFonts w:asciiTheme="minorHAnsi" w:hAnsiTheme="minorHAnsi" w:cstheme="minorHAnsi"/>
          <w:sz w:val="20"/>
          <w:szCs w:val="20"/>
        </w:rPr>
        <w:t>.</w:t>
      </w:r>
    </w:p>
    <w:p w14:paraId="09301144"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34"/>
          <w:rFonts w:asciiTheme="minorHAnsi" w:hAnsiTheme="minorHAnsi" w:cstheme="minorHAnsi"/>
          <w:bCs/>
          <w:sz w:val="20"/>
          <w:szCs w:val="20"/>
        </w:rPr>
        <w:t>Busto Lago, José Manuel</w:t>
      </w:r>
      <w:r w:rsidRPr="005932AA">
        <w:rPr>
          <w:rStyle w:val="citation-134"/>
          <w:rFonts w:asciiTheme="minorHAnsi" w:hAnsiTheme="minorHAnsi" w:cstheme="minorHAnsi"/>
          <w:sz w:val="20"/>
          <w:szCs w:val="20"/>
        </w:rPr>
        <w:t xml:space="preserve">, “La acción directa frente a la aseguradora de responsabilidad civil de una Administración Pública no puede utilizarse ni para revisar resoluciones administrativas de inexistencia de responsabilidad, ni para revisar su cuantía. Comentario a la STS 169/2024, de 12 de febrero (JUR 2024, 55290)”, </w:t>
      </w:r>
      <w:r w:rsidRPr="005932AA">
        <w:rPr>
          <w:rStyle w:val="citation-134"/>
          <w:rFonts w:asciiTheme="minorHAnsi" w:hAnsiTheme="minorHAnsi" w:cstheme="minorHAnsi"/>
          <w:i/>
          <w:iCs/>
          <w:sz w:val="20"/>
          <w:szCs w:val="20"/>
        </w:rPr>
        <w:t>Cuadernos Civitas de jurisprudencia civil</w:t>
      </w:r>
      <w:r w:rsidRPr="005932AA">
        <w:rPr>
          <w:rStyle w:val="citation-134"/>
          <w:rFonts w:asciiTheme="minorHAnsi" w:hAnsiTheme="minorHAnsi" w:cstheme="minorHAnsi"/>
          <w:sz w:val="20"/>
          <w:szCs w:val="20"/>
        </w:rPr>
        <w:t>, Nº 126, 2024</w:t>
      </w:r>
      <w:r w:rsidRPr="005932AA">
        <w:rPr>
          <w:rFonts w:asciiTheme="minorHAnsi" w:hAnsiTheme="minorHAnsi" w:cstheme="minorHAnsi"/>
          <w:sz w:val="20"/>
          <w:szCs w:val="20"/>
        </w:rPr>
        <w:t>.</w:t>
      </w:r>
    </w:p>
    <w:p w14:paraId="141321AB"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94"/>
          <w:rFonts w:asciiTheme="minorHAnsi" w:hAnsiTheme="minorHAnsi" w:cstheme="minorHAnsi"/>
          <w:bCs/>
          <w:sz w:val="20"/>
          <w:szCs w:val="20"/>
        </w:rPr>
        <w:t>Cadenas Osuna, Davinia</w:t>
      </w:r>
      <w:r w:rsidRPr="005932AA">
        <w:rPr>
          <w:rStyle w:val="citation-194"/>
          <w:rFonts w:asciiTheme="minorHAnsi" w:hAnsiTheme="minorHAnsi" w:cstheme="minorHAnsi"/>
          <w:sz w:val="20"/>
          <w:szCs w:val="20"/>
        </w:rPr>
        <w:t xml:space="preserve">, “Carácter usurario del interés pactado en una operación crediticia. Comentario a la STS 1378/2023, de 6 de octubre (JUR 2023, 395829)”, </w:t>
      </w:r>
      <w:r w:rsidRPr="005932AA">
        <w:rPr>
          <w:rStyle w:val="citation-194"/>
          <w:rFonts w:asciiTheme="minorHAnsi" w:hAnsiTheme="minorHAnsi" w:cstheme="minorHAnsi"/>
          <w:i/>
          <w:iCs/>
          <w:sz w:val="20"/>
          <w:szCs w:val="20"/>
        </w:rPr>
        <w:t>Cuadernos Civitas de jurisprudencia civil</w:t>
      </w:r>
      <w:r w:rsidRPr="005932AA">
        <w:rPr>
          <w:rStyle w:val="citation-194"/>
          <w:rFonts w:asciiTheme="minorHAnsi" w:hAnsiTheme="minorHAnsi" w:cstheme="minorHAnsi"/>
          <w:sz w:val="20"/>
          <w:szCs w:val="20"/>
        </w:rPr>
        <w:t>, Nº 126, 2024</w:t>
      </w:r>
      <w:r w:rsidRPr="005932AA">
        <w:rPr>
          <w:rFonts w:asciiTheme="minorHAnsi" w:hAnsiTheme="minorHAnsi" w:cstheme="minorHAnsi"/>
          <w:sz w:val="20"/>
          <w:szCs w:val="20"/>
        </w:rPr>
        <w:t>.</w:t>
      </w:r>
    </w:p>
    <w:p w14:paraId="3CFF46E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Camacho González, Blas; Gómez Gálligo, Francisco Javier</w:t>
      </w:r>
      <w:r w:rsidRPr="005932AA">
        <w:rPr>
          <w:rFonts w:asciiTheme="minorHAnsi" w:hAnsiTheme="minorHAnsi" w:cstheme="minorHAnsi"/>
          <w:sz w:val="20"/>
          <w:szCs w:val="20"/>
        </w:rPr>
        <w:t xml:space="preserve">, “Eficacia de la reserva de dominio en caso de exoneración del pasivo insatisfecho al comprador concursado en la ley de segunda oportunidad”, </w:t>
      </w:r>
      <w:r w:rsidRPr="005932AA">
        <w:rPr>
          <w:rFonts w:asciiTheme="minorHAnsi" w:hAnsiTheme="minorHAnsi" w:cstheme="minorHAnsi"/>
          <w:i/>
          <w:iCs/>
          <w:sz w:val="20"/>
          <w:szCs w:val="20"/>
        </w:rPr>
        <w:t>Revista Crítica de Derecho Inmobiliario</w:t>
      </w:r>
      <w:r w:rsidRPr="005932AA">
        <w:rPr>
          <w:rFonts w:asciiTheme="minorHAnsi" w:hAnsiTheme="minorHAnsi" w:cstheme="minorHAnsi"/>
          <w:sz w:val="20"/>
          <w:szCs w:val="20"/>
        </w:rPr>
        <w:t xml:space="preserve">, Nº. 807, 2025, págs. </w:t>
      </w:r>
      <w:r w:rsidRPr="005932AA">
        <w:rPr>
          <w:rStyle w:val="citation-193"/>
          <w:rFonts w:asciiTheme="minorHAnsi" w:hAnsiTheme="minorHAnsi" w:cstheme="minorHAnsi"/>
          <w:sz w:val="20"/>
          <w:szCs w:val="20"/>
        </w:rPr>
        <w:t>129-188</w:t>
      </w:r>
      <w:r w:rsidRPr="005932AA">
        <w:rPr>
          <w:rFonts w:asciiTheme="minorHAnsi" w:hAnsiTheme="minorHAnsi" w:cstheme="minorHAnsi"/>
          <w:sz w:val="20"/>
          <w:szCs w:val="20"/>
        </w:rPr>
        <w:t>.</w:t>
      </w:r>
    </w:p>
    <w:p w14:paraId="2850FFF0"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Carbajo Cascón, Fernando</w:t>
      </w:r>
      <w:r w:rsidRPr="005932AA">
        <w:rPr>
          <w:rFonts w:asciiTheme="minorHAnsi" w:hAnsiTheme="minorHAnsi" w:cstheme="minorHAnsi"/>
          <w:sz w:val="20"/>
          <w:szCs w:val="20"/>
        </w:rPr>
        <w:t xml:space="preserve">, “El contrato de seguro. Experiencias y nuevas realidades sociales y tecnológicas”, </w:t>
      </w:r>
      <w:r w:rsidRPr="005932AA">
        <w:rPr>
          <w:rFonts w:asciiTheme="minorHAnsi" w:hAnsiTheme="minorHAnsi" w:cstheme="minorHAnsi"/>
          <w:i/>
          <w:iCs/>
          <w:sz w:val="20"/>
          <w:szCs w:val="20"/>
        </w:rPr>
        <w:t>Revista española de seguros</w:t>
      </w:r>
      <w:r w:rsidRPr="005932AA">
        <w:rPr>
          <w:rFonts w:asciiTheme="minorHAnsi" w:hAnsiTheme="minorHAnsi" w:cstheme="minorHAnsi"/>
          <w:sz w:val="20"/>
          <w:szCs w:val="20"/>
        </w:rPr>
        <w:t xml:space="preserve">, Nº. 200, 2024, págs. </w:t>
      </w:r>
      <w:r w:rsidRPr="005932AA">
        <w:rPr>
          <w:rStyle w:val="citation-192"/>
          <w:rFonts w:asciiTheme="minorHAnsi" w:hAnsiTheme="minorHAnsi" w:cstheme="minorHAnsi"/>
          <w:sz w:val="20"/>
          <w:szCs w:val="20"/>
        </w:rPr>
        <w:t>615-616</w:t>
      </w:r>
      <w:r w:rsidRPr="005932AA">
        <w:rPr>
          <w:rFonts w:asciiTheme="minorHAnsi" w:hAnsiTheme="minorHAnsi" w:cstheme="minorHAnsi"/>
          <w:sz w:val="20"/>
          <w:szCs w:val="20"/>
        </w:rPr>
        <w:t>.</w:t>
      </w:r>
    </w:p>
    <w:p w14:paraId="46776E1B"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Carrasco Perera, Angel Francisco; Bermúdez Ballesteros, Sagrario</w:t>
      </w:r>
      <w:r w:rsidRPr="005932AA">
        <w:rPr>
          <w:rFonts w:asciiTheme="minorHAnsi" w:hAnsiTheme="minorHAnsi" w:cstheme="minorHAnsi"/>
          <w:sz w:val="20"/>
          <w:szCs w:val="20"/>
        </w:rPr>
        <w:t xml:space="preserve">, "¿El empresario que contrata online puede modificar el criterio legal sobre perfección del contrato?",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20-36.</w:t>
      </w:r>
    </w:p>
    <w:p w14:paraId="6EC7EC6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Cavaller Vergés, Misericordia</w:t>
      </w:r>
      <w:r w:rsidRPr="005932AA">
        <w:rPr>
          <w:rFonts w:asciiTheme="minorHAnsi" w:hAnsiTheme="minorHAnsi" w:cstheme="minorHAnsi"/>
          <w:sz w:val="20"/>
          <w:szCs w:val="20"/>
        </w:rPr>
        <w:t xml:space="preserve">, “El concepto autónomo de responsabilidad civil en el ámbito de la protección de datos personales en la era digital: análisis del artículo 82 del Reglamento 2016/679”, </w:t>
      </w:r>
      <w:r w:rsidRPr="005932AA">
        <w:rPr>
          <w:rFonts w:asciiTheme="minorHAnsi" w:hAnsiTheme="minorHAnsi" w:cstheme="minorHAnsi"/>
          <w:i/>
          <w:iCs/>
          <w:sz w:val="20"/>
          <w:szCs w:val="20"/>
        </w:rPr>
        <w:t>Revista de Derecho Comunitario Europeo</w:t>
      </w:r>
      <w:r w:rsidRPr="005932AA">
        <w:rPr>
          <w:rFonts w:asciiTheme="minorHAnsi" w:hAnsiTheme="minorHAnsi" w:cstheme="minorHAnsi"/>
          <w:sz w:val="20"/>
          <w:szCs w:val="20"/>
        </w:rPr>
        <w:t xml:space="preserve">, Nº. 79, 2024, págs. </w:t>
      </w:r>
      <w:r w:rsidRPr="005932AA">
        <w:rPr>
          <w:rStyle w:val="citation-191"/>
          <w:rFonts w:asciiTheme="minorHAnsi" w:hAnsiTheme="minorHAnsi" w:cstheme="minorHAnsi"/>
          <w:sz w:val="20"/>
          <w:szCs w:val="20"/>
        </w:rPr>
        <w:t>251-292</w:t>
      </w:r>
      <w:r w:rsidRPr="005932AA">
        <w:rPr>
          <w:rFonts w:asciiTheme="minorHAnsi" w:hAnsiTheme="minorHAnsi" w:cstheme="minorHAnsi"/>
          <w:sz w:val="20"/>
          <w:szCs w:val="20"/>
        </w:rPr>
        <w:t>.</w:t>
      </w:r>
    </w:p>
    <w:p w14:paraId="06C62403"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Cordero Mendoza, Liliana Katherine</w:t>
      </w:r>
      <w:r w:rsidRPr="005932AA">
        <w:rPr>
          <w:rFonts w:asciiTheme="minorHAnsi" w:hAnsiTheme="minorHAnsi" w:cstheme="minorHAnsi"/>
          <w:sz w:val="20"/>
          <w:szCs w:val="20"/>
        </w:rPr>
        <w:t xml:space="preserve">, “La autenticidad e integridad en la contratación civil electrónica: Análisis de su problemática y propuesta de lege ferenda para su incorporación en el Código Civil peruano”, </w:t>
      </w:r>
      <w:r w:rsidRPr="005932AA">
        <w:rPr>
          <w:rFonts w:asciiTheme="minorHAnsi" w:hAnsiTheme="minorHAnsi" w:cstheme="minorHAnsi"/>
          <w:i/>
          <w:iCs/>
          <w:sz w:val="20"/>
          <w:szCs w:val="20"/>
        </w:rPr>
        <w:t>Revista de Derecho</w:t>
      </w:r>
      <w:r w:rsidRPr="005932AA">
        <w:rPr>
          <w:rFonts w:asciiTheme="minorHAnsi" w:hAnsiTheme="minorHAnsi" w:cstheme="minorHAnsi"/>
          <w:sz w:val="20"/>
          <w:szCs w:val="20"/>
        </w:rPr>
        <w:t xml:space="preserve">, Vol. 24, Nº. 1, 2024, págs. </w:t>
      </w:r>
      <w:r w:rsidRPr="005932AA">
        <w:rPr>
          <w:rStyle w:val="citation-190"/>
          <w:rFonts w:asciiTheme="minorHAnsi" w:hAnsiTheme="minorHAnsi" w:cstheme="minorHAnsi"/>
          <w:sz w:val="20"/>
          <w:szCs w:val="20"/>
        </w:rPr>
        <w:t>392-415</w:t>
      </w:r>
      <w:r w:rsidRPr="005932AA">
        <w:rPr>
          <w:rFonts w:asciiTheme="minorHAnsi" w:hAnsiTheme="minorHAnsi" w:cstheme="minorHAnsi"/>
          <w:sz w:val="20"/>
          <w:szCs w:val="20"/>
        </w:rPr>
        <w:t>.</w:t>
      </w:r>
    </w:p>
    <w:p w14:paraId="7A6037D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Cots, Elisabet; </w:t>
      </w:r>
      <w:r w:rsidRPr="005932AA">
        <w:rPr>
          <w:rStyle w:val="citation-189"/>
          <w:rFonts w:asciiTheme="minorHAnsi" w:hAnsiTheme="minorHAnsi" w:cstheme="minorHAnsi"/>
          <w:sz w:val="20"/>
          <w:szCs w:val="20"/>
        </w:rPr>
        <w:t xml:space="preserve">Esteve, Irene, “El nuevo Reglamento de envases y residuos de envases: nuevos e importantes desafíos para la industria”, </w:t>
      </w:r>
      <w:r w:rsidRPr="005932AA">
        <w:rPr>
          <w:rStyle w:val="citation-189"/>
          <w:rFonts w:asciiTheme="minorHAnsi" w:hAnsiTheme="minorHAnsi" w:cstheme="minorHAnsi"/>
          <w:i/>
          <w:iCs/>
          <w:sz w:val="20"/>
          <w:szCs w:val="20"/>
        </w:rPr>
        <w:t>Actualidad jurídica Aranzadi</w:t>
      </w:r>
      <w:r w:rsidRPr="005932AA">
        <w:rPr>
          <w:rStyle w:val="citation-189"/>
          <w:rFonts w:asciiTheme="minorHAnsi" w:hAnsiTheme="minorHAnsi" w:cstheme="minorHAnsi"/>
          <w:sz w:val="20"/>
          <w:szCs w:val="20"/>
        </w:rPr>
        <w:t>, Nº 1014, 2025</w:t>
      </w:r>
      <w:r w:rsidRPr="005932AA">
        <w:rPr>
          <w:rFonts w:asciiTheme="minorHAnsi" w:hAnsiTheme="minorHAnsi" w:cstheme="minorHAnsi"/>
          <w:sz w:val="20"/>
          <w:szCs w:val="20"/>
        </w:rPr>
        <w:t>.</w:t>
      </w:r>
    </w:p>
    <w:p w14:paraId="584C2301"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Cots, Elisabet; Esteve, Irene; </w:t>
      </w:r>
      <w:r w:rsidRPr="005932AA">
        <w:rPr>
          <w:rStyle w:val="citation-188"/>
          <w:rFonts w:asciiTheme="minorHAnsi" w:hAnsiTheme="minorHAnsi" w:cstheme="minorHAnsi"/>
          <w:sz w:val="20"/>
          <w:szCs w:val="20"/>
        </w:rPr>
        <w:t xml:space="preserve">González, Ángela, “Nuevas obligaciones de marcado de los envases en España y posible cambio de tendencia desde la Unión Europea”, </w:t>
      </w:r>
      <w:r w:rsidRPr="005932AA">
        <w:rPr>
          <w:rStyle w:val="citation-188"/>
          <w:rFonts w:asciiTheme="minorHAnsi" w:hAnsiTheme="minorHAnsi" w:cstheme="minorHAnsi"/>
          <w:i/>
          <w:iCs/>
          <w:sz w:val="20"/>
          <w:szCs w:val="20"/>
        </w:rPr>
        <w:t>Actualidad jurídica Aranzadi</w:t>
      </w:r>
      <w:r w:rsidRPr="005932AA">
        <w:rPr>
          <w:rStyle w:val="citation-188"/>
          <w:rFonts w:asciiTheme="minorHAnsi" w:hAnsiTheme="minorHAnsi" w:cstheme="minorHAnsi"/>
          <w:sz w:val="20"/>
          <w:szCs w:val="20"/>
        </w:rPr>
        <w:t>, Nº 1012, 2024</w:t>
      </w:r>
      <w:r w:rsidRPr="005932AA">
        <w:rPr>
          <w:rFonts w:asciiTheme="minorHAnsi" w:hAnsiTheme="minorHAnsi" w:cstheme="minorHAnsi"/>
          <w:sz w:val="20"/>
          <w:szCs w:val="20"/>
        </w:rPr>
        <w:t>.</w:t>
      </w:r>
    </w:p>
    <w:p w14:paraId="7BE7B1C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87"/>
          <w:rFonts w:asciiTheme="minorHAnsi" w:hAnsiTheme="minorHAnsi" w:cstheme="minorHAnsi"/>
          <w:bCs/>
          <w:sz w:val="20"/>
          <w:szCs w:val="20"/>
        </w:rPr>
        <w:lastRenderedPageBreak/>
        <w:t>Cuadrado Soler, Joan</w:t>
      </w:r>
      <w:r w:rsidRPr="005932AA">
        <w:rPr>
          <w:rStyle w:val="citation-187"/>
          <w:rFonts w:asciiTheme="minorHAnsi" w:hAnsiTheme="minorHAnsi" w:cstheme="minorHAnsi"/>
          <w:sz w:val="20"/>
          <w:szCs w:val="20"/>
        </w:rPr>
        <w:t xml:space="preserve">, “La prescripción de la acción de restitución de los gastos hipotecarios a la luz de las SSTJUE de 25 de abril de 2024 (asuntos C-484/21 y C-561/21) y las recientes modificaciones de la LEC”, </w:t>
      </w:r>
      <w:r w:rsidRPr="005932AA">
        <w:rPr>
          <w:rStyle w:val="citation-187"/>
          <w:rFonts w:asciiTheme="minorHAnsi" w:hAnsiTheme="minorHAnsi" w:cstheme="minorHAnsi"/>
          <w:i/>
          <w:iCs/>
          <w:sz w:val="20"/>
          <w:szCs w:val="20"/>
        </w:rPr>
        <w:t>Actualidad civil</w:t>
      </w:r>
      <w:r w:rsidRPr="005932AA">
        <w:rPr>
          <w:rStyle w:val="citation-187"/>
          <w:rFonts w:asciiTheme="minorHAnsi" w:hAnsiTheme="minorHAnsi" w:cstheme="minorHAnsi"/>
          <w:sz w:val="20"/>
          <w:szCs w:val="20"/>
        </w:rPr>
        <w:t>, Nº 12, 2024</w:t>
      </w:r>
      <w:r w:rsidRPr="005932AA">
        <w:rPr>
          <w:rFonts w:asciiTheme="minorHAnsi" w:hAnsiTheme="minorHAnsi" w:cstheme="minorHAnsi"/>
          <w:sz w:val="20"/>
          <w:szCs w:val="20"/>
        </w:rPr>
        <w:t>.</w:t>
      </w:r>
    </w:p>
    <w:p w14:paraId="029D20E1"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Cuesta Barberá, Lázaro</w:t>
      </w:r>
      <w:r w:rsidRPr="005932AA">
        <w:rPr>
          <w:rFonts w:asciiTheme="minorHAnsi" w:hAnsiTheme="minorHAnsi" w:cstheme="minorHAnsi"/>
          <w:sz w:val="20"/>
          <w:szCs w:val="20"/>
        </w:rPr>
        <w:t xml:space="preserve">, “La indemnización y la mora del asegurador”, </w:t>
      </w:r>
      <w:r w:rsidRPr="005932AA">
        <w:rPr>
          <w:rFonts w:asciiTheme="minorHAnsi" w:hAnsiTheme="minorHAnsi" w:cstheme="minorHAnsi"/>
          <w:i/>
          <w:iCs/>
          <w:sz w:val="20"/>
          <w:szCs w:val="20"/>
        </w:rPr>
        <w:t>Revista española de seguros</w:t>
      </w:r>
      <w:r w:rsidRPr="005932AA">
        <w:rPr>
          <w:rFonts w:asciiTheme="minorHAnsi" w:hAnsiTheme="minorHAnsi" w:cstheme="minorHAnsi"/>
          <w:sz w:val="20"/>
          <w:szCs w:val="20"/>
        </w:rPr>
        <w:t xml:space="preserve">, Nº. 200, 2024, págs. </w:t>
      </w:r>
      <w:r w:rsidRPr="005932AA">
        <w:rPr>
          <w:rStyle w:val="citation-186"/>
          <w:rFonts w:asciiTheme="minorHAnsi" w:hAnsiTheme="minorHAnsi" w:cstheme="minorHAnsi"/>
          <w:sz w:val="20"/>
          <w:szCs w:val="20"/>
        </w:rPr>
        <w:t>845-864</w:t>
      </w:r>
      <w:r w:rsidRPr="005932AA">
        <w:rPr>
          <w:rFonts w:asciiTheme="minorHAnsi" w:hAnsiTheme="minorHAnsi" w:cstheme="minorHAnsi"/>
          <w:sz w:val="20"/>
          <w:szCs w:val="20"/>
        </w:rPr>
        <w:t>.</w:t>
      </w:r>
    </w:p>
    <w:p w14:paraId="610300B9"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85"/>
          <w:rFonts w:asciiTheme="minorHAnsi" w:hAnsiTheme="minorHAnsi" w:cstheme="minorHAnsi"/>
          <w:bCs/>
          <w:sz w:val="20"/>
          <w:szCs w:val="20"/>
        </w:rPr>
        <w:t>Díaz Moreno, Alejandro</w:t>
      </w:r>
      <w:r w:rsidRPr="005932AA">
        <w:rPr>
          <w:rStyle w:val="citation-185"/>
          <w:rFonts w:asciiTheme="minorHAnsi" w:hAnsiTheme="minorHAnsi" w:cstheme="minorHAnsi"/>
          <w:sz w:val="20"/>
          <w:szCs w:val="20"/>
        </w:rPr>
        <w:t xml:space="preserve">, “El consumidor como destinatario último del producto o servicio. La aplicación de los bienes o servicios a una actividad empresarial o profesional, aunque sea de un modo indirecto ¿excluye el carácter de consumidor?”, </w:t>
      </w:r>
      <w:r w:rsidRPr="005932AA">
        <w:rPr>
          <w:rStyle w:val="citation-185"/>
          <w:rFonts w:asciiTheme="minorHAnsi" w:hAnsiTheme="minorHAnsi" w:cstheme="minorHAnsi"/>
          <w:i/>
          <w:iCs/>
          <w:sz w:val="20"/>
          <w:szCs w:val="20"/>
        </w:rPr>
        <w:t>Cuadernos Civitas de jurisprudencia civil</w:t>
      </w:r>
      <w:r w:rsidRPr="005932AA">
        <w:rPr>
          <w:rStyle w:val="citation-185"/>
          <w:rFonts w:asciiTheme="minorHAnsi" w:hAnsiTheme="minorHAnsi" w:cstheme="minorHAnsi"/>
          <w:sz w:val="20"/>
          <w:szCs w:val="20"/>
        </w:rPr>
        <w:t>, Nº 126, 2024</w:t>
      </w:r>
      <w:r w:rsidRPr="005932AA">
        <w:rPr>
          <w:rFonts w:asciiTheme="minorHAnsi" w:hAnsiTheme="minorHAnsi" w:cstheme="minorHAnsi"/>
          <w:sz w:val="20"/>
          <w:szCs w:val="20"/>
        </w:rPr>
        <w:t>.</w:t>
      </w:r>
    </w:p>
    <w:p w14:paraId="4B3FA0C3"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Díez-Picazo Giménez, Ignacio</w:t>
      </w:r>
      <w:r w:rsidRPr="005932AA">
        <w:rPr>
          <w:rFonts w:asciiTheme="minorHAnsi" w:hAnsiTheme="minorHAnsi" w:cstheme="minorHAnsi"/>
          <w:sz w:val="20"/>
          <w:szCs w:val="20"/>
        </w:rPr>
        <w:t xml:space="preserve">, “Una visión crítica sobre la proyectada autoridad de defensa del cliente financiero”, </w:t>
      </w:r>
      <w:r w:rsidRPr="005932AA">
        <w:rPr>
          <w:rFonts w:asciiTheme="minorHAnsi" w:hAnsiTheme="minorHAnsi" w:cstheme="minorHAnsi"/>
          <w:i/>
          <w:iCs/>
          <w:sz w:val="20"/>
          <w:szCs w:val="20"/>
        </w:rPr>
        <w:t>Revista de derecho bancario y bursátil</w:t>
      </w:r>
      <w:r w:rsidRPr="005932AA">
        <w:rPr>
          <w:rFonts w:asciiTheme="minorHAnsi" w:hAnsiTheme="minorHAnsi" w:cstheme="minorHAnsi"/>
          <w:sz w:val="20"/>
          <w:szCs w:val="20"/>
        </w:rPr>
        <w:t xml:space="preserve">, Nº 174, 2024, pág. </w:t>
      </w:r>
      <w:r w:rsidRPr="005932AA">
        <w:rPr>
          <w:rStyle w:val="citation-184"/>
          <w:rFonts w:asciiTheme="minorHAnsi" w:hAnsiTheme="minorHAnsi" w:cstheme="minorHAnsi"/>
          <w:sz w:val="20"/>
          <w:szCs w:val="20"/>
        </w:rPr>
        <w:t>4</w:t>
      </w:r>
      <w:r w:rsidRPr="005932AA">
        <w:rPr>
          <w:rFonts w:asciiTheme="minorHAnsi" w:hAnsiTheme="minorHAnsi" w:cstheme="minorHAnsi"/>
          <w:sz w:val="20"/>
          <w:szCs w:val="20"/>
        </w:rPr>
        <w:t>.</w:t>
      </w:r>
    </w:p>
    <w:p w14:paraId="6307245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Domínguez Martínez, María Pilar</w:t>
      </w:r>
      <w:r w:rsidRPr="005932AA">
        <w:rPr>
          <w:rFonts w:asciiTheme="minorHAnsi" w:hAnsiTheme="minorHAnsi" w:cstheme="minorHAnsi"/>
          <w:sz w:val="20"/>
          <w:szCs w:val="20"/>
        </w:rPr>
        <w:t xml:space="preserve">, "El nuevo paradigma de resolución de conflictos en consumo. Cómo la Ley Orgánica 1/2025 impone la reclamación o negociación previa antes de demandar, consagra un régimen sancionador para empresarios incumplidores y redefine el acceso a la justicia en litig",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62-109.</w:t>
      </w:r>
    </w:p>
    <w:p w14:paraId="240B0796"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Estepa Montero, Manuel</w:t>
      </w:r>
      <w:r w:rsidRPr="005932AA">
        <w:rPr>
          <w:rFonts w:asciiTheme="minorHAnsi" w:hAnsiTheme="minorHAnsi" w:cstheme="minorHAnsi"/>
          <w:sz w:val="20"/>
          <w:szCs w:val="20"/>
        </w:rPr>
        <w:t xml:space="preserve">, “De las expectativas de mejora en la regulación jurídica de los pisos turísticos: la sostenibilidad como objetivo”, </w:t>
      </w:r>
      <w:r w:rsidRPr="005932AA">
        <w:rPr>
          <w:rFonts w:asciiTheme="minorHAnsi" w:hAnsiTheme="minorHAnsi" w:cstheme="minorHAnsi"/>
          <w:i/>
          <w:iCs/>
          <w:sz w:val="20"/>
          <w:szCs w:val="20"/>
        </w:rPr>
        <w:t>Anuario jurídico y económico escurialense</w:t>
      </w:r>
      <w:r w:rsidRPr="005932AA">
        <w:rPr>
          <w:rFonts w:asciiTheme="minorHAnsi" w:hAnsiTheme="minorHAnsi" w:cstheme="minorHAnsi"/>
          <w:sz w:val="20"/>
          <w:szCs w:val="20"/>
        </w:rPr>
        <w:t xml:space="preserve">, Nº. 58, 2025, págs. </w:t>
      </w:r>
      <w:r w:rsidRPr="005932AA">
        <w:rPr>
          <w:rStyle w:val="citation-183"/>
          <w:rFonts w:asciiTheme="minorHAnsi" w:hAnsiTheme="minorHAnsi" w:cstheme="minorHAnsi"/>
          <w:sz w:val="20"/>
          <w:szCs w:val="20"/>
        </w:rPr>
        <w:t>49-82</w:t>
      </w:r>
      <w:r w:rsidRPr="005932AA">
        <w:rPr>
          <w:rFonts w:asciiTheme="minorHAnsi" w:hAnsiTheme="minorHAnsi" w:cstheme="minorHAnsi"/>
          <w:sz w:val="20"/>
          <w:szCs w:val="20"/>
        </w:rPr>
        <w:t>.</w:t>
      </w:r>
    </w:p>
    <w:p w14:paraId="562ECC60"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82"/>
          <w:rFonts w:asciiTheme="minorHAnsi" w:hAnsiTheme="minorHAnsi" w:cstheme="minorHAnsi"/>
          <w:bCs/>
          <w:sz w:val="20"/>
          <w:szCs w:val="20"/>
        </w:rPr>
        <w:t>Farnós Amorós, Esther</w:t>
      </w:r>
      <w:r w:rsidRPr="005932AA">
        <w:rPr>
          <w:rStyle w:val="citation-182"/>
          <w:rFonts w:asciiTheme="minorHAnsi" w:hAnsiTheme="minorHAnsi" w:cstheme="minorHAnsi"/>
          <w:sz w:val="20"/>
          <w:szCs w:val="20"/>
        </w:rPr>
        <w:t xml:space="preserve">, “Responsabilidad del suministrador perteneciente al mismo grupo de empresas que el fabricante: cómputo del plazo extintivo y compatibilidad de regímenes de responsabilidad. Comentario a la STS 470/2024, de 7 de febrero (JUR 2024, 47587)”, </w:t>
      </w:r>
      <w:r w:rsidRPr="005932AA">
        <w:rPr>
          <w:rStyle w:val="citation-182"/>
          <w:rFonts w:asciiTheme="minorHAnsi" w:hAnsiTheme="minorHAnsi" w:cstheme="minorHAnsi"/>
          <w:i/>
          <w:iCs/>
          <w:sz w:val="20"/>
          <w:szCs w:val="20"/>
        </w:rPr>
        <w:t>Cuadernos Civitas de jurisprudencia civil</w:t>
      </w:r>
      <w:r w:rsidRPr="005932AA">
        <w:rPr>
          <w:rStyle w:val="citation-182"/>
          <w:rFonts w:asciiTheme="minorHAnsi" w:hAnsiTheme="minorHAnsi" w:cstheme="minorHAnsi"/>
          <w:sz w:val="20"/>
          <w:szCs w:val="20"/>
        </w:rPr>
        <w:t>, Nº 126, 2024</w:t>
      </w:r>
      <w:r w:rsidRPr="005932AA">
        <w:rPr>
          <w:rFonts w:asciiTheme="minorHAnsi" w:hAnsiTheme="minorHAnsi" w:cstheme="minorHAnsi"/>
          <w:sz w:val="20"/>
          <w:szCs w:val="20"/>
        </w:rPr>
        <w:t>.</w:t>
      </w:r>
    </w:p>
    <w:p w14:paraId="5C635245"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81"/>
          <w:rFonts w:asciiTheme="minorHAnsi" w:hAnsiTheme="minorHAnsi" w:cstheme="minorHAnsi"/>
          <w:bCs/>
          <w:sz w:val="20"/>
          <w:szCs w:val="20"/>
        </w:rPr>
        <w:t>Fernández Manzano, Luis Alfonso</w:t>
      </w:r>
      <w:r w:rsidRPr="005932AA">
        <w:rPr>
          <w:rStyle w:val="citation-181"/>
          <w:rFonts w:asciiTheme="minorHAnsi" w:hAnsiTheme="minorHAnsi" w:cstheme="minorHAnsi"/>
          <w:sz w:val="20"/>
          <w:szCs w:val="20"/>
        </w:rPr>
        <w:t xml:space="preserve">, “La carga de la prueba en la nueva Directiva sobre Responsabilidad por Productos Defectuosos”, </w:t>
      </w:r>
      <w:r w:rsidRPr="005932AA">
        <w:rPr>
          <w:rStyle w:val="citation-181"/>
          <w:rFonts w:asciiTheme="minorHAnsi" w:hAnsiTheme="minorHAnsi" w:cstheme="minorHAnsi"/>
          <w:i/>
          <w:iCs/>
          <w:sz w:val="20"/>
          <w:szCs w:val="20"/>
        </w:rPr>
        <w:t>Actualidad jurídica Aranzadi</w:t>
      </w:r>
      <w:r w:rsidRPr="005932AA">
        <w:rPr>
          <w:rStyle w:val="citation-181"/>
          <w:rFonts w:asciiTheme="minorHAnsi" w:hAnsiTheme="minorHAnsi" w:cstheme="minorHAnsi"/>
          <w:sz w:val="20"/>
          <w:szCs w:val="20"/>
        </w:rPr>
        <w:t>, Nº 1014, 2025</w:t>
      </w:r>
      <w:r w:rsidRPr="005932AA">
        <w:rPr>
          <w:rFonts w:asciiTheme="minorHAnsi" w:hAnsiTheme="minorHAnsi" w:cstheme="minorHAnsi"/>
          <w:sz w:val="20"/>
          <w:szCs w:val="20"/>
        </w:rPr>
        <w:t>.</w:t>
      </w:r>
    </w:p>
    <w:p w14:paraId="69580146"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80"/>
          <w:rFonts w:asciiTheme="minorHAnsi" w:hAnsiTheme="minorHAnsi" w:cstheme="minorHAnsi"/>
          <w:bCs/>
          <w:sz w:val="20"/>
          <w:szCs w:val="20"/>
        </w:rPr>
        <w:t>Fernández Moya, Joaquín</w:t>
      </w:r>
      <w:r w:rsidRPr="005932AA">
        <w:rPr>
          <w:rStyle w:val="citation-180"/>
          <w:rFonts w:asciiTheme="minorHAnsi" w:hAnsiTheme="minorHAnsi" w:cstheme="minorHAnsi"/>
          <w:sz w:val="20"/>
          <w:szCs w:val="20"/>
        </w:rPr>
        <w:t xml:space="preserve">, “Cambios y ajustes derivados de la nueva Directiva europea sobre productos defectuosos”, </w:t>
      </w:r>
      <w:r w:rsidRPr="005932AA">
        <w:rPr>
          <w:rStyle w:val="citation-180"/>
          <w:rFonts w:asciiTheme="minorHAnsi" w:hAnsiTheme="minorHAnsi" w:cstheme="minorHAnsi"/>
          <w:i/>
          <w:iCs/>
          <w:sz w:val="20"/>
          <w:szCs w:val="20"/>
        </w:rPr>
        <w:t>Actualidad jurídica Aranzadi</w:t>
      </w:r>
      <w:r w:rsidRPr="005932AA">
        <w:rPr>
          <w:rStyle w:val="citation-180"/>
          <w:rFonts w:asciiTheme="minorHAnsi" w:hAnsiTheme="minorHAnsi" w:cstheme="minorHAnsi"/>
          <w:sz w:val="20"/>
          <w:szCs w:val="20"/>
        </w:rPr>
        <w:t>, Nº 1013, 2024</w:t>
      </w:r>
      <w:r w:rsidRPr="005932AA">
        <w:rPr>
          <w:rFonts w:asciiTheme="minorHAnsi" w:hAnsiTheme="minorHAnsi" w:cstheme="minorHAnsi"/>
          <w:sz w:val="20"/>
          <w:szCs w:val="20"/>
        </w:rPr>
        <w:t>.</w:t>
      </w:r>
    </w:p>
    <w:p w14:paraId="7035BCF5"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79"/>
          <w:rFonts w:asciiTheme="minorHAnsi" w:hAnsiTheme="minorHAnsi" w:cstheme="minorHAnsi"/>
          <w:bCs/>
          <w:sz w:val="20"/>
          <w:szCs w:val="20"/>
        </w:rPr>
        <w:t>Fernández Seijo, José M</w:t>
      </w:r>
      <w:proofErr w:type="gramStart"/>
      <w:r w:rsidRPr="005932AA">
        <w:rPr>
          <w:rStyle w:val="citation-179"/>
          <w:rFonts w:asciiTheme="minorHAnsi" w:hAnsiTheme="minorHAnsi" w:cstheme="minorHAnsi"/>
          <w:bCs/>
          <w:sz w:val="20"/>
          <w:szCs w:val="20"/>
        </w:rPr>
        <w:t>.ª</w:t>
      </w:r>
      <w:proofErr w:type="gramEnd"/>
      <w:r w:rsidRPr="005932AA">
        <w:rPr>
          <w:rStyle w:val="citation-179"/>
          <w:rFonts w:asciiTheme="minorHAnsi" w:hAnsiTheme="minorHAnsi" w:cstheme="minorHAnsi"/>
          <w:sz w:val="20"/>
          <w:szCs w:val="20"/>
        </w:rPr>
        <w:t xml:space="preserve">, “Nunca me digas las probabilidades. (El encaje de la Sentencia del Tribunal de Justicia de la Unión Europea de 7 de noviembre de 2024 en el modelo español de exoneración del pasivo insatisfecho)”, </w:t>
      </w:r>
      <w:r w:rsidRPr="005932AA">
        <w:rPr>
          <w:rStyle w:val="citation-179"/>
          <w:rFonts w:asciiTheme="minorHAnsi" w:hAnsiTheme="minorHAnsi" w:cstheme="minorHAnsi"/>
          <w:i/>
          <w:iCs/>
          <w:sz w:val="20"/>
          <w:szCs w:val="20"/>
        </w:rPr>
        <w:t>Actualidad civil</w:t>
      </w:r>
      <w:r w:rsidRPr="005932AA">
        <w:rPr>
          <w:rStyle w:val="citation-179"/>
          <w:rFonts w:asciiTheme="minorHAnsi" w:hAnsiTheme="minorHAnsi" w:cstheme="minorHAnsi"/>
          <w:sz w:val="20"/>
          <w:szCs w:val="20"/>
        </w:rPr>
        <w:t>, Nº 12, 2024</w:t>
      </w:r>
      <w:r w:rsidRPr="005932AA">
        <w:rPr>
          <w:rFonts w:asciiTheme="minorHAnsi" w:hAnsiTheme="minorHAnsi" w:cstheme="minorHAnsi"/>
          <w:sz w:val="20"/>
          <w:szCs w:val="20"/>
        </w:rPr>
        <w:t>.</w:t>
      </w:r>
    </w:p>
    <w:p w14:paraId="589EFDB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78"/>
          <w:rFonts w:asciiTheme="minorHAnsi" w:hAnsiTheme="minorHAnsi" w:cstheme="minorHAnsi"/>
          <w:bCs/>
          <w:sz w:val="20"/>
          <w:szCs w:val="20"/>
        </w:rPr>
        <w:t>Flaquer Riutort, Juan</w:t>
      </w:r>
      <w:r w:rsidRPr="005932AA">
        <w:rPr>
          <w:rStyle w:val="citation-178"/>
          <w:rFonts w:asciiTheme="minorHAnsi" w:hAnsiTheme="minorHAnsi" w:cstheme="minorHAnsi"/>
          <w:sz w:val="20"/>
          <w:szCs w:val="20"/>
        </w:rPr>
        <w:t xml:space="preserve">, “Plataformas de alojamiento: Europa se queda a medias”, </w:t>
      </w:r>
      <w:r w:rsidRPr="005932AA">
        <w:rPr>
          <w:rStyle w:val="citation-178"/>
          <w:rFonts w:asciiTheme="minorHAnsi" w:hAnsiTheme="minorHAnsi" w:cstheme="minorHAnsi"/>
          <w:i/>
          <w:iCs/>
          <w:sz w:val="20"/>
          <w:szCs w:val="20"/>
        </w:rPr>
        <w:t>Diario La Ley</w:t>
      </w:r>
      <w:r w:rsidRPr="005932AA">
        <w:rPr>
          <w:rStyle w:val="citation-178"/>
          <w:rFonts w:asciiTheme="minorHAnsi" w:hAnsiTheme="minorHAnsi" w:cstheme="minorHAnsi"/>
          <w:sz w:val="20"/>
          <w:szCs w:val="20"/>
        </w:rPr>
        <w:t>, Nº 10661, 2025</w:t>
      </w:r>
      <w:r w:rsidRPr="005932AA">
        <w:rPr>
          <w:rFonts w:asciiTheme="minorHAnsi" w:hAnsiTheme="minorHAnsi" w:cstheme="minorHAnsi"/>
          <w:sz w:val="20"/>
          <w:szCs w:val="20"/>
        </w:rPr>
        <w:t>.</w:t>
      </w:r>
    </w:p>
    <w:p w14:paraId="66790384"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77"/>
          <w:rFonts w:asciiTheme="minorHAnsi" w:hAnsiTheme="minorHAnsi" w:cstheme="minorHAnsi"/>
          <w:bCs/>
          <w:sz w:val="20"/>
          <w:szCs w:val="20"/>
        </w:rPr>
        <w:t>Flaquer Riutort, Juan</w:t>
      </w:r>
      <w:r w:rsidRPr="005932AA">
        <w:rPr>
          <w:rStyle w:val="citation-177"/>
          <w:rFonts w:asciiTheme="minorHAnsi" w:hAnsiTheme="minorHAnsi" w:cstheme="minorHAnsi"/>
          <w:sz w:val="20"/>
          <w:szCs w:val="20"/>
        </w:rPr>
        <w:t xml:space="preserve">, “Viajes combinados o vinculados: el papel de las plataformas”, </w:t>
      </w:r>
      <w:r w:rsidRPr="005932AA">
        <w:rPr>
          <w:rStyle w:val="citation-177"/>
          <w:rFonts w:asciiTheme="minorHAnsi" w:hAnsiTheme="minorHAnsi" w:cstheme="minorHAnsi"/>
          <w:i/>
          <w:iCs/>
          <w:sz w:val="20"/>
          <w:szCs w:val="20"/>
        </w:rPr>
        <w:t>Diario La Ley</w:t>
      </w:r>
      <w:r w:rsidRPr="005932AA">
        <w:rPr>
          <w:rStyle w:val="citation-177"/>
          <w:rFonts w:asciiTheme="minorHAnsi" w:hAnsiTheme="minorHAnsi" w:cstheme="minorHAnsi"/>
          <w:sz w:val="20"/>
          <w:szCs w:val="20"/>
        </w:rPr>
        <w:t>, Nº 10634, 2024</w:t>
      </w:r>
      <w:r w:rsidRPr="005932AA">
        <w:rPr>
          <w:rFonts w:asciiTheme="minorHAnsi" w:hAnsiTheme="minorHAnsi" w:cstheme="minorHAnsi"/>
          <w:sz w:val="20"/>
          <w:szCs w:val="20"/>
        </w:rPr>
        <w:t>.</w:t>
      </w:r>
    </w:p>
    <w:p w14:paraId="4B88C036"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76"/>
          <w:rFonts w:asciiTheme="minorHAnsi" w:hAnsiTheme="minorHAnsi" w:cstheme="minorHAnsi"/>
          <w:bCs/>
          <w:sz w:val="20"/>
          <w:szCs w:val="20"/>
        </w:rPr>
        <w:t>García de Pablos, Jesús Félix</w:t>
      </w:r>
      <w:r w:rsidRPr="005932AA">
        <w:rPr>
          <w:rStyle w:val="citation-176"/>
          <w:rFonts w:asciiTheme="minorHAnsi" w:hAnsiTheme="minorHAnsi" w:cstheme="minorHAnsi"/>
          <w:sz w:val="20"/>
          <w:szCs w:val="20"/>
        </w:rPr>
        <w:t xml:space="preserve">, “Jurisprudencia del TJUE sobre las cláusulas abusivas en los préstamos hipotecarios”, </w:t>
      </w:r>
      <w:r w:rsidRPr="005932AA">
        <w:rPr>
          <w:rStyle w:val="citation-176"/>
          <w:rFonts w:asciiTheme="minorHAnsi" w:hAnsiTheme="minorHAnsi" w:cstheme="minorHAnsi"/>
          <w:i/>
          <w:iCs/>
          <w:sz w:val="20"/>
          <w:szCs w:val="20"/>
        </w:rPr>
        <w:t>Diario La Ley</w:t>
      </w:r>
      <w:r w:rsidRPr="005932AA">
        <w:rPr>
          <w:rStyle w:val="citation-176"/>
          <w:rFonts w:asciiTheme="minorHAnsi" w:hAnsiTheme="minorHAnsi" w:cstheme="minorHAnsi"/>
          <w:sz w:val="20"/>
          <w:szCs w:val="20"/>
        </w:rPr>
        <w:t>, Nº 10658, 2025</w:t>
      </w:r>
      <w:r w:rsidRPr="005932AA">
        <w:rPr>
          <w:rFonts w:asciiTheme="minorHAnsi" w:hAnsiTheme="minorHAnsi" w:cstheme="minorHAnsi"/>
          <w:sz w:val="20"/>
          <w:szCs w:val="20"/>
        </w:rPr>
        <w:t>.</w:t>
      </w:r>
    </w:p>
    <w:p w14:paraId="5842A89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García Rodríguez, José María</w:t>
      </w:r>
      <w:r w:rsidRPr="005932AA">
        <w:rPr>
          <w:rFonts w:asciiTheme="minorHAnsi" w:hAnsiTheme="minorHAnsi" w:cstheme="minorHAnsi"/>
          <w:sz w:val="20"/>
          <w:szCs w:val="20"/>
        </w:rPr>
        <w:t xml:space="preserve">, “Análisis del Código de Buenas Prácticas para aliviar la subida de los tipos de interés en préstamos hipotecarios sobre vivienda habitual y de la reforma realizada en el Código de Buenas Prácticas del Real Decreto-ley 6/2012”, </w:t>
      </w:r>
      <w:r w:rsidRPr="005932AA">
        <w:rPr>
          <w:rFonts w:asciiTheme="minorHAnsi" w:hAnsiTheme="minorHAnsi" w:cstheme="minorHAnsi"/>
          <w:i/>
          <w:iCs/>
          <w:sz w:val="20"/>
          <w:szCs w:val="20"/>
        </w:rPr>
        <w:t>Revista de derecho bancario y bursátil</w:t>
      </w:r>
      <w:r w:rsidRPr="005932AA">
        <w:rPr>
          <w:rFonts w:asciiTheme="minorHAnsi" w:hAnsiTheme="minorHAnsi" w:cstheme="minorHAnsi"/>
          <w:sz w:val="20"/>
          <w:szCs w:val="20"/>
        </w:rPr>
        <w:t xml:space="preserve">, Nº 174, 2024, pág. </w:t>
      </w:r>
      <w:r w:rsidRPr="005932AA">
        <w:rPr>
          <w:rStyle w:val="citation-175"/>
          <w:rFonts w:asciiTheme="minorHAnsi" w:hAnsiTheme="minorHAnsi" w:cstheme="minorHAnsi"/>
          <w:sz w:val="20"/>
          <w:szCs w:val="20"/>
        </w:rPr>
        <w:t>10</w:t>
      </w:r>
      <w:r w:rsidRPr="005932AA">
        <w:rPr>
          <w:rFonts w:asciiTheme="minorHAnsi" w:hAnsiTheme="minorHAnsi" w:cstheme="minorHAnsi"/>
          <w:sz w:val="20"/>
          <w:szCs w:val="20"/>
        </w:rPr>
        <w:t>.</w:t>
      </w:r>
    </w:p>
    <w:p w14:paraId="104B7670"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74"/>
          <w:rFonts w:asciiTheme="minorHAnsi" w:hAnsiTheme="minorHAnsi" w:cstheme="minorHAnsi"/>
          <w:bCs/>
          <w:sz w:val="20"/>
          <w:szCs w:val="20"/>
        </w:rPr>
        <w:t>García Rodríguez, José María</w:t>
      </w:r>
      <w:r w:rsidRPr="005932AA">
        <w:rPr>
          <w:rStyle w:val="citation-174"/>
          <w:rFonts w:asciiTheme="minorHAnsi" w:hAnsiTheme="minorHAnsi" w:cstheme="minorHAnsi"/>
          <w:sz w:val="20"/>
          <w:szCs w:val="20"/>
        </w:rPr>
        <w:t xml:space="preserve">, “La cuestionable obligación de entrega de documentos por parte de las entidades bancarias y la interpretación de parte de la STS (1ª) 19 julio 2021”, </w:t>
      </w:r>
      <w:r w:rsidRPr="005932AA">
        <w:rPr>
          <w:rStyle w:val="citation-174"/>
          <w:rFonts w:asciiTheme="minorHAnsi" w:hAnsiTheme="minorHAnsi" w:cstheme="minorHAnsi"/>
          <w:i/>
          <w:iCs/>
          <w:sz w:val="20"/>
          <w:szCs w:val="20"/>
        </w:rPr>
        <w:t>Actualidad civil</w:t>
      </w:r>
      <w:r w:rsidRPr="005932AA">
        <w:rPr>
          <w:rStyle w:val="citation-174"/>
          <w:rFonts w:asciiTheme="minorHAnsi" w:hAnsiTheme="minorHAnsi" w:cstheme="minorHAnsi"/>
          <w:sz w:val="20"/>
          <w:szCs w:val="20"/>
        </w:rPr>
        <w:t>, Nº 12, 2024</w:t>
      </w:r>
      <w:r w:rsidRPr="005932AA">
        <w:rPr>
          <w:rFonts w:asciiTheme="minorHAnsi" w:hAnsiTheme="minorHAnsi" w:cstheme="minorHAnsi"/>
          <w:sz w:val="20"/>
          <w:szCs w:val="20"/>
        </w:rPr>
        <w:t>.</w:t>
      </w:r>
    </w:p>
    <w:p w14:paraId="3A0B73A4"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Gómez Perals, Miguel</w:t>
      </w:r>
      <w:r w:rsidRPr="005932AA">
        <w:rPr>
          <w:rFonts w:asciiTheme="minorHAnsi" w:hAnsiTheme="minorHAnsi" w:cstheme="minorHAnsi"/>
          <w:sz w:val="20"/>
          <w:szCs w:val="20"/>
        </w:rPr>
        <w:t xml:space="preserve">, “Protección de datos y registro de la propiedad: tanto monta, monta tanto”, </w:t>
      </w:r>
      <w:r w:rsidRPr="005932AA">
        <w:rPr>
          <w:rFonts w:asciiTheme="minorHAnsi" w:hAnsiTheme="minorHAnsi" w:cstheme="minorHAnsi"/>
          <w:i/>
          <w:iCs/>
          <w:sz w:val="20"/>
          <w:szCs w:val="20"/>
        </w:rPr>
        <w:t>Revista Crítica de Derecho Inmobiliario</w:t>
      </w:r>
      <w:r w:rsidRPr="005932AA">
        <w:rPr>
          <w:rFonts w:asciiTheme="minorHAnsi" w:hAnsiTheme="minorHAnsi" w:cstheme="minorHAnsi"/>
          <w:sz w:val="20"/>
          <w:szCs w:val="20"/>
        </w:rPr>
        <w:t xml:space="preserve">, Nº. 806, 2024, págs. </w:t>
      </w:r>
      <w:r w:rsidRPr="005932AA">
        <w:rPr>
          <w:rStyle w:val="citation-173"/>
          <w:rFonts w:asciiTheme="minorHAnsi" w:hAnsiTheme="minorHAnsi" w:cstheme="minorHAnsi"/>
          <w:sz w:val="20"/>
          <w:szCs w:val="20"/>
        </w:rPr>
        <w:t>3159-3215</w:t>
      </w:r>
      <w:r w:rsidRPr="005932AA">
        <w:rPr>
          <w:rFonts w:asciiTheme="minorHAnsi" w:hAnsiTheme="minorHAnsi" w:cstheme="minorHAnsi"/>
          <w:sz w:val="20"/>
          <w:szCs w:val="20"/>
        </w:rPr>
        <w:t>.</w:t>
      </w:r>
    </w:p>
    <w:p w14:paraId="646022F5"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Gómez Rodríguez, Álvaro</w:t>
      </w:r>
      <w:r w:rsidRPr="005932AA">
        <w:rPr>
          <w:rFonts w:asciiTheme="minorHAnsi" w:hAnsiTheme="minorHAnsi" w:cstheme="minorHAnsi"/>
          <w:sz w:val="20"/>
          <w:szCs w:val="20"/>
        </w:rPr>
        <w:t xml:space="preserve">, “La ampliación de la suspensión del lanzamiento del ejecutado hipotecario sobre la vivienda habitual de colectivos especialmente vulnerables tras la última reforma de la ley 1/2013, operada por el Real Decreto-Ley 1/2024”, </w:t>
      </w:r>
      <w:r w:rsidRPr="005932AA">
        <w:rPr>
          <w:rFonts w:asciiTheme="minorHAnsi" w:hAnsiTheme="minorHAnsi" w:cstheme="minorHAnsi"/>
          <w:i/>
          <w:iCs/>
          <w:sz w:val="20"/>
          <w:szCs w:val="20"/>
        </w:rPr>
        <w:t>Práctica de tribunales: revista de derecho procesal civil y mercantil</w:t>
      </w:r>
      <w:r w:rsidRPr="005932AA">
        <w:rPr>
          <w:rFonts w:asciiTheme="minorHAnsi" w:hAnsiTheme="minorHAnsi" w:cstheme="minorHAnsi"/>
          <w:sz w:val="20"/>
          <w:szCs w:val="20"/>
        </w:rPr>
        <w:t xml:space="preserve">, Nº. </w:t>
      </w:r>
      <w:r w:rsidRPr="005932AA">
        <w:rPr>
          <w:rStyle w:val="citation-172"/>
          <w:rFonts w:asciiTheme="minorHAnsi" w:hAnsiTheme="minorHAnsi" w:cstheme="minorHAnsi"/>
          <w:sz w:val="20"/>
          <w:szCs w:val="20"/>
        </w:rPr>
        <w:t>169, 2024</w:t>
      </w:r>
      <w:r w:rsidRPr="005932AA">
        <w:rPr>
          <w:rFonts w:asciiTheme="minorHAnsi" w:hAnsiTheme="minorHAnsi" w:cstheme="minorHAnsi"/>
          <w:sz w:val="20"/>
          <w:szCs w:val="20"/>
        </w:rPr>
        <w:t>.</w:t>
      </w:r>
    </w:p>
    <w:p w14:paraId="5729FCA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González Beluche, Paloma</w:t>
      </w:r>
      <w:r w:rsidRPr="005932AA">
        <w:rPr>
          <w:rFonts w:asciiTheme="minorHAnsi" w:hAnsiTheme="minorHAnsi" w:cstheme="minorHAnsi"/>
          <w:sz w:val="20"/>
          <w:szCs w:val="20"/>
        </w:rPr>
        <w:t xml:space="preserve">, “La nueva Directiva (UE) 2024/2853 de 23 de octubre de 2024 sobre responsabilidad por los daños causados por productos defectuosos: sus principales aportaciones”, </w:t>
      </w:r>
      <w:r w:rsidRPr="005932AA">
        <w:rPr>
          <w:rFonts w:asciiTheme="minorHAnsi" w:hAnsiTheme="minorHAnsi" w:cstheme="minorHAnsi"/>
          <w:i/>
          <w:iCs/>
          <w:sz w:val="20"/>
          <w:szCs w:val="20"/>
        </w:rPr>
        <w:t>La Ley Unión Europea</w:t>
      </w:r>
      <w:r w:rsidRPr="005932AA">
        <w:rPr>
          <w:rFonts w:asciiTheme="minorHAnsi" w:hAnsiTheme="minorHAnsi" w:cstheme="minorHAnsi"/>
          <w:sz w:val="20"/>
          <w:szCs w:val="20"/>
        </w:rPr>
        <w:t xml:space="preserve">, Nº. </w:t>
      </w:r>
      <w:r w:rsidRPr="005932AA">
        <w:rPr>
          <w:rStyle w:val="citation-171"/>
          <w:rFonts w:asciiTheme="minorHAnsi" w:hAnsiTheme="minorHAnsi" w:cstheme="minorHAnsi"/>
          <w:sz w:val="20"/>
          <w:szCs w:val="20"/>
        </w:rPr>
        <w:t>132, 2025</w:t>
      </w:r>
      <w:r w:rsidRPr="005932AA">
        <w:rPr>
          <w:rFonts w:asciiTheme="minorHAnsi" w:hAnsiTheme="minorHAnsi" w:cstheme="minorHAnsi"/>
          <w:sz w:val="20"/>
          <w:szCs w:val="20"/>
        </w:rPr>
        <w:t>.</w:t>
      </w:r>
    </w:p>
    <w:p w14:paraId="00CF535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lastRenderedPageBreak/>
        <w:t>González-Orús Charro, Martín</w:t>
      </w:r>
      <w:r w:rsidRPr="005932AA">
        <w:rPr>
          <w:rFonts w:asciiTheme="minorHAnsi" w:hAnsiTheme="minorHAnsi" w:cstheme="minorHAnsi"/>
          <w:sz w:val="20"/>
          <w:szCs w:val="20"/>
        </w:rPr>
        <w:t xml:space="preserve">, “La esdebitazione o exoneración de deudas en el derecho concursal italiano: un estudio comparativo con la normativa española”, </w:t>
      </w:r>
      <w:r w:rsidRPr="005932AA">
        <w:rPr>
          <w:rFonts w:asciiTheme="minorHAnsi" w:hAnsiTheme="minorHAnsi" w:cstheme="minorHAnsi"/>
          <w:i/>
          <w:iCs/>
          <w:sz w:val="20"/>
          <w:szCs w:val="20"/>
        </w:rPr>
        <w:t>Anuario de derecho concursal</w:t>
      </w:r>
      <w:r w:rsidRPr="005932AA">
        <w:rPr>
          <w:rFonts w:asciiTheme="minorHAnsi" w:hAnsiTheme="minorHAnsi" w:cstheme="minorHAnsi"/>
          <w:sz w:val="20"/>
          <w:szCs w:val="20"/>
        </w:rPr>
        <w:t xml:space="preserve">, Nº. 63, 2024, págs. </w:t>
      </w:r>
      <w:r w:rsidRPr="005932AA">
        <w:rPr>
          <w:rStyle w:val="citation-170"/>
          <w:rFonts w:asciiTheme="minorHAnsi" w:hAnsiTheme="minorHAnsi" w:cstheme="minorHAnsi"/>
          <w:sz w:val="20"/>
          <w:szCs w:val="20"/>
        </w:rPr>
        <w:t>100-139</w:t>
      </w:r>
      <w:r w:rsidRPr="005932AA">
        <w:rPr>
          <w:rFonts w:asciiTheme="minorHAnsi" w:hAnsiTheme="minorHAnsi" w:cstheme="minorHAnsi"/>
          <w:sz w:val="20"/>
          <w:szCs w:val="20"/>
        </w:rPr>
        <w:t>.</w:t>
      </w:r>
    </w:p>
    <w:p w14:paraId="2CBDDA7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69"/>
          <w:rFonts w:asciiTheme="minorHAnsi" w:hAnsiTheme="minorHAnsi" w:cstheme="minorHAnsi"/>
          <w:bCs/>
          <w:sz w:val="20"/>
          <w:szCs w:val="20"/>
        </w:rPr>
        <w:t>Hernández Manzanares, Augusto</w:t>
      </w:r>
      <w:r w:rsidRPr="005932AA">
        <w:rPr>
          <w:rStyle w:val="citation-169"/>
          <w:rFonts w:asciiTheme="minorHAnsi" w:hAnsiTheme="minorHAnsi" w:cstheme="minorHAnsi"/>
          <w:sz w:val="20"/>
          <w:szCs w:val="20"/>
        </w:rPr>
        <w:t xml:space="preserve">, “El crédito revolving: criterios sobre la falta de transparencia y abusividad”, </w:t>
      </w:r>
      <w:r w:rsidRPr="005932AA">
        <w:rPr>
          <w:rStyle w:val="citation-169"/>
          <w:rFonts w:asciiTheme="minorHAnsi" w:hAnsiTheme="minorHAnsi" w:cstheme="minorHAnsi"/>
          <w:i/>
          <w:iCs/>
          <w:sz w:val="20"/>
          <w:szCs w:val="20"/>
        </w:rPr>
        <w:t>Diario La Ley</w:t>
      </w:r>
      <w:r w:rsidRPr="005932AA">
        <w:rPr>
          <w:rStyle w:val="citation-169"/>
          <w:rFonts w:asciiTheme="minorHAnsi" w:hAnsiTheme="minorHAnsi" w:cstheme="minorHAnsi"/>
          <w:sz w:val="20"/>
          <w:szCs w:val="20"/>
        </w:rPr>
        <w:t>, Nº 10676, 2025</w:t>
      </w:r>
      <w:r w:rsidRPr="005932AA">
        <w:rPr>
          <w:rFonts w:asciiTheme="minorHAnsi" w:hAnsiTheme="minorHAnsi" w:cstheme="minorHAnsi"/>
          <w:sz w:val="20"/>
          <w:szCs w:val="20"/>
        </w:rPr>
        <w:t>.</w:t>
      </w:r>
    </w:p>
    <w:p w14:paraId="0A722215"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68"/>
          <w:rFonts w:asciiTheme="minorHAnsi" w:hAnsiTheme="minorHAnsi" w:cstheme="minorHAnsi"/>
          <w:bCs/>
          <w:sz w:val="20"/>
          <w:szCs w:val="20"/>
        </w:rPr>
        <w:t>Hernández Manzanares, Augusto</w:t>
      </w:r>
      <w:r w:rsidRPr="005932AA">
        <w:rPr>
          <w:rStyle w:val="citation-168"/>
          <w:rFonts w:asciiTheme="minorHAnsi" w:hAnsiTheme="minorHAnsi" w:cstheme="minorHAnsi"/>
          <w:sz w:val="20"/>
          <w:szCs w:val="20"/>
        </w:rPr>
        <w:t xml:space="preserve">, “Seguro decenal de daños y transmisión del interés asegurado”, </w:t>
      </w:r>
      <w:r w:rsidRPr="005932AA">
        <w:rPr>
          <w:rStyle w:val="citation-168"/>
          <w:rFonts w:asciiTheme="minorHAnsi" w:hAnsiTheme="minorHAnsi" w:cstheme="minorHAnsi"/>
          <w:i/>
          <w:iCs/>
          <w:sz w:val="20"/>
          <w:szCs w:val="20"/>
        </w:rPr>
        <w:t>Diario La Ley</w:t>
      </w:r>
      <w:r w:rsidRPr="005932AA">
        <w:rPr>
          <w:rStyle w:val="citation-168"/>
          <w:rFonts w:asciiTheme="minorHAnsi" w:hAnsiTheme="minorHAnsi" w:cstheme="minorHAnsi"/>
          <w:sz w:val="20"/>
          <w:szCs w:val="20"/>
        </w:rPr>
        <w:t>, Nº 10637, 2025</w:t>
      </w:r>
      <w:r w:rsidRPr="005932AA">
        <w:rPr>
          <w:rFonts w:asciiTheme="minorHAnsi" w:hAnsiTheme="minorHAnsi" w:cstheme="minorHAnsi"/>
          <w:sz w:val="20"/>
          <w:szCs w:val="20"/>
        </w:rPr>
        <w:t>.</w:t>
      </w:r>
    </w:p>
    <w:p w14:paraId="5792365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Jiménez París, Teresa Asunción</w:t>
      </w:r>
      <w:r w:rsidRPr="005932AA">
        <w:rPr>
          <w:rFonts w:asciiTheme="minorHAnsi" w:hAnsiTheme="minorHAnsi" w:cstheme="minorHAnsi"/>
          <w:sz w:val="20"/>
          <w:szCs w:val="20"/>
        </w:rPr>
        <w:t xml:space="preserve">, “Vivienda habitual hipotecada y concurso de acreedores tras la ley 16/2022, de 5 de septiembre”, </w:t>
      </w:r>
      <w:r w:rsidRPr="005932AA">
        <w:rPr>
          <w:rFonts w:asciiTheme="minorHAnsi" w:hAnsiTheme="minorHAnsi" w:cstheme="minorHAnsi"/>
          <w:i/>
          <w:iCs/>
          <w:sz w:val="20"/>
          <w:szCs w:val="20"/>
        </w:rPr>
        <w:t>Revista Crítica de Derecho Inmobiliario</w:t>
      </w:r>
      <w:r w:rsidRPr="005932AA">
        <w:rPr>
          <w:rFonts w:asciiTheme="minorHAnsi" w:hAnsiTheme="minorHAnsi" w:cstheme="minorHAnsi"/>
          <w:sz w:val="20"/>
          <w:szCs w:val="20"/>
        </w:rPr>
        <w:t xml:space="preserve">, Nº. 807, 2025, págs. </w:t>
      </w:r>
      <w:r w:rsidRPr="005932AA">
        <w:rPr>
          <w:rStyle w:val="citation-167"/>
          <w:rFonts w:asciiTheme="minorHAnsi" w:hAnsiTheme="minorHAnsi" w:cstheme="minorHAnsi"/>
          <w:sz w:val="20"/>
          <w:szCs w:val="20"/>
        </w:rPr>
        <w:t>497-511</w:t>
      </w:r>
      <w:r w:rsidRPr="005932AA">
        <w:rPr>
          <w:rFonts w:asciiTheme="minorHAnsi" w:hAnsiTheme="minorHAnsi" w:cstheme="minorHAnsi"/>
          <w:sz w:val="20"/>
          <w:szCs w:val="20"/>
        </w:rPr>
        <w:t>.</w:t>
      </w:r>
    </w:p>
    <w:p w14:paraId="1F3C6EDB"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López Valverde, Marta</w:t>
      </w:r>
      <w:r w:rsidRPr="005932AA">
        <w:rPr>
          <w:rFonts w:asciiTheme="minorHAnsi" w:hAnsiTheme="minorHAnsi" w:cstheme="minorHAnsi"/>
          <w:sz w:val="20"/>
          <w:szCs w:val="20"/>
        </w:rPr>
        <w:t xml:space="preserve">, “Coberturas en la okupación ilegal por el seguro del hogar o el seguro antiokupación”, </w:t>
      </w:r>
      <w:r w:rsidRPr="005932AA">
        <w:rPr>
          <w:rFonts w:asciiTheme="minorHAnsi" w:hAnsiTheme="minorHAnsi" w:cstheme="minorHAnsi"/>
          <w:i/>
          <w:iCs/>
          <w:sz w:val="20"/>
          <w:szCs w:val="20"/>
        </w:rPr>
        <w:t>Responsabilidad civil, seguro y trafico: cuaderno jurídico</w:t>
      </w:r>
      <w:r w:rsidRPr="005932AA">
        <w:rPr>
          <w:rFonts w:asciiTheme="minorHAnsi" w:hAnsiTheme="minorHAnsi" w:cstheme="minorHAnsi"/>
          <w:sz w:val="20"/>
          <w:szCs w:val="20"/>
        </w:rPr>
        <w:t xml:space="preserve">, Nº. 89, 2025, págs. </w:t>
      </w:r>
      <w:r w:rsidRPr="005932AA">
        <w:rPr>
          <w:rStyle w:val="citation-166"/>
          <w:rFonts w:asciiTheme="minorHAnsi" w:hAnsiTheme="minorHAnsi" w:cstheme="minorHAnsi"/>
          <w:sz w:val="20"/>
          <w:szCs w:val="20"/>
        </w:rPr>
        <w:t>15-22</w:t>
      </w:r>
      <w:r w:rsidRPr="005932AA">
        <w:rPr>
          <w:rFonts w:asciiTheme="minorHAnsi" w:hAnsiTheme="minorHAnsi" w:cstheme="minorHAnsi"/>
          <w:sz w:val="20"/>
          <w:szCs w:val="20"/>
        </w:rPr>
        <w:t>.</w:t>
      </w:r>
    </w:p>
    <w:p w14:paraId="6C759A47"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Marcos Francisco, Diana</w:t>
      </w:r>
      <w:r w:rsidRPr="005932AA">
        <w:rPr>
          <w:rFonts w:asciiTheme="minorHAnsi" w:hAnsiTheme="minorHAnsi" w:cstheme="minorHAnsi"/>
          <w:sz w:val="20"/>
          <w:szCs w:val="20"/>
        </w:rPr>
        <w:t xml:space="preserve">, “El futuro de la resolución alternativa de litigios de consumo en la Unión Europea y su incidencia en el sistema arbitral de consumo español”, </w:t>
      </w:r>
      <w:r w:rsidRPr="005932AA">
        <w:rPr>
          <w:rFonts w:asciiTheme="minorHAnsi" w:hAnsiTheme="minorHAnsi" w:cstheme="minorHAnsi"/>
          <w:i/>
          <w:iCs/>
          <w:sz w:val="20"/>
          <w:szCs w:val="20"/>
        </w:rPr>
        <w:t>La Ley. Mediación y arbitraje</w:t>
      </w:r>
      <w:r w:rsidRPr="005932AA">
        <w:rPr>
          <w:rFonts w:asciiTheme="minorHAnsi" w:hAnsiTheme="minorHAnsi" w:cstheme="minorHAnsi"/>
          <w:sz w:val="20"/>
          <w:szCs w:val="20"/>
        </w:rPr>
        <w:t xml:space="preserve">, Nº. </w:t>
      </w:r>
      <w:r w:rsidRPr="005932AA">
        <w:rPr>
          <w:rStyle w:val="citation-165"/>
          <w:rFonts w:asciiTheme="minorHAnsi" w:hAnsiTheme="minorHAnsi" w:cstheme="minorHAnsi"/>
          <w:sz w:val="20"/>
          <w:szCs w:val="20"/>
        </w:rPr>
        <w:t>21, 2024</w:t>
      </w:r>
      <w:r w:rsidRPr="005932AA">
        <w:rPr>
          <w:rFonts w:asciiTheme="minorHAnsi" w:hAnsiTheme="minorHAnsi" w:cstheme="minorHAnsi"/>
          <w:sz w:val="20"/>
          <w:szCs w:val="20"/>
        </w:rPr>
        <w:t>.</w:t>
      </w:r>
    </w:p>
    <w:p w14:paraId="76AC840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Marín López, Manuel Jesús</w:t>
      </w:r>
      <w:r w:rsidRPr="005932AA">
        <w:rPr>
          <w:rFonts w:asciiTheme="minorHAnsi" w:hAnsiTheme="minorHAnsi" w:cstheme="minorHAnsi"/>
          <w:sz w:val="20"/>
          <w:szCs w:val="20"/>
        </w:rPr>
        <w:t xml:space="preserve">, "Prescriptibilidad y 'dies a quo' de la acción de restitución de cantidades en el crédito revolving usurario: la STS 350/2025, de 5 de marzo",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121-134.</w:t>
      </w:r>
    </w:p>
    <w:p w14:paraId="5351486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Martín Faba, José María</w:t>
      </w:r>
      <w:r w:rsidRPr="005932AA">
        <w:rPr>
          <w:rFonts w:asciiTheme="minorHAnsi" w:hAnsiTheme="minorHAnsi" w:cstheme="minorHAnsi"/>
          <w:sz w:val="20"/>
          <w:szCs w:val="20"/>
        </w:rPr>
        <w:t xml:space="preserve">, "La Inteligencia Artificial en la nueva Directiva de responsabilidad por los daños causados por productos defectuosos ¿realidad o expectativa?",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14-19.</w:t>
      </w:r>
    </w:p>
    <w:p w14:paraId="70542F46"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Martínez Díaz, Francisco Javier</w:t>
      </w:r>
      <w:r w:rsidRPr="005932AA">
        <w:rPr>
          <w:rFonts w:asciiTheme="minorHAnsi" w:hAnsiTheme="minorHAnsi" w:cstheme="minorHAnsi"/>
          <w:sz w:val="20"/>
          <w:szCs w:val="20"/>
        </w:rPr>
        <w:t xml:space="preserve">, "La mal llamada 'jurisprudencia de la puerta': a propósito de la nota informativa del Juzgado de Primera Instancia nº. 72 de Madrid sobre allanamiento en créditos revolving",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110-120.</w:t>
      </w:r>
    </w:p>
    <w:p w14:paraId="68A67AA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Martínez Díaz, Francisco Javier</w:t>
      </w:r>
      <w:r w:rsidRPr="005932AA">
        <w:rPr>
          <w:rFonts w:asciiTheme="minorHAnsi" w:hAnsiTheme="minorHAnsi" w:cstheme="minorHAnsi"/>
          <w:sz w:val="20"/>
          <w:szCs w:val="20"/>
        </w:rPr>
        <w:t xml:space="preserve">, "Más vale fraude que usura: comentario a la Sentencia del Tribunal Supremo 1715/2024 de 20 de diciembre",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1-13.</w:t>
      </w:r>
    </w:p>
    <w:p w14:paraId="55BD2E91"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Martínez García, Pedro Antonio, “Análisis del IRPH tras la sentencia del Tribunal de Justicia de la Unión Europea”,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xml:space="preserve">, Nº. 248, 2025, págs. 1-12.  </w:t>
      </w:r>
    </w:p>
    <w:p w14:paraId="55B043D8"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Martínez Pavilla, Diego E.</w:t>
      </w:r>
      <w:r w:rsidRPr="005932AA">
        <w:rPr>
          <w:rFonts w:asciiTheme="minorHAnsi" w:hAnsiTheme="minorHAnsi" w:cstheme="minorHAnsi"/>
          <w:sz w:val="20"/>
          <w:szCs w:val="20"/>
        </w:rPr>
        <w:t xml:space="preserve">, “El uso de inteligencia artificial para otorgar créditos en la banca mexicana”, </w:t>
      </w:r>
      <w:r w:rsidRPr="005932AA">
        <w:rPr>
          <w:rFonts w:asciiTheme="minorHAnsi" w:hAnsiTheme="minorHAnsi" w:cstheme="minorHAnsi"/>
          <w:i/>
          <w:iCs/>
          <w:sz w:val="20"/>
          <w:szCs w:val="20"/>
        </w:rPr>
        <w:t>Informática y Derecho: Revista Iberoamericana de Derecho Informático (segunda época)</w:t>
      </w:r>
      <w:r w:rsidRPr="005932AA">
        <w:rPr>
          <w:rFonts w:asciiTheme="minorHAnsi" w:hAnsiTheme="minorHAnsi" w:cstheme="minorHAnsi"/>
          <w:sz w:val="20"/>
          <w:szCs w:val="20"/>
        </w:rPr>
        <w:t xml:space="preserve">, Nº. 15, 2, 2024, págs. </w:t>
      </w:r>
      <w:r w:rsidRPr="005932AA">
        <w:rPr>
          <w:rStyle w:val="citation-164"/>
          <w:rFonts w:asciiTheme="minorHAnsi" w:hAnsiTheme="minorHAnsi" w:cstheme="minorHAnsi"/>
          <w:sz w:val="20"/>
          <w:szCs w:val="20"/>
        </w:rPr>
        <w:t>83-97</w:t>
      </w:r>
      <w:r w:rsidRPr="005932AA">
        <w:rPr>
          <w:rFonts w:asciiTheme="minorHAnsi" w:hAnsiTheme="minorHAnsi" w:cstheme="minorHAnsi"/>
          <w:sz w:val="20"/>
          <w:szCs w:val="20"/>
        </w:rPr>
        <w:t>.</w:t>
      </w:r>
    </w:p>
    <w:p w14:paraId="6627A72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Miranda Anguita, Ana</w:t>
      </w:r>
      <w:r w:rsidRPr="005932AA">
        <w:rPr>
          <w:rFonts w:asciiTheme="minorHAnsi" w:hAnsiTheme="minorHAnsi" w:cstheme="minorHAnsi"/>
          <w:sz w:val="20"/>
          <w:szCs w:val="20"/>
        </w:rPr>
        <w:t xml:space="preserve">, “Sobre la eficacia vinculante de los contenidos publicitarios en la contratación interempresarial y su conexión con el control de transparencia material”, </w:t>
      </w:r>
      <w:r w:rsidRPr="005932AA">
        <w:rPr>
          <w:rFonts w:asciiTheme="minorHAnsi" w:hAnsiTheme="minorHAnsi" w:cstheme="minorHAnsi"/>
          <w:i/>
          <w:iCs/>
          <w:sz w:val="20"/>
          <w:szCs w:val="20"/>
        </w:rPr>
        <w:t>Revista de derecho de la competencia y la distribución</w:t>
      </w:r>
      <w:r w:rsidRPr="005932AA">
        <w:rPr>
          <w:rFonts w:asciiTheme="minorHAnsi" w:hAnsiTheme="minorHAnsi" w:cstheme="minorHAnsi"/>
          <w:sz w:val="20"/>
          <w:szCs w:val="20"/>
        </w:rPr>
        <w:t xml:space="preserve">, Nº. </w:t>
      </w:r>
      <w:r w:rsidRPr="005932AA">
        <w:rPr>
          <w:rStyle w:val="citation-163"/>
          <w:rFonts w:asciiTheme="minorHAnsi" w:hAnsiTheme="minorHAnsi" w:cstheme="minorHAnsi"/>
          <w:sz w:val="20"/>
          <w:szCs w:val="20"/>
        </w:rPr>
        <w:t>35, 2024</w:t>
      </w:r>
      <w:r w:rsidRPr="005932AA">
        <w:rPr>
          <w:rFonts w:asciiTheme="minorHAnsi" w:hAnsiTheme="minorHAnsi" w:cstheme="minorHAnsi"/>
          <w:sz w:val="20"/>
          <w:szCs w:val="20"/>
        </w:rPr>
        <w:t>.</w:t>
      </w:r>
    </w:p>
    <w:p w14:paraId="1A43B240"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Miranda Barbosa, Mafalda; De la Villa Briongos, Isaac</w:t>
      </w:r>
      <w:r w:rsidRPr="005932AA">
        <w:rPr>
          <w:rFonts w:asciiTheme="minorHAnsi" w:hAnsiTheme="minorHAnsi" w:cstheme="minorHAnsi"/>
          <w:sz w:val="20"/>
          <w:szCs w:val="20"/>
        </w:rPr>
        <w:t xml:space="preserve">, “Consumidores, comida basura y signos de calidad agroalimentaria: consideraciones desde el ámbito jurídico”, </w:t>
      </w:r>
      <w:r w:rsidRPr="005932AA">
        <w:rPr>
          <w:rFonts w:asciiTheme="minorHAnsi" w:hAnsiTheme="minorHAnsi" w:cstheme="minorHAnsi"/>
          <w:i/>
          <w:iCs/>
          <w:sz w:val="20"/>
          <w:szCs w:val="20"/>
        </w:rPr>
        <w:t>Revista de derecho agrario y alimentario</w:t>
      </w:r>
      <w:r w:rsidRPr="005932AA">
        <w:rPr>
          <w:rFonts w:asciiTheme="minorHAnsi" w:hAnsiTheme="minorHAnsi" w:cstheme="minorHAnsi"/>
          <w:sz w:val="20"/>
          <w:szCs w:val="20"/>
        </w:rPr>
        <w:t xml:space="preserve">, Nº. 85, 2024, págs. </w:t>
      </w:r>
      <w:r w:rsidRPr="005932AA">
        <w:rPr>
          <w:rStyle w:val="citation-162"/>
          <w:rFonts w:asciiTheme="minorHAnsi" w:hAnsiTheme="minorHAnsi" w:cstheme="minorHAnsi"/>
          <w:sz w:val="20"/>
          <w:szCs w:val="20"/>
        </w:rPr>
        <w:t>125-150</w:t>
      </w:r>
      <w:r w:rsidRPr="005932AA">
        <w:rPr>
          <w:rFonts w:asciiTheme="minorHAnsi" w:hAnsiTheme="minorHAnsi" w:cstheme="minorHAnsi"/>
          <w:sz w:val="20"/>
          <w:szCs w:val="20"/>
        </w:rPr>
        <w:t>.</w:t>
      </w:r>
    </w:p>
    <w:p w14:paraId="3219EE2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Miranda Serrano, Luis María</w:t>
      </w:r>
      <w:r w:rsidRPr="005932AA">
        <w:rPr>
          <w:rFonts w:asciiTheme="minorHAnsi" w:hAnsiTheme="minorHAnsi" w:cstheme="minorHAnsi"/>
          <w:sz w:val="20"/>
          <w:szCs w:val="20"/>
        </w:rPr>
        <w:t xml:space="preserve">, “El derecho de desistimiento en la contratación electrónica o digital de seguros tras la Directiva UE 2023/2673”, </w:t>
      </w:r>
      <w:r w:rsidRPr="005932AA">
        <w:rPr>
          <w:rFonts w:asciiTheme="minorHAnsi" w:hAnsiTheme="minorHAnsi" w:cstheme="minorHAnsi"/>
          <w:i/>
          <w:iCs/>
          <w:sz w:val="20"/>
          <w:szCs w:val="20"/>
        </w:rPr>
        <w:t>Revista española de seguros</w:t>
      </w:r>
      <w:r w:rsidRPr="005932AA">
        <w:rPr>
          <w:rFonts w:asciiTheme="minorHAnsi" w:hAnsiTheme="minorHAnsi" w:cstheme="minorHAnsi"/>
          <w:sz w:val="20"/>
          <w:szCs w:val="20"/>
        </w:rPr>
        <w:t xml:space="preserve">, Nº. 200, 2024, págs. </w:t>
      </w:r>
      <w:r w:rsidRPr="005932AA">
        <w:rPr>
          <w:rStyle w:val="citation-161"/>
          <w:rFonts w:asciiTheme="minorHAnsi" w:hAnsiTheme="minorHAnsi" w:cstheme="minorHAnsi"/>
          <w:sz w:val="20"/>
          <w:szCs w:val="20"/>
        </w:rPr>
        <w:t>649-704</w:t>
      </w:r>
      <w:r w:rsidRPr="005932AA">
        <w:rPr>
          <w:rFonts w:asciiTheme="minorHAnsi" w:hAnsiTheme="minorHAnsi" w:cstheme="minorHAnsi"/>
          <w:sz w:val="20"/>
          <w:szCs w:val="20"/>
        </w:rPr>
        <w:t>.</w:t>
      </w:r>
    </w:p>
    <w:p w14:paraId="27D160A0"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60"/>
          <w:rFonts w:asciiTheme="minorHAnsi" w:hAnsiTheme="minorHAnsi" w:cstheme="minorHAnsi"/>
          <w:bCs/>
          <w:sz w:val="20"/>
          <w:szCs w:val="20"/>
        </w:rPr>
        <w:t>Monforte, José Domingo</w:t>
      </w:r>
      <w:r w:rsidRPr="005932AA">
        <w:rPr>
          <w:rStyle w:val="citation-160"/>
          <w:rFonts w:asciiTheme="minorHAnsi" w:hAnsiTheme="minorHAnsi" w:cstheme="minorHAnsi"/>
          <w:sz w:val="20"/>
          <w:szCs w:val="20"/>
        </w:rPr>
        <w:t xml:space="preserve">, “La responsabilidad civil del psiquiatra ante el suicidio”, </w:t>
      </w:r>
      <w:r w:rsidRPr="005932AA">
        <w:rPr>
          <w:rStyle w:val="citation-160"/>
          <w:rFonts w:asciiTheme="minorHAnsi" w:hAnsiTheme="minorHAnsi" w:cstheme="minorHAnsi"/>
          <w:i/>
          <w:iCs/>
          <w:sz w:val="20"/>
          <w:szCs w:val="20"/>
        </w:rPr>
        <w:t>Diario La Ley</w:t>
      </w:r>
      <w:r w:rsidRPr="005932AA">
        <w:rPr>
          <w:rStyle w:val="citation-160"/>
          <w:rFonts w:asciiTheme="minorHAnsi" w:hAnsiTheme="minorHAnsi" w:cstheme="minorHAnsi"/>
          <w:sz w:val="20"/>
          <w:szCs w:val="20"/>
        </w:rPr>
        <w:t>, Nº 10667, 2025</w:t>
      </w:r>
      <w:r w:rsidRPr="005932AA">
        <w:rPr>
          <w:rFonts w:asciiTheme="minorHAnsi" w:hAnsiTheme="minorHAnsi" w:cstheme="minorHAnsi"/>
          <w:sz w:val="20"/>
          <w:szCs w:val="20"/>
        </w:rPr>
        <w:t>.</w:t>
      </w:r>
    </w:p>
    <w:p w14:paraId="26749E89"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Monteagudo Monedero, Montiano; Mesalles Garau, Gonzalo</w:t>
      </w:r>
      <w:r w:rsidRPr="005932AA">
        <w:rPr>
          <w:rFonts w:asciiTheme="minorHAnsi" w:hAnsiTheme="minorHAnsi" w:cstheme="minorHAnsi"/>
          <w:sz w:val="20"/>
          <w:szCs w:val="20"/>
        </w:rPr>
        <w:t xml:space="preserve">, “Límites entre la publicidad de productos sanitarios y la de centros y servicios sanitarios”, </w:t>
      </w:r>
      <w:r w:rsidRPr="005932AA">
        <w:rPr>
          <w:rFonts w:asciiTheme="minorHAnsi" w:hAnsiTheme="minorHAnsi" w:cstheme="minorHAnsi"/>
          <w:i/>
          <w:iCs/>
          <w:sz w:val="20"/>
          <w:szCs w:val="20"/>
        </w:rPr>
        <w:t>Actualidad jurídica Uría Menéndez</w:t>
      </w:r>
      <w:r w:rsidRPr="005932AA">
        <w:rPr>
          <w:rFonts w:asciiTheme="minorHAnsi" w:hAnsiTheme="minorHAnsi" w:cstheme="minorHAnsi"/>
          <w:sz w:val="20"/>
          <w:szCs w:val="20"/>
        </w:rPr>
        <w:t xml:space="preserve">, Nº. 66, 2024, págs. </w:t>
      </w:r>
      <w:r w:rsidRPr="005932AA">
        <w:rPr>
          <w:rStyle w:val="citation-159"/>
          <w:rFonts w:asciiTheme="minorHAnsi" w:hAnsiTheme="minorHAnsi" w:cstheme="minorHAnsi"/>
          <w:sz w:val="20"/>
          <w:szCs w:val="20"/>
        </w:rPr>
        <w:t>166-172</w:t>
      </w:r>
      <w:r w:rsidRPr="005932AA">
        <w:rPr>
          <w:rFonts w:asciiTheme="minorHAnsi" w:hAnsiTheme="minorHAnsi" w:cstheme="minorHAnsi"/>
          <w:sz w:val="20"/>
          <w:szCs w:val="20"/>
        </w:rPr>
        <w:t>.</w:t>
      </w:r>
    </w:p>
    <w:p w14:paraId="62F2C163"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Mora Astaburuaga, Aitor</w:t>
      </w:r>
      <w:r w:rsidRPr="005932AA">
        <w:rPr>
          <w:rFonts w:asciiTheme="minorHAnsi" w:hAnsiTheme="minorHAnsi" w:cstheme="minorHAnsi"/>
          <w:sz w:val="20"/>
          <w:szCs w:val="20"/>
        </w:rPr>
        <w:t xml:space="preserve">, “Novedades jurisprudenciales respecto al régimen de cantidades anticipadas de la ley 57/1968”, </w:t>
      </w:r>
      <w:r w:rsidRPr="005932AA">
        <w:rPr>
          <w:rFonts w:asciiTheme="minorHAnsi" w:hAnsiTheme="minorHAnsi" w:cstheme="minorHAnsi"/>
          <w:i/>
          <w:iCs/>
          <w:sz w:val="20"/>
          <w:szCs w:val="20"/>
        </w:rPr>
        <w:t>Revista Crítica de Derecho Inmobiliario</w:t>
      </w:r>
      <w:r w:rsidRPr="005932AA">
        <w:rPr>
          <w:rFonts w:asciiTheme="minorHAnsi" w:hAnsiTheme="minorHAnsi" w:cstheme="minorHAnsi"/>
          <w:sz w:val="20"/>
          <w:szCs w:val="20"/>
        </w:rPr>
        <w:t xml:space="preserve">, Nº. 806, 2024, págs. </w:t>
      </w:r>
      <w:r w:rsidRPr="005932AA">
        <w:rPr>
          <w:rStyle w:val="citation-158"/>
          <w:rFonts w:asciiTheme="minorHAnsi" w:hAnsiTheme="minorHAnsi" w:cstheme="minorHAnsi"/>
          <w:sz w:val="20"/>
          <w:szCs w:val="20"/>
        </w:rPr>
        <w:t>3541-3551</w:t>
      </w:r>
      <w:r w:rsidRPr="005932AA">
        <w:rPr>
          <w:rFonts w:asciiTheme="minorHAnsi" w:hAnsiTheme="minorHAnsi" w:cstheme="minorHAnsi"/>
          <w:sz w:val="20"/>
          <w:szCs w:val="20"/>
        </w:rPr>
        <w:t>.</w:t>
      </w:r>
    </w:p>
    <w:p w14:paraId="15F1E815"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57"/>
          <w:rFonts w:asciiTheme="minorHAnsi" w:hAnsiTheme="minorHAnsi" w:cstheme="minorHAnsi"/>
          <w:bCs/>
          <w:sz w:val="20"/>
          <w:szCs w:val="20"/>
        </w:rPr>
        <w:t>Muñoz Cuesta, Javier</w:t>
      </w:r>
      <w:r w:rsidRPr="005932AA">
        <w:rPr>
          <w:rStyle w:val="citation-157"/>
          <w:rFonts w:asciiTheme="minorHAnsi" w:hAnsiTheme="minorHAnsi" w:cstheme="minorHAnsi"/>
          <w:sz w:val="20"/>
          <w:szCs w:val="20"/>
        </w:rPr>
        <w:t xml:space="preserve">, “Derecho al honor y la inscripción en el registro de solvencia patrimonial”, </w:t>
      </w:r>
      <w:r w:rsidRPr="005932AA">
        <w:rPr>
          <w:rStyle w:val="citation-157"/>
          <w:rFonts w:asciiTheme="minorHAnsi" w:hAnsiTheme="minorHAnsi" w:cstheme="minorHAnsi"/>
          <w:i/>
          <w:iCs/>
          <w:sz w:val="20"/>
          <w:szCs w:val="20"/>
        </w:rPr>
        <w:t>Actualidad jurídica Aranzadi</w:t>
      </w:r>
      <w:r w:rsidRPr="005932AA">
        <w:rPr>
          <w:rStyle w:val="citation-157"/>
          <w:rFonts w:asciiTheme="minorHAnsi" w:hAnsiTheme="minorHAnsi" w:cstheme="minorHAnsi"/>
          <w:sz w:val="20"/>
          <w:szCs w:val="20"/>
        </w:rPr>
        <w:t>, Nº 1011, 2024</w:t>
      </w:r>
      <w:r w:rsidRPr="005932AA">
        <w:rPr>
          <w:rFonts w:asciiTheme="minorHAnsi" w:hAnsiTheme="minorHAnsi" w:cstheme="minorHAnsi"/>
          <w:sz w:val="20"/>
          <w:szCs w:val="20"/>
        </w:rPr>
        <w:t>.</w:t>
      </w:r>
    </w:p>
    <w:p w14:paraId="7C611D6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56"/>
          <w:rFonts w:asciiTheme="minorHAnsi" w:hAnsiTheme="minorHAnsi" w:cstheme="minorHAnsi"/>
          <w:bCs/>
          <w:sz w:val="20"/>
          <w:szCs w:val="20"/>
        </w:rPr>
        <w:t>Muñoz García, Carmen</w:t>
      </w:r>
      <w:r w:rsidRPr="005932AA">
        <w:rPr>
          <w:rStyle w:val="citation-156"/>
          <w:rFonts w:asciiTheme="minorHAnsi" w:hAnsiTheme="minorHAnsi" w:cstheme="minorHAnsi"/>
          <w:sz w:val="20"/>
          <w:szCs w:val="20"/>
        </w:rPr>
        <w:t xml:space="preserve">, “Directiva 2024/2853 sobre responsabilidad por los daños causados por productos defectuosos. Contexto y armonización de máximos para proteger, ahora sí, a consumidores y «a otras personas físicas»”, </w:t>
      </w:r>
      <w:r w:rsidRPr="005932AA">
        <w:rPr>
          <w:rStyle w:val="citation-156"/>
          <w:rFonts w:asciiTheme="minorHAnsi" w:hAnsiTheme="minorHAnsi" w:cstheme="minorHAnsi"/>
          <w:i/>
          <w:iCs/>
          <w:sz w:val="20"/>
          <w:szCs w:val="20"/>
        </w:rPr>
        <w:t>La Ley Unión Europea</w:t>
      </w:r>
      <w:r w:rsidRPr="005932AA">
        <w:rPr>
          <w:rStyle w:val="citation-156"/>
          <w:rFonts w:asciiTheme="minorHAnsi" w:hAnsiTheme="minorHAnsi" w:cstheme="minorHAnsi"/>
          <w:sz w:val="20"/>
          <w:szCs w:val="20"/>
        </w:rPr>
        <w:t>, Nº 132, 2025</w:t>
      </w:r>
      <w:r w:rsidRPr="005932AA">
        <w:rPr>
          <w:rFonts w:asciiTheme="minorHAnsi" w:hAnsiTheme="minorHAnsi" w:cstheme="minorHAnsi"/>
          <w:sz w:val="20"/>
          <w:szCs w:val="20"/>
        </w:rPr>
        <w:t>.</w:t>
      </w:r>
    </w:p>
    <w:p w14:paraId="34B300D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55"/>
          <w:rFonts w:asciiTheme="minorHAnsi" w:hAnsiTheme="minorHAnsi" w:cstheme="minorHAnsi"/>
          <w:bCs/>
          <w:sz w:val="20"/>
          <w:szCs w:val="20"/>
        </w:rPr>
        <w:lastRenderedPageBreak/>
        <w:t>Núñez Zorrilla, Mª Carmen</w:t>
      </w:r>
      <w:r w:rsidRPr="005932AA">
        <w:rPr>
          <w:rStyle w:val="citation-155"/>
          <w:rFonts w:asciiTheme="minorHAnsi" w:hAnsiTheme="minorHAnsi" w:cstheme="minorHAnsi"/>
          <w:sz w:val="20"/>
          <w:szCs w:val="20"/>
        </w:rPr>
        <w:t xml:space="preserve">, “Propuesta de regulación del régimen de la responsabilidad civil derivada de accidentes ocasionados por vehículos autónomos en el ordenamiento español tras las últimas iniciativas legislativas de la Unión Europea”, </w:t>
      </w:r>
      <w:r w:rsidRPr="005932AA">
        <w:rPr>
          <w:rStyle w:val="citation-155"/>
          <w:rFonts w:asciiTheme="minorHAnsi" w:hAnsiTheme="minorHAnsi" w:cstheme="minorHAnsi"/>
          <w:i/>
          <w:iCs/>
          <w:sz w:val="20"/>
          <w:szCs w:val="20"/>
        </w:rPr>
        <w:t>La Ley Unión Europea</w:t>
      </w:r>
      <w:r w:rsidRPr="005932AA">
        <w:rPr>
          <w:rStyle w:val="citation-155"/>
          <w:rFonts w:asciiTheme="minorHAnsi" w:hAnsiTheme="minorHAnsi" w:cstheme="minorHAnsi"/>
          <w:sz w:val="20"/>
          <w:szCs w:val="20"/>
        </w:rPr>
        <w:t>, Nº 132, 2025</w:t>
      </w:r>
      <w:r w:rsidRPr="005932AA">
        <w:rPr>
          <w:rFonts w:asciiTheme="minorHAnsi" w:hAnsiTheme="minorHAnsi" w:cstheme="minorHAnsi"/>
          <w:sz w:val="20"/>
          <w:szCs w:val="20"/>
        </w:rPr>
        <w:t>.</w:t>
      </w:r>
    </w:p>
    <w:p w14:paraId="52333581"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Pareja Rodríguez de Vera, Eva</w:t>
      </w:r>
      <w:r w:rsidRPr="005932AA">
        <w:rPr>
          <w:rFonts w:asciiTheme="minorHAnsi" w:hAnsiTheme="minorHAnsi" w:cstheme="minorHAnsi"/>
          <w:sz w:val="20"/>
          <w:szCs w:val="20"/>
        </w:rPr>
        <w:t xml:space="preserve">, “Hipotecas inmobiliarias: algunas cuestiones controvertidas”, </w:t>
      </w:r>
      <w:r w:rsidRPr="005932AA">
        <w:rPr>
          <w:rFonts w:asciiTheme="minorHAnsi" w:hAnsiTheme="minorHAnsi" w:cstheme="minorHAnsi"/>
          <w:i/>
          <w:iCs/>
          <w:sz w:val="20"/>
          <w:szCs w:val="20"/>
        </w:rPr>
        <w:t>Revista de derecho bancario y bursátil</w:t>
      </w:r>
      <w:r w:rsidRPr="005932AA">
        <w:rPr>
          <w:rFonts w:asciiTheme="minorHAnsi" w:hAnsiTheme="minorHAnsi" w:cstheme="minorHAnsi"/>
          <w:sz w:val="20"/>
          <w:szCs w:val="20"/>
        </w:rPr>
        <w:t xml:space="preserve">, Nº 172, 2024, págs. </w:t>
      </w:r>
      <w:r w:rsidRPr="005932AA">
        <w:rPr>
          <w:rStyle w:val="citation-154"/>
          <w:rFonts w:asciiTheme="minorHAnsi" w:hAnsiTheme="minorHAnsi" w:cstheme="minorHAnsi"/>
          <w:sz w:val="20"/>
          <w:szCs w:val="20"/>
        </w:rPr>
        <w:t>113-148</w:t>
      </w:r>
      <w:r w:rsidRPr="005932AA">
        <w:rPr>
          <w:rFonts w:asciiTheme="minorHAnsi" w:hAnsiTheme="minorHAnsi" w:cstheme="minorHAnsi"/>
          <w:sz w:val="20"/>
          <w:szCs w:val="20"/>
        </w:rPr>
        <w:t>.</w:t>
      </w:r>
    </w:p>
    <w:p w14:paraId="11987F11"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Pérez Hereza, Juan</w:t>
      </w:r>
      <w:r w:rsidRPr="005932AA">
        <w:rPr>
          <w:rFonts w:asciiTheme="minorHAnsi" w:hAnsiTheme="minorHAnsi" w:cstheme="minorHAnsi"/>
          <w:sz w:val="20"/>
          <w:szCs w:val="20"/>
        </w:rPr>
        <w:t xml:space="preserve">, “Novedades en materia de arrendamientos turísticos”, </w:t>
      </w:r>
      <w:r w:rsidRPr="005932AA">
        <w:rPr>
          <w:rFonts w:asciiTheme="minorHAnsi" w:hAnsiTheme="minorHAnsi" w:cstheme="minorHAnsi"/>
          <w:i/>
          <w:iCs/>
          <w:sz w:val="20"/>
          <w:szCs w:val="20"/>
        </w:rPr>
        <w:t>El notario del siglo XXI: revista del Colegio Notarial de Madrid</w:t>
      </w:r>
      <w:r w:rsidRPr="005932AA">
        <w:rPr>
          <w:rFonts w:asciiTheme="minorHAnsi" w:hAnsiTheme="minorHAnsi" w:cstheme="minorHAnsi"/>
          <w:sz w:val="20"/>
          <w:szCs w:val="20"/>
        </w:rPr>
        <w:t xml:space="preserve">, Nº. 119, 2025, págs. </w:t>
      </w:r>
      <w:r w:rsidRPr="005932AA">
        <w:rPr>
          <w:rStyle w:val="citation-153"/>
          <w:rFonts w:asciiTheme="minorHAnsi" w:hAnsiTheme="minorHAnsi" w:cstheme="minorHAnsi"/>
          <w:sz w:val="20"/>
          <w:szCs w:val="20"/>
        </w:rPr>
        <w:t>18-23</w:t>
      </w:r>
      <w:r w:rsidRPr="005932AA">
        <w:rPr>
          <w:rFonts w:asciiTheme="minorHAnsi" w:hAnsiTheme="minorHAnsi" w:cstheme="minorHAnsi"/>
          <w:sz w:val="20"/>
          <w:szCs w:val="20"/>
        </w:rPr>
        <w:t>.</w:t>
      </w:r>
    </w:p>
    <w:p w14:paraId="224F638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Pérez-Ugena, María</w:t>
      </w:r>
      <w:r w:rsidRPr="005932AA">
        <w:rPr>
          <w:rFonts w:asciiTheme="minorHAnsi" w:hAnsiTheme="minorHAnsi" w:cstheme="minorHAnsi"/>
          <w:sz w:val="20"/>
          <w:szCs w:val="20"/>
        </w:rPr>
        <w:t xml:space="preserve">, “El derecho al olvido oncológico”, </w:t>
      </w:r>
      <w:r w:rsidRPr="005932AA">
        <w:rPr>
          <w:rFonts w:asciiTheme="minorHAnsi" w:hAnsiTheme="minorHAnsi" w:cstheme="minorHAnsi"/>
          <w:i/>
          <w:iCs/>
          <w:sz w:val="20"/>
          <w:szCs w:val="20"/>
        </w:rPr>
        <w:t>DS: Derecho y salud</w:t>
      </w:r>
      <w:r w:rsidRPr="005932AA">
        <w:rPr>
          <w:rFonts w:asciiTheme="minorHAnsi" w:hAnsiTheme="minorHAnsi" w:cstheme="minorHAnsi"/>
          <w:sz w:val="20"/>
          <w:szCs w:val="20"/>
        </w:rPr>
        <w:t xml:space="preserve">, Vol. 34, Nº. 1, 2024, págs. </w:t>
      </w:r>
      <w:r w:rsidRPr="005932AA">
        <w:rPr>
          <w:rStyle w:val="citation-152"/>
          <w:rFonts w:asciiTheme="minorHAnsi" w:hAnsiTheme="minorHAnsi" w:cstheme="minorHAnsi"/>
          <w:sz w:val="20"/>
          <w:szCs w:val="20"/>
        </w:rPr>
        <w:t>6-21</w:t>
      </w:r>
      <w:r w:rsidRPr="005932AA">
        <w:rPr>
          <w:rFonts w:asciiTheme="minorHAnsi" w:hAnsiTheme="minorHAnsi" w:cstheme="minorHAnsi"/>
          <w:sz w:val="20"/>
          <w:szCs w:val="20"/>
        </w:rPr>
        <w:t>.</w:t>
      </w:r>
    </w:p>
    <w:p w14:paraId="5AAAF0C9"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Peruzzotti, Mariano</w:t>
      </w:r>
      <w:r w:rsidRPr="005932AA">
        <w:rPr>
          <w:rFonts w:asciiTheme="minorHAnsi" w:hAnsiTheme="minorHAnsi" w:cstheme="minorHAnsi"/>
          <w:sz w:val="20"/>
          <w:szCs w:val="20"/>
        </w:rPr>
        <w:t xml:space="preserve">, “Inteligencia artificial y protección de datos: acerca de la nueva guía de la autoridad Argentina”, </w:t>
      </w:r>
      <w:r w:rsidRPr="005932AA">
        <w:rPr>
          <w:rFonts w:asciiTheme="minorHAnsi" w:hAnsiTheme="minorHAnsi" w:cstheme="minorHAnsi"/>
          <w:i/>
          <w:iCs/>
          <w:sz w:val="20"/>
          <w:szCs w:val="20"/>
        </w:rPr>
        <w:t>La Ley privacidad</w:t>
      </w:r>
      <w:r w:rsidRPr="005932AA">
        <w:rPr>
          <w:rFonts w:asciiTheme="minorHAnsi" w:hAnsiTheme="minorHAnsi" w:cstheme="minorHAnsi"/>
          <w:sz w:val="20"/>
          <w:szCs w:val="20"/>
        </w:rPr>
        <w:t xml:space="preserve">, Nº. </w:t>
      </w:r>
      <w:r w:rsidRPr="005932AA">
        <w:rPr>
          <w:rStyle w:val="citation-151"/>
          <w:rFonts w:asciiTheme="minorHAnsi" w:hAnsiTheme="minorHAnsi" w:cstheme="minorHAnsi"/>
          <w:sz w:val="20"/>
          <w:szCs w:val="20"/>
        </w:rPr>
        <w:t>22, 2024</w:t>
      </w:r>
      <w:r w:rsidRPr="005932AA">
        <w:rPr>
          <w:rFonts w:asciiTheme="minorHAnsi" w:hAnsiTheme="minorHAnsi" w:cstheme="minorHAnsi"/>
          <w:sz w:val="20"/>
          <w:szCs w:val="20"/>
        </w:rPr>
        <w:t>.</w:t>
      </w:r>
    </w:p>
    <w:p w14:paraId="6AE443A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Poveda, Pedro; Orondo, Ana; Orteu Berrocal, Eduardo; </w:t>
      </w:r>
      <w:r w:rsidRPr="005932AA">
        <w:rPr>
          <w:rStyle w:val="citation-150"/>
          <w:rFonts w:asciiTheme="minorHAnsi" w:hAnsiTheme="minorHAnsi" w:cstheme="minorHAnsi"/>
          <w:sz w:val="20"/>
          <w:szCs w:val="20"/>
        </w:rPr>
        <w:t xml:space="preserve">Fernández Badía, Yago, “La Propuesta de Reglamento europeo de envases y residuos de envases, de inminente aprobación, y su comparación con la reciente y novedosa regulación a nivel nacional: el Real Decreto 1055/2022, de 27 de diciembre, de envases y residuos de envases”, </w:t>
      </w:r>
      <w:r w:rsidRPr="005932AA">
        <w:rPr>
          <w:rStyle w:val="citation-150"/>
          <w:rFonts w:asciiTheme="minorHAnsi" w:hAnsiTheme="minorHAnsi" w:cstheme="minorHAnsi"/>
          <w:i/>
          <w:iCs/>
          <w:sz w:val="20"/>
          <w:szCs w:val="20"/>
        </w:rPr>
        <w:t>La Ley Unión Europea</w:t>
      </w:r>
      <w:r w:rsidRPr="005932AA">
        <w:rPr>
          <w:rStyle w:val="citation-150"/>
          <w:rFonts w:asciiTheme="minorHAnsi" w:hAnsiTheme="minorHAnsi" w:cstheme="minorHAnsi"/>
          <w:sz w:val="20"/>
          <w:szCs w:val="20"/>
        </w:rPr>
        <w:t>, Nº 131, 2024</w:t>
      </w:r>
      <w:r w:rsidRPr="005932AA">
        <w:rPr>
          <w:rFonts w:asciiTheme="minorHAnsi" w:hAnsiTheme="minorHAnsi" w:cstheme="minorHAnsi"/>
          <w:sz w:val="20"/>
          <w:szCs w:val="20"/>
        </w:rPr>
        <w:t>.</w:t>
      </w:r>
    </w:p>
    <w:p w14:paraId="5205634B"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Ramírez Benavente, María Dolores</w:t>
      </w:r>
      <w:r w:rsidRPr="005932AA">
        <w:rPr>
          <w:rFonts w:asciiTheme="minorHAnsi" w:hAnsiTheme="minorHAnsi" w:cstheme="minorHAnsi"/>
          <w:sz w:val="20"/>
          <w:szCs w:val="20"/>
        </w:rPr>
        <w:t xml:space="preserve">, "Utilidad de la STJUE C-450/22 para una protección más eficaz de los consumidores y usuarios frente prácticas desleales engañosas", </w:t>
      </w:r>
      <w:r w:rsidRPr="005932AA">
        <w:rPr>
          <w:rFonts w:asciiTheme="minorHAnsi" w:hAnsiTheme="minorHAnsi" w:cstheme="minorHAnsi"/>
          <w:i/>
          <w:iCs/>
          <w:sz w:val="20"/>
          <w:szCs w:val="20"/>
        </w:rPr>
        <w:t>Revista CESCO</w:t>
      </w:r>
      <w:r w:rsidRPr="005932AA">
        <w:rPr>
          <w:rFonts w:asciiTheme="minorHAnsi" w:hAnsiTheme="minorHAnsi" w:cstheme="minorHAnsi"/>
          <w:sz w:val="20"/>
          <w:szCs w:val="20"/>
        </w:rPr>
        <w:t>, Nº. 53, 2025, págs. 37-61.</w:t>
      </w:r>
    </w:p>
    <w:p w14:paraId="33BF2277"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Rams Ramos, Leonor</w:t>
      </w:r>
      <w:r w:rsidRPr="005932AA">
        <w:rPr>
          <w:rFonts w:asciiTheme="minorHAnsi" w:hAnsiTheme="minorHAnsi" w:cstheme="minorHAnsi"/>
          <w:sz w:val="20"/>
          <w:szCs w:val="20"/>
        </w:rPr>
        <w:t xml:space="preserve">, “Anulada la sanción impuesta por la AEPD a LaLiga por la activación del micrófono de su App sin consentimiento del usuario (STS, Sala tercera, de lo contencioso-administrativo, sección 3ª, n.o 1263/2024, de 15 de julio, Rec. 5039/2022)”, </w:t>
      </w:r>
      <w:r w:rsidRPr="005932AA">
        <w:rPr>
          <w:rFonts w:asciiTheme="minorHAnsi" w:hAnsiTheme="minorHAnsi" w:cstheme="minorHAnsi"/>
          <w:i/>
          <w:iCs/>
          <w:sz w:val="20"/>
          <w:szCs w:val="20"/>
        </w:rPr>
        <w:t>La Ley privacidad</w:t>
      </w:r>
      <w:r w:rsidRPr="005932AA">
        <w:rPr>
          <w:rFonts w:asciiTheme="minorHAnsi" w:hAnsiTheme="minorHAnsi" w:cstheme="minorHAnsi"/>
          <w:sz w:val="20"/>
          <w:szCs w:val="20"/>
        </w:rPr>
        <w:t xml:space="preserve">, Nº. </w:t>
      </w:r>
      <w:r w:rsidRPr="005932AA">
        <w:rPr>
          <w:rStyle w:val="citation-149"/>
          <w:rFonts w:asciiTheme="minorHAnsi" w:hAnsiTheme="minorHAnsi" w:cstheme="minorHAnsi"/>
          <w:sz w:val="20"/>
          <w:szCs w:val="20"/>
        </w:rPr>
        <w:t>22, 2024</w:t>
      </w:r>
      <w:r w:rsidRPr="005932AA">
        <w:rPr>
          <w:rFonts w:asciiTheme="minorHAnsi" w:hAnsiTheme="minorHAnsi" w:cstheme="minorHAnsi"/>
          <w:sz w:val="20"/>
          <w:szCs w:val="20"/>
        </w:rPr>
        <w:t>.</w:t>
      </w:r>
    </w:p>
    <w:p w14:paraId="469A107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Reinhart Schuller, Robert</w:t>
      </w:r>
      <w:r w:rsidRPr="005932AA">
        <w:rPr>
          <w:rFonts w:asciiTheme="minorHAnsi" w:hAnsiTheme="minorHAnsi" w:cstheme="minorHAnsi"/>
          <w:sz w:val="20"/>
          <w:szCs w:val="20"/>
        </w:rPr>
        <w:t xml:space="preserve">, “Contrato de seguro: la doctrina del TS en materia de cláusulas delimitadoras del riesgo y limitativas de derechos”, </w:t>
      </w:r>
      <w:r w:rsidRPr="005932AA">
        <w:rPr>
          <w:rFonts w:asciiTheme="minorHAnsi" w:hAnsiTheme="minorHAnsi" w:cstheme="minorHAnsi"/>
          <w:i/>
          <w:iCs/>
          <w:sz w:val="20"/>
          <w:szCs w:val="20"/>
        </w:rPr>
        <w:t>Revista Crítica de Derecho Inmobiliario</w:t>
      </w:r>
      <w:r w:rsidRPr="005932AA">
        <w:rPr>
          <w:rFonts w:asciiTheme="minorHAnsi" w:hAnsiTheme="minorHAnsi" w:cstheme="minorHAnsi"/>
          <w:sz w:val="20"/>
          <w:szCs w:val="20"/>
        </w:rPr>
        <w:t xml:space="preserve">, Nº. 807, 2025, págs. </w:t>
      </w:r>
      <w:r w:rsidRPr="005932AA">
        <w:rPr>
          <w:rStyle w:val="citation-147"/>
          <w:rFonts w:asciiTheme="minorHAnsi" w:hAnsiTheme="minorHAnsi" w:cstheme="minorHAnsi"/>
          <w:sz w:val="20"/>
          <w:szCs w:val="20"/>
        </w:rPr>
        <w:t>475-496</w:t>
      </w:r>
      <w:r w:rsidRPr="005932AA">
        <w:rPr>
          <w:rFonts w:asciiTheme="minorHAnsi" w:hAnsiTheme="minorHAnsi" w:cstheme="minorHAnsi"/>
          <w:sz w:val="20"/>
          <w:szCs w:val="20"/>
        </w:rPr>
        <w:t>.</w:t>
      </w:r>
    </w:p>
    <w:p w14:paraId="1F775C69"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48"/>
          <w:rFonts w:asciiTheme="minorHAnsi" w:hAnsiTheme="minorHAnsi" w:cstheme="minorHAnsi"/>
          <w:bCs/>
          <w:sz w:val="20"/>
          <w:szCs w:val="20"/>
        </w:rPr>
        <w:t>Repullo, Teresa</w:t>
      </w:r>
      <w:r w:rsidRPr="005932AA">
        <w:rPr>
          <w:rStyle w:val="citation-148"/>
          <w:rFonts w:asciiTheme="minorHAnsi" w:hAnsiTheme="minorHAnsi" w:cstheme="minorHAnsi"/>
          <w:sz w:val="20"/>
          <w:szCs w:val="20"/>
        </w:rPr>
        <w:t xml:space="preserve">, “La extinción de la responsabilidad en caso de productos defectuosos: novedades en el cómputo del 'dies a quo'”, </w:t>
      </w:r>
      <w:r w:rsidRPr="005932AA">
        <w:rPr>
          <w:rStyle w:val="citation-148"/>
          <w:rFonts w:asciiTheme="minorHAnsi" w:hAnsiTheme="minorHAnsi" w:cstheme="minorHAnsi"/>
          <w:i/>
          <w:iCs/>
          <w:sz w:val="20"/>
          <w:szCs w:val="20"/>
        </w:rPr>
        <w:t>Actualidad jurídica Aranzadi</w:t>
      </w:r>
      <w:r w:rsidRPr="005932AA">
        <w:rPr>
          <w:rStyle w:val="citation-148"/>
          <w:rFonts w:asciiTheme="minorHAnsi" w:hAnsiTheme="minorHAnsi" w:cstheme="minorHAnsi"/>
          <w:sz w:val="20"/>
          <w:szCs w:val="20"/>
        </w:rPr>
        <w:t>, Nº 1010, 2024</w:t>
      </w:r>
      <w:r w:rsidRPr="005932AA">
        <w:rPr>
          <w:rFonts w:asciiTheme="minorHAnsi" w:hAnsiTheme="minorHAnsi" w:cstheme="minorHAnsi"/>
          <w:sz w:val="20"/>
          <w:szCs w:val="20"/>
        </w:rPr>
        <w:t>.</w:t>
      </w:r>
    </w:p>
    <w:p w14:paraId="4120E92F"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Rodríguez Elorrieta, Naira</w:t>
      </w:r>
      <w:r w:rsidRPr="005932AA">
        <w:rPr>
          <w:rFonts w:asciiTheme="minorHAnsi" w:hAnsiTheme="minorHAnsi" w:cstheme="minorHAnsi"/>
          <w:sz w:val="20"/>
          <w:szCs w:val="20"/>
        </w:rPr>
        <w:t xml:space="preserve">, “Legitimación para prestar fianza: en especial, la falta de consentimiento de uno de los cónyuges casado en régimen de gananciales”, </w:t>
      </w:r>
      <w:r w:rsidRPr="005932AA">
        <w:rPr>
          <w:rFonts w:asciiTheme="minorHAnsi" w:hAnsiTheme="minorHAnsi" w:cstheme="minorHAnsi"/>
          <w:i/>
          <w:iCs/>
          <w:sz w:val="20"/>
          <w:szCs w:val="20"/>
        </w:rPr>
        <w:t>Revista de Derecho Privado</w:t>
      </w:r>
      <w:r w:rsidRPr="005932AA">
        <w:rPr>
          <w:rFonts w:asciiTheme="minorHAnsi" w:hAnsiTheme="minorHAnsi" w:cstheme="minorHAnsi"/>
          <w:sz w:val="20"/>
          <w:szCs w:val="20"/>
        </w:rPr>
        <w:t xml:space="preserve">, Nº 6, 2024, págs. </w:t>
      </w:r>
      <w:r w:rsidRPr="005932AA">
        <w:rPr>
          <w:rStyle w:val="citation-146"/>
          <w:rFonts w:asciiTheme="minorHAnsi" w:hAnsiTheme="minorHAnsi" w:cstheme="minorHAnsi"/>
          <w:sz w:val="20"/>
          <w:szCs w:val="20"/>
        </w:rPr>
        <w:t>5-32</w:t>
      </w:r>
      <w:r w:rsidRPr="005932AA">
        <w:rPr>
          <w:rFonts w:asciiTheme="minorHAnsi" w:hAnsiTheme="minorHAnsi" w:cstheme="minorHAnsi"/>
          <w:sz w:val="20"/>
          <w:szCs w:val="20"/>
        </w:rPr>
        <w:t>.</w:t>
      </w:r>
    </w:p>
    <w:p w14:paraId="269E7D07"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Rubí Navarrete, Jesús</w:t>
      </w:r>
      <w:r w:rsidRPr="005932AA">
        <w:rPr>
          <w:rFonts w:asciiTheme="minorHAnsi" w:hAnsiTheme="minorHAnsi" w:cstheme="minorHAnsi"/>
          <w:sz w:val="20"/>
          <w:szCs w:val="20"/>
        </w:rPr>
        <w:t xml:space="preserve">, “Adquisición de medicamentos online. La sentencia del Tribunal de Justicia de la UE (Gran Sala) de 4 de octubre de 2024”, </w:t>
      </w:r>
      <w:r w:rsidRPr="005932AA">
        <w:rPr>
          <w:rFonts w:asciiTheme="minorHAnsi" w:hAnsiTheme="minorHAnsi" w:cstheme="minorHAnsi"/>
          <w:i/>
          <w:iCs/>
          <w:sz w:val="20"/>
          <w:szCs w:val="20"/>
        </w:rPr>
        <w:t>Comunicaciones en propiedad industrial y derecho de la competencia</w:t>
      </w:r>
      <w:r w:rsidRPr="005932AA">
        <w:rPr>
          <w:rFonts w:asciiTheme="minorHAnsi" w:hAnsiTheme="minorHAnsi" w:cstheme="minorHAnsi"/>
          <w:sz w:val="20"/>
          <w:szCs w:val="20"/>
        </w:rPr>
        <w:t xml:space="preserve">, Nº. 103, 2024, págs. </w:t>
      </w:r>
      <w:r w:rsidRPr="005932AA">
        <w:rPr>
          <w:rStyle w:val="citation-145"/>
          <w:rFonts w:asciiTheme="minorHAnsi" w:hAnsiTheme="minorHAnsi" w:cstheme="minorHAnsi"/>
          <w:sz w:val="20"/>
          <w:szCs w:val="20"/>
        </w:rPr>
        <w:t>7-14</w:t>
      </w:r>
      <w:r w:rsidRPr="005932AA">
        <w:rPr>
          <w:rFonts w:asciiTheme="minorHAnsi" w:hAnsiTheme="minorHAnsi" w:cstheme="minorHAnsi"/>
          <w:sz w:val="20"/>
          <w:szCs w:val="20"/>
        </w:rPr>
        <w:t>.</w:t>
      </w:r>
    </w:p>
    <w:p w14:paraId="292F3DED"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Sánchez Calero Barco, Helena</w:t>
      </w:r>
      <w:r w:rsidRPr="005932AA">
        <w:rPr>
          <w:rFonts w:asciiTheme="minorHAnsi" w:hAnsiTheme="minorHAnsi" w:cstheme="minorHAnsi"/>
          <w:sz w:val="20"/>
          <w:szCs w:val="20"/>
        </w:rPr>
        <w:t xml:space="preserve">, “El TJUE abre la puerta a la posibilidad de que litiguen asociaciones de consumidores contra sectores económicos enteros”, </w:t>
      </w:r>
      <w:r w:rsidRPr="005932AA">
        <w:rPr>
          <w:rFonts w:asciiTheme="minorHAnsi" w:hAnsiTheme="minorHAnsi" w:cstheme="minorHAnsi"/>
          <w:i/>
          <w:iCs/>
          <w:sz w:val="20"/>
          <w:szCs w:val="20"/>
        </w:rPr>
        <w:t>Revista de derecho bancario y bursátil</w:t>
      </w:r>
      <w:r w:rsidRPr="005932AA">
        <w:rPr>
          <w:rFonts w:asciiTheme="minorHAnsi" w:hAnsiTheme="minorHAnsi" w:cstheme="minorHAnsi"/>
          <w:sz w:val="20"/>
          <w:szCs w:val="20"/>
        </w:rPr>
        <w:t xml:space="preserve">, Nº 173, 2024, pág. </w:t>
      </w:r>
      <w:r w:rsidRPr="005932AA">
        <w:rPr>
          <w:rStyle w:val="citation-144"/>
          <w:rFonts w:asciiTheme="minorHAnsi" w:hAnsiTheme="minorHAnsi" w:cstheme="minorHAnsi"/>
          <w:sz w:val="20"/>
          <w:szCs w:val="20"/>
        </w:rPr>
        <w:t>22</w:t>
      </w:r>
      <w:r w:rsidRPr="005932AA">
        <w:rPr>
          <w:rFonts w:asciiTheme="minorHAnsi" w:hAnsiTheme="minorHAnsi" w:cstheme="minorHAnsi"/>
          <w:sz w:val="20"/>
          <w:szCs w:val="20"/>
        </w:rPr>
        <w:t>.</w:t>
      </w:r>
    </w:p>
    <w:p w14:paraId="14677269"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Sánchez García, Jesús, “¿Declarada la nulidad de la cláusula que regula el interés remuneratorio en un contrato de crédito revolving puede aplicarse el artículo 21.2 de la Ley de Contratos de Crédito al Consumo?”,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xml:space="preserve">, Nº. 249, 2025, págs. 1-3. </w:t>
      </w:r>
    </w:p>
    <w:p w14:paraId="5F9CDA4B"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Sánchez García, Jesús, “Análisis de las sentencias de la Sala 1ª del Tribunal Supremo números 154 y 155, de 30 de enero de 2025, sobre transparencia en el crédito revolving”,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xml:space="preserve">, Nº. 249, 2025, págs. 1-9. </w:t>
      </w:r>
    </w:p>
    <w:p w14:paraId="1F6F5946"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Sánchez García, Jesús, “El Tribunal Supremo fija los criterios para declarar abusivos los intereses de las tarjetas “revolving” por falta de transparencia”,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Nº. 249, 2025, págs. 1-7.</w:t>
      </w:r>
    </w:p>
    <w:p w14:paraId="0DC086B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Sánchez García, Jesús, “La oferta vinculante del artículo 17 de la LO 1/2025 y el contenido de la misma para cumplir con el requisito de procedibilidad”,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xml:space="preserve">, Nº. 248, 2025, págs. 1-16.  </w:t>
      </w:r>
    </w:p>
    <w:p w14:paraId="2DFD8588"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Sánchez García, Jesús, “La Sala Primera del Tribunal Supremo fija doctrina sobre la prescriptibilidad de la acción restitutoria de los intereses remuneratorios derivados de la Ley de Usura en un crédito revolving”,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xml:space="preserve">, Nº. 250, 2025, págs. 1-6.  </w:t>
      </w:r>
    </w:p>
    <w:p w14:paraId="71F884D3"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lastRenderedPageBreak/>
        <w:t xml:space="preserve">Sánchez García, Jesús, “Prescripción de la acción de devolución de intereses en créditos revolving”, </w:t>
      </w:r>
      <w:r w:rsidRPr="005932AA">
        <w:rPr>
          <w:rFonts w:asciiTheme="minorHAnsi" w:hAnsiTheme="minorHAnsi" w:cstheme="minorHAnsi"/>
          <w:i/>
          <w:sz w:val="20"/>
          <w:szCs w:val="20"/>
        </w:rPr>
        <w:t>Revista de Derecho vLex</w:t>
      </w:r>
      <w:r w:rsidRPr="005932AA">
        <w:rPr>
          <w:rFonts w:asciiTheme="minorHAnsi" w:hAnsiTheme="minorHAnsi" w:cstheme="minorHAnsi"/>
          <w:sz w:val="20"/>
          <w:szCs w:val="20"/>
        </w:rPr>
        <w:t xml:space="preserve">, Nº. 250, 2025, págs. 1-15.  </w:t>
      </w:r>
    </w:p>
    <w:p w14:paraId="660C8B5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sz w:val="20"/>
          <w:szCs w:val="20"/>
        </w:rPr>
        <w:t xml:space="preserve">Sanjurjo Ríos, Eva Isabel. </w:t>
      </w:r>
      <w:r w:rsidRPr="005932AA">
        <w:rPr>
          <w:rFonts w:asciiTheme="minorHAnsi" w:hAnsiTheme="minorHAnsi" w:cstheme="minorHAnsi"/>
          <w:i/>
          <w:sz w:val="20"/>
          <w:szCs w:val="20"/>
        </w:rPr>
        <w:t>La Tutela Colectiva en Materia de Consumo en España. Estado Actual y Líneas de Reforma</w:t>
      </w:r>
      <w:r w:rsidRPr="005932AA">
        <w:rPr>
          <w:rFonts w:asciiTheme="minorHAnsi" w:hAnsiTheme="minorHAnsi" w:cstheme="minorHAnsi"/>
          <w:sz w:val="20"/>
          <w:szCs w:val="20"/>
        </w:rPr>
        <w:t xml:space="preserve">, Dykinson, 2025. </w:t>
      </w:r>
    </w:p>
    <w:p w14:paraId="0A4B3A3E"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Sastre Papiol, Sebastián</w:t>
      </w:r>
      <w:r w:rsidRPr="005932AA">
        <w:rPr>
          <w:rFonts w:asciiTheme="minorHAnsi" w:hAnsiTheme="minorHAnsi" w:cstheme="minorHAnsi"/>
          <w:sz w:val="20"/>
          <w:szCs w:val="20"/>
        </w:rPr>
        <w:t xml:space="preserve">, “La juventud y la exoneración del pasivo insatisfecho en el concurso de acreedores de las personas físicas (El mecanismo de la segunda oportunidad)”, </w:t>
      </w:r>
      <w:r w:rsidRPr="005932AA">
        <w:rPr>
          <w:rFonts w:asciiTheme="minorHAnsi" w:hAnsiTheme="minorHAnsi" w:cstheme="minorHAnsi"/>
          <w:i/>
          <w:iCs/>
          <w:sz w:val="20"/>
          <w:szCs w:val="20"/>
        </w:rPr>
        <w:t>Revista jurídica de Catalunya</w:t>
      </w:r>
      <w:r w:rsidRPr="005932AA">
        <w:rPr>
          <w:rFonts w:asciiTheme="minorHAnsi" w:hAnsiTheme="minorHAnsi" w:cstheme="minorHAnsi"/>
          <w:sz w:val="20"/>
          <w:szCs w:val="20"/>
        </w:rPr>
        <w:t xml:space="preserve">, Vol. 130, Nº 4, 2024, págs. </w:t>
      </w:r>
      <w:r w:rsidRPr="005932AA">
        <w:rPr>
          <w:rStyle w:val="citation-143"/>
          <w:rFonts w:asciiTheme="minorHAnsi" w:hAnsiTheme="minorHAnsi" w:cstheme="minorHAnsi"/>
          <w:sz w:val="20"/>
          <w:szCs w:val="20"/>
        </w:rPr>
        <w:t>829-852</w:t>
      </w:r>
      <w:r w:rsidRPr="005932AA">
        <w:rPr>
          <w:rFonts w:asciiTheme="minorHAnsi" w:hAnsiTheme="minorHAnsi" w:cstheme="minorHAnsi"/>
          <w:sz w:val="20"/>
          <w:szCs w:val="20"/>
        </w:rPr>
        <w:t>.</w:t>
      </w:r>
    </w:p>
    <w:p w14:paraId="03060CA2"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Tapia Hermida, Alberto J.</w:t>
      </w:r>
      <w:r w:rsidRPr="005932AA">
        <w:rPr>
          <w:rFonts w:asciiTheme="minorHAnsi" w:hAnsiTheme="minorHAnsi" w:cstheme="minorHAnsi"/>
          <w:sz w:val="20"/>
          <w:szCs w:val="20"/>
        </w:rPr>
        <w:t xml:space="preserve">, “Control de la transparencia de las cláusulas suelo mediante acciones colectivas. Sentencia del TJUE de 4 de julio de 2024 (Asunto C-450/22) Caixabank y otros”, </w:t>
      </w:r>
      <w:r w:rsidRPr="005932AA">
        <w:rPr>
          <w:rFonts w:asciiTheme="minorHAnsi" w:hAnsiTheme="minorHAnsi" w:cstheme="minorHAnsi"/>
          <w:i/>
          <w:iCs/>
          <w:sz w:val="20"/>
          <w:szCs w:val="20"/>
        </w:rPr>
        <w:t>Revista de derecho bancario y bursátil</w:t>
      </w:r>
      <w:r w:rsidRPr="005932AA">
        <w:rPr>
          <w:rFonts w:asciiTheme="minorHAnsi" w:hAnsiTheme="minorHAnsi" w:cstheme="minorHAnsi"/>
          <w:sz w:val="20"/>
          <w:szCs w:val="20"/>
        </w:rPr>
        <w:t xml:space="preserve">, Nº 173, 2024, pág. </w:t>
      </w:r>
      <w:r w:rsidRPr="005932AA">
        <w:rPr>
          <w:rStyle w:val="citation-142"/>
          <w:rFonts w:asciiTheme="minorHAnsi" w:hAnsiTheme="minorHAnsi" w:cstheme="minorHAnsi"/>
          <w:sz w:val="20"/>
          <w:szCs w:val="20"/>
        </w:rPr>
        <w:t>17</w:t>
      </w:r>
      <w:r w:rsidRPr="005932AA">
        <w:rPr>
          <w:rFonts w:asciiTheme="minorHAnsi" w:hAnsiTheme="minorHAnsi" w:cstheme="minorHAnsi"/>
          <w:sz w:val="20"/>
          <w:szCs w:val="20"/>
        </w:rPr>
        <w:t>.</w:t>
      </w:r>
    </w:p>
    <w:p w14:paraId="1A1F477F"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41"/>
          <w:rFonts w:asciiTheme="minorHAnsi" w:hAnsiTheme="minorHAnsi" w:cstheme="minorHAnsi"/>
          <w:bCs/>
          <w:sz w:val="20"/>
          <w:szCs w:val="20"/>
        </w:rPr>
        <w:t>Tapia Hermida, Alberto J.</w:t>
      </w:r>
      <w:r w:rsidRPr="005932AA">
        <w:rPr>
          <w:rStyle w:val="citation-141"/>
          <w:rFonts w:asciiTheme="minorHAnsi" w:hAnsiTheme="minorHAnsi" w:cstheme="minorHAnsi"/>
          <w:sz w:val="20"/>
          <w:szCs w:val="20"/>
        </w:rPr>
        <w:t xml:space="preserve">, “El «consumidor medio», los sesgos cognitivos y las prácticas comerciales desleales de venta cruzada de préstamos y seguros: Sentencia del TJUE 14 de noviembre de 2024, Asunto C‐646/22: Compass Banca SpA”, </w:t>
      </w:r>
      <w:r w:rsidRPr="005932AA">
        <w:rPr>
          <w:rStyle w:val="citation-141"/>
          <w:rFonts w:asciiTheme="minorHAnsi" w:hAnsiTheme="minorHAnsi" w:cstheme="minorHAnsi"/>
          <w:i/>
          <w:iCs/>
          <w:sz w:val="20"/>
          <w:szCs w:val="20"/>
        </w:rPr>
        <w:t>La Ley Unión Europea</w:t>
      </w:r>
      <w:r w:rsidRPr="005932AA">
        <w:rPr>
          <w:rStyle w:val="citation-141"/>
          <w:rFonts w:asciiTheme="minorHAnsi" w:hAnsiTheme="minorHAnsi" w:cstheme="minorHAnsi"/>
          <w:sz w:val="20"/>
          <w:szCs w:val="20"/>
        </w:rPr>
        <w:t>, Nº 131, 2024</w:t>
      </w:r>
      <w:r w:rsidRPr="005932AA">
        <w:rPr>
          <w:rFonts w:asciiTheme="minorHAnsi" w:hAnsiTheme="minorHAnsi" w:cstheme="minorHAnsi"/>
          <w:sz w:val="20"/>
          <w:szCs w:val="20"/>
        </w:rPr>
        <w:t>.</w:t>
      </w:r>
    </w:p>
    <w:p w14:paraId="3D067FC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Tapia Hermida, Alberto J.</w:t>
      </w:r>
      <w:r w:rsidRPr="005932AA">
        <w:rPr>
          <w:rFonts w:asciiTheme="minorHAnsi" w:hAnsiTheme="minorHAnsi" w:cstheme="minorHAnsi"/>
          <w:sz w:val="20"/>
          <w:szCs w:val="20"/>
        </w:rPr>
        <w:t xml:space="preserve">, “La información precontractual en el contrato de seguro: el diálogo entre asegurador y asegurado”, </w:t>
      </w:r>
      <w:r w:rsidRPr="005932AA">
        <w:rPr>
          <w:rFonts w:asciiTheme="minorHAnsi" w:hAnsiTheme="minorHAnsi" w:cstheme="minorHAnsi"/>
          <w:i/>
          <w:iCs/>
          <w:sz w:val="20"/>
          <w:szCs w:val="20"/>
        </w:rPr>
        <w:t>Revista española de seguros</w:t>
      </w:r>
      <w:r w:rsidRPr="005932AA">
        <w:rPr>
          <w:rFonts w:asciiTheme="minorHAnsi" w:hAnsiTheme="minorHAnsi" w:cstheme="minorHAnsi"/>
          <w:sz w:val="20"/>
          <w:szCs w:val="20"/>
        </w:rPr>
        <w:t xml:space="preserve">, Nº. 200, 2024, págs. </w:t>
      </w:r>
      <w:r w:rsidRPr="005932AA">
        <w:rPr>
          <w:rStyle w:val="citation-140"/>
          <w:rFonts w:asciiTheme="minorHAnsi" w:hAnsiTheme="minorHAnsi" w:cstheme="minorHAnsi"/>
          <w:sz w:val="20"/>
          <w:szCs w:val="20"/>
        </w:rPr>
        <w:t>705-720</w:t>
      </w:r>
      <w:r w:rsidRPr="005932AA">
        <w:rPr>
          <w:rFonts w:asciiTheme="minorHAnsi" w:hAnsiTheme="minorHAnsi" w:cstheme="minorHAnsi"/>
          <w:sz w:val="20"/>
          <w:szCs w:val="20"/>
        </w:rPr>
        <w:t>.</w:t>
      </w:r>
    </w:p>
    <w:p w14:paraId="3D61897B"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39"/>
          <w:rFonts w:asciiTheme="minorHAnsi" w:hAnsiTheme="minorHAnsi" w:cstheme="minorHAnsi"/>
          <w:bCs/>
          <w:sz w:val="20"/>
          <w:szCs w:val="20"/>
        </w:rPr>
        <w:t>Tapia Hermida, Alberto J.</w:t>
      </w:r>
      <w:r w:rsidRPr="005932AA">
        <w:rPr>
          <w:rStyle w:val="citation-139"/>
          <w:rFonts w:asciiTheme="minorHAnsi" w:hAnsiTheme="minorHAnsi" w:cstheme="minorHAnsi"/>
          <w:sz w:val="20"/>
          <w:szCs w:val="20"/>
        </w:rPr>
        <w:t xml:space="preserve">, “Organizaciones de consumidores, inversores cualificados y justicia gratuita. Un triángulo inestable en el mercado financiero europeo. Sentencia del TJUE de 16 de enero de 2025 (Asunto C-346/23. Banco Santander vs. AUGE)”, </w:t>
      </w:r>
      <w:r w:rsidRPr="005932AA">
        <w:rPr>
          <w:rStyle w:val="citation-139"/>
          <w:rFonts w:asciiTheme="minorHAnsi" w:hAnsiTheme="minorHAnsi" w:cstheme="minorHAnsi"/>
          <w:i/>
          <w:iCs/>
          <w:sz w:val="20"/>
          <w:szCs w:val="20"/>
        </w:rPr>
        <w:t>Diario La Ley</w:t>
      </w:r>
      <w:r w:rsidRPr="005932AA">
        <w:rPr>
          <w:rStyle w:val="citation-139"/>
          <w:rFonts w:asciiTheme="minorHAnsi" w:hAnsiTheme="minorHAnsi" w:cstheme="minorHAnsi"/>
          <w:sz w:val="20"/>
          <w:szCs w:val="20"/>
        </w:rPr>
        <w:t>, Nº 10667, 2025</w:t>
      </w:r>
      <w:r w:rsidRPr="005932AA">
        <w:rPr>
          <w:rFonts w:asciiTheme="minorHAnsi" w:hAnsiTheme="minorHAnsi" w:cstheme="minorHAnsi"/>
          <w:sz w:val="20"/>
          <w:szCs w:val="20"/>
        </w:rPr>
        <w:t>.</w:t>
      </w:r>
    </w:p>
    <w:p w14:paraId="61E3FB63"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Fonts w:asciiTheme="minorHAnsi" w:hAnsiTheme="minorHAnsi" w:cstheme="minorHAnsi"/>
          <w:bCs/>
          <w:sz w:val="20"/>
          <w:szCs w:val="20"/>
        </w:rPr>
        <w:t>Tomás Tomás, Salvador</w:t>
      </w:r>
      <w:r w:rsidRPr="005932AA">
        <w:rPr>
          <w:rFonts w:asciiTheme="minorHAnsi" w:hAnsiTheme="minorHAnsi" w:cstheme="minorHAnsi"/>
          <w:sz w:val="20"/>
          <w:szCs w:val="20"/>
        </w:rPr>
        <w:t xml:space="preserve">, “La buena fe no se presume en la exoneración del pasivo insatisfecho: en contra de un apotegma falaz”, </w:t>
      </w:r>
      <w:r w:rsidRPr="005932AA">
        <w:rPr>
          <w:rFonts w:asciiTheme="minorHAnsi" w:hAnsiTheme="minorHAnsi" w:cstheme="minorHAnsi"/>
          <w:i/>
          <w:iCs/>
          <w:sz w:val="20"/>
          <w:szCs w:val="20"/>
        </w:rPr>
        <w:t>Anuario de derecho concursal</w:t>
      </w:r>
      <w:r w:rsidRPr="005932AA">
        <w:rPr>
          <w:rFonts w:asciiTheme="minorHAnsi" w:hAnsiTheme="minorHAnsi" w:cstheme="minorHAnsi"/>
          <w:sz w:val="20"/>
          <w:szCs w:val="20"/>
        </w:rPr>
        <w:t xml:space="preserve">, Nº. 64, 2025, págs. </w:t>
      </w:r>
      <w:r w:rsidRPr="005932AA">
        <w:rPr>
          <w:rStyle w:val="citation-138"/>
          <w:rFonts w:asciiTheme="minorHAnsi" w:hAnsiTheme="minorHAnsi" w:cstheme="minorHAnsi"/>
          <w:sz w:val="20"/>
          <w:szCs w:val="20"/>
        </w:rPr>
        <w:t>60-85</w:t>
      </w:r>
      <w:r w:rsidRPr="005932AA">
        <w:rPr>
          <w:rFonts w:asciiTheme="minorHAnsi" w:hAnsiTheme="minorHAnsi" w:cstheme="minorHAnsi"/>
          <w:sz w:val="20"/>
          <w:szCs w:val="20"/>
        </w:rPr>
        <w:t>.</w:t>
      </w:r>
    </w:p>
    <w:p w14:paraId="022FFEA7"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37"/>
          <w:rFonts w:asciiTheme="minorHAnsi" w:hAnsiTheme="minorHAnsi" w:cstheme="minorHAnsi"/>
          <w:bCs/>
          <w:sz w:val="20"/>
          <w:szCs w:val="20"/>
        </w:rPr>
        <w:t>Vela Torres, Pedro José</w:t>
      </w:r>
      <w:r w:rsidRPr="005932AA">
        <w:rPr>
          <w:rStyle w:val="citation-137"/>
          <w:rFonts w:asciiTheme="minorHAnsi" w:hAnsiTheme="minorHAnsi" w:cstheme="minorHAnsi"/>
          <w:sz w:val="20"/>
          <w:szCs w:val="20"/>
        </w:rPr>
        <w:t xml:space="preserve">, “Criterios para declarar abusivos los intereses de las tarjetas revolving por falta de transparencia”, </w:t>
      </w:r>
      <w:r w:rsidRPr="005932AA">
        <w:rPr>
          <w:rStyle w:val="citation-137"/>
          <w:rFonts w:asciiTheme="minorHAnsi" w:hAnsiTheme="minorHAnsi" w:cstheme="minorHAnsi"/>
          <w:i/>
          <w:iCs/>
          <w:sz w:val="20"/>
          <w:szCs w:val="20"/>
        </w:rPr>
        <w:t>Diario La Ley</w:t>
      </w:r>
      <w:r w:rsidRPr="005932AA">
        <w:rPr>
          <w:rStyle w:val="citation-137"/>
          <w:rFonts w:asciiTheme="minorHAnsi" w:hAnsiTheme="minorHAnsi" w:cstheme="minorHAnsi"/>
          <w:sz w:val="20"/>
          <w:szCs w:val="20"/>
        </w:rPr>
        <w:t>, Nº 10688, 2025</w:t>
      </w:r>
      <w:r w:rsidRPr="005932AA">
        <w:rPr>
          <w:rFonts w:asciiTheme="minorHAnsi" w:hAnsiTheme="minorHAnsi" w:cstheme="minorHAnsi"/>
          <w:sz w:val="20"/>
          <w:szCs w:val="20"/>
        </w:rPr>
        <w:t>.</w:t>
      </w:r>
    </w:p>
    <w:p w14:paraId="0648FF8C" w14:textId="77777777" w:rsidR="005932AA" w:rsidRPr="005932AA" w:rsidRDefault="005932AA" w:rsidP="005932AA">
      <w:pPr>
        <w:pStyle w:val="NormalWeb"/>
        <w:numPr>
          <w:ilvl w:val="0"/>
          <w:numId w:val="18"/>
        </w:numPr>
        <w:spacing w:before="60" w:beforeAutospacing="0"/>
        <w:ind w:left="360"/>
        <w:jc w:val="both"/>
        <w:rPr>
          <w:rFonts w:asciiTheme="minorHAnsi" w:hAnsiTheme="minorHAnsi" w:cstheme="minorHAnsi"/>
          <w:sz w:val="20"/>
          <w:szCs w:val="20"/>
        </w:rPr>
      </w:pPr>
      <w:r w:rsidRPr="005932AA">
        <w:rPr>
          <w:rStyle w:val="citation-136"/>
          <w:rFonts w:asciiTheme="minorHAnsi" w:hAnsiTheme="minorHAnsi" w:cstheme="minorHAnsi"/>
          <w:bCs/>
          <w:sz w:val="20"/>
          <w:szCs w:val="20"/>
        </w:rPr>
        <w:t>Yáñez de Andrés, Aquilino</w:t>
      </w:r>
      <w:r w:rsidRPr="005932AA">
        <w:rPr>
          <w:rStyle w:val="citation-136"/>
          <w:rFonts w:asciiTheme="minorHAnsi" w:hAnsiTheme="minorHAnsi" w:cstheme="minorHAnsi"/>
          <w:sz w:val="20"/>
          <w:szCs w:val="20"/>
        </w:rPr>
        <w:t xml:space="preserve">, “Los seguros de préstamos. Duración”, </w:t>
      </w:r>
      <w:r w:rsidRPr="005932AA">
        <w:rPr>
          <w:rStyle w:val="citation-136"/>
          <w:rFonts w:asciiTheme="minorHAnsi" w:hAnsiTheme="minorHAnsi" w:cstheme="minorHAnsi"/>
          <w:i/>
          <w:iCs/>
          <w:sz w:val="20"/>
          <w:szCs w:val="20"/>
        </w:rPr>
        <w:t>Diario La Ley</w:t>
      </w:r>
      <w:r w:rsidRPr="005932AA">
        <w:rPr>
          <w:rStyle w:val="citation-136"/>
          <w:rFonts w:asciiTheme="minorHAnsi" w:hAnsiTheme="minorHAnsi" w:cstheme="minorHAnsi"/>
          <w:sz w:val="20"/>
          <w:szCs w:val="20"/>
        </w:rPr>
        <w:t>, Nº 10648, 2025</w:t>
      </w:r>
      <w:r w:rsidRPr="005932AA">
        <w:rPr>
          <w:rFonts w:asciiTheme="minorHAnsi" w:hAnsiTheme="minorHAnsi" w:cstheme="minorHAnsi"/>
          <w:sz w:val="20"/>
          <w:szCs w:val="20"/>
        </w:rPr>
        <w:t>.</w:t>
      </w:r>
    </w:p>
    <w:p w14:paraId="39805E27" w14:textId="77777777" w:rsidR="005932AA" w:rsidRDefault="005932AA" w:rsidP="005932AA">
      <w:pPr>
        <w:pStyle w:val="NormalWeb"/>
        <w:ind w:left="360"/>
        <w:jc w:val="both"/>
      </w:pPr>
    </w:p>
    <w:p w14:paraId="6719E900" w14:textId="77777777" w:rsidR="00D0064B" w:rsidRDefault="00D0064B" w:rsidP="001563A1">
      <w:pPr>
        <w:jc w:val="center"/>
        <w:rPr>
          <w:sz w:val="16"/>
          <w:szCs w:val="16"/>
        </w:rPr>
      </w:pPr>
    </w:p>
    <w:p w14:paraId="680C8129" w14:textId="77777777" w:rsidR="00D0064B" w:rsidRDefault="00D0064B" w:rsidP="001563A1">
      <w:pPr>
        <w:jc w:val="center"/>
        <w:rPr>
          <w:sz w:val="16"/>
          <w:szCs w:val="16"/>
        </w:rPr>
      </w:pPr>
    </w:p>
    <w:p w14:paraId="7EB3C67D" w14:textId="77777777" w:rsidR="00D0064B" w:rsidRDefault="00D0064B" w:rsidP="005932AA">
      <w:pPr>
        <w:rPr>
          <w:sz w:val="16"/>
          <w:szCs w:val="16"/>
        </w:rPr>
      </w:pPr>
    </w:p>
    <w:p w14:paraId="51D29275" w14:textId="77777777" w:rsidR="00D0064B" w:rsidRDefault="00D0064B" w:rsidP="001563A1">
      <w:pPr>
        <w:jc w:val="center"/>
        <w:rPr>
          <w:sz w:val="16"/>
          <w:szCs w:val="16"/>
        </w:rPr>
      </w:pPr>
    </w:p>
    <w:p w14:paraId="164985D2" w14:textId="77777777" w:rsidR="00D0064B" w:rsidRDefault="00D0064B" w:rsidP="001563A1">
      <w:pPr>
        <w:jc w:val="center"/>
        <w:rPr>
          <w:sz w:val="16"/>
          <w:szCs w:val="16"/>
        </w:rPr>
      </w:pPr>
    </w:p>
    <w:p w14:paraId="4770BBED" w14:textId="77777777" w:rsidR="00D0064B" w:rsidRDefault="00D0064B" w:rsidP="001563A1">
      <w:pPr>
        <w:jc w:val="center"/>
        <w:rPr>
          <w:sz w:val="16"/>
          <w:szCs w:val="16"/>
        </w:rPr>
      </w:pPr>
    </w:p>
    <w:p w14:paraId="2D66D342" w14:textId="77777777" w:rsidR="005932AA" w:rsidRDefault="005932AA" w:rsidP="001563A1">
      <w:pPr>
        <w:jc w:val="center"/>
        <w:rPr>
          <w:sz w:val="16"/>
          <w:szCs w:val="16"/>
        </w:rPr>
      </w:pPr>
    </w:p>
    <w:p w14:paraId="5CC34592" w14:textId="77777777" w:rsidR="005932AA" w:rsidRDefault="005932AA" w:rsidP="001563A1">
      <w:pPr>
        <w:jc w:val="center"/>
        <w:rPr>
          <w:sz w:val="16"/>
          <w:szCs w:val="16"/>
        </w:rPr>
      </w:pPr>
    </w:p>
    <w:p w14:paraId="4A50CD87" w14:textId="77777777" w:rsidR="005932AA" w:rsidRDefault="005932AA" w:rsidP="001563A1">
      <w:pPr>
        <w:jc w:val="center"/>
        <w:rPr>
          <w:sz w:val="16"/>
          <w:szCs w:val="16"/>
        </w:rPr>
      </w:pPr>
    </w:p>
    <w:p w14:paraId="51B5D721" w14:textId="77777777" w:rsidR="005932AA" w:rsidRDefault="005932AA" w:rsidP="001563A1">
      <w:pPr>
        <w:jc w:val="center"/>
        <w:rPr>
          <w:sz w:val="16"/>
          <w:szCs w:val="16"/>
        </w:rPr>
      </w:pPr>
    </w:p>
    <w:p w14:paraId="4AE64418" w14:textId="77777777" w:rsidR="00D0064B" w:rsidRDefault="00D0064B" w:rsidP="001563A1">
      <w:pPr>
        <w:jc w:val="center"/>
        <w:rPr>
          <w:sz w:val="16"/>
          <w:szCs w:val="16"/>
        </w:rPr>
      </w:pPr>
    </w:p>
    <w:p w14:paraId="7ECF341E" w14:textId="77777777" w:rsidR="00D0064B" w:rsidRDefault="00D0064B" w:rsidP="001563A1">
      <w:pPr>
        <w:jc w:val="center"/>
        <w:rPr>
          <w:sz w:val="16"/>
          <w:szCs w:val="16"/>
        </w:rPr>
      </w:pPr>
    </w:p>
    <w:p w14:paraId="6E0F5636" w14:textId="77777777" w:rsidR="00D0064B" w:rsidRDefault="00D0064B" w:rsidP="001563A1">
      <w:pPr>
        <w:jc w:val="center"/>
        <w:rPr>
          <w:sz w:val="16"/>
          <w:szCs w:val="16"/>
        </w:rPr>
      </w:pPr>
    </w:p>
    <w:p w14:paraId="5D6B446F" w14:textId="77777777" w:rsidR="00D0064B" w:rsidRDefault="00D0064B" w:rsidP="001563A1">
      <w:pPr>
        <w:jc w:val="center"/>
        <w:rPr>
          <w:sz w:val="16"/>
          <w:szCs w:val="16"/>
        </w:rPr>
      </w:pPr>
    </w:p>
    <w:p w14:paraId="694BBF7A" w14:textId="77777777" w:rsidR="00D0064B" w:rsidRDefault="00D0064B" w:rsidP="001563A1">
      <w:pPr>
        <w:jc w:val="center"/>
        <w:rPr>
          <w:sz w:val="16"/>
          <w:szCs w:val="16"/>
        </w:rPr>
      </w:pPr>
    </w:p>
    <w:p w14:paraId="73DED83D" w14:textId="551A8FA4" w:rsidR="003F49BB" w:rsidRPr="001563A1" w:rsidRDefault="003F49BB" w:rsidP="001563A1">
      <w:pPr>
        <w:jc w:val="center"/>
        <w:rPr>
          <w:sz w:val="20"/>
          <w:szCs w:val="20"/>
        </w:rPr>
      </w:pPr>
      <w:r w:rsidRPr="001563A1">
        <w:rPr>
          <w:sz w:val="16"/>
          <w:szCs w:val="16"/>
        </w:rPr>
        <w:t>Si algún autor, profesional o investigador conoce la publicación de algún trabajo sobre Derecho y consumo, puede facilitarnos la referencia para publicarlo dentro del presente informe, en el periodo correspondiente.</w:t>
      </w:r>
    </w:p>
    <w:sectPr w:rsidR="003F49BB" w:rsidRPr="001563A1" w:rsidSect="000562B1">
      <w:footerReference w:type="default" r:id="rId1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C9E89" w14:textId="77777777" w:rsidR="00C9683A" w:rsidRDefault="00C9683A" w:rsidP="000562B1">
      <w:pPr>
        <w:spacing w:after="0" w:line="240" w:lineRule="auto"/>
      </w:pPr>
      <w:r>
        <w:separator/>
      </w:r>
    </w:p>
  </w:endnote>
  <w:endnote w:type="continuationSeparator" w:id="0">
    <w:p w14:paraId="54C02E9A" w14:textId="77777777" w:rsidR="00C9683A" w:rsidRDefault="00C9683A"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E86BE8">
          <w:rPr>
            <w:rFonts w:cstheme="minorHAnsi"/>
            <w:noProof/>
          </w:rPr>
          <w:t>5</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6DE0" w14:textId="77777777" w:rsidR="00C9683A" w:rsidRDefault="00C9683A" w:rsidP="000562B1">
      <w:pPr>
        <w:spacing w:after="0" w:line="240" w:lineRule="auto"/>
      </w:pPr>
      <w:r>
        <w:separator/>
      </w:r>
    </w:p>
  </w:footnote>
  <w:footnote w:type="continuationSeparator" w:id="0">
    <w:p w14:paraId="27CDCA1F" w14:textId="77777777" w:rsidR="00C9683A" w:rsidRDefault="00C9683A"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32ECE"/>
    <w:multiLevelType w:val="hybridMultilevel"/>
    <w:tmpl w:val="BE9875C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0C4B3C"/>
    <w:multiLevelType w:val="hybridMultilevel"/>
    <w:tmpl w:val="19FC5322"/>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747798"/>
    <w:multiLevelType w:val="hybridMultilevel"/>
    <w:tmpl w:val="932C875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5481EEE"/>
    <w:multiLevelType w:val="hybridMultilevel"/>
    <w:tmpl w:val="80E67DC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0A291C"/>
    <w:multiLevelType w:val="hybridMultilevel"/>
    <w:tmpl w:val="BD2AA764"/>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C286FDE"/>
    <w:multiLevelType w:val="hybridMultilevel"/>
    <w:tmpl w:val="CCA45F98"/>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52C31BE"/>
    <w:multiLevelType w:val="hybridMultilevel"/>
    <w:tmpl w:val="2716F1F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C651F6"/>
    <w:multiLevelType w:val="hybridMultilevel"/>
    <w:tmpl w:val="373EAE1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FF4221C"/>
    <w:multiLevelType w:val="hybridMultilevel"/>
    <w:tmpl w:val="AB76505C"/>
    <w:lvl w:ilvl="0" w:tplc="45FE9F5A">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6"/>
  </w:num>
  <w:num w:numId="4">
    <w:abstractNumId w:val="8"/>
  </w:num>
  <w:num w:numId="5">
    <w:abstractNumId w:val="5"/>
  </w:num>
  <w:num w:numId="6">
    <w:abstractNumId w:val="6"/>
  </w:num>
  <w:num w:numId="7">
    <w:abstractNumId w:val="11"/>
  </w:num>
  <w:num w:numId="8">
    <w:abstractNumId w:val="7"/>
  </w:num>
  <w:num w:numId="9">
    <w:abstractNumId w:val="4"/>
  </w:num>
  <w:num w:numId="10">
    <w:abstractNumId w:val="15"/>
  </w:num>
  <w:num w:numId="11">
    <w:abstractNumId w:val="14"/>
  </w:num>
  <w:num w:numId="12">
    <w:abstractNumId w:val="9"/>
  </w:num>
  <w:num w:numId="13">
    <w:abstractNumId w:val="3"/>
  </w:num>
  <w:num w:numId="14">
    <w:abstractNumId w:val="2"/>
  </w:num>
  <w:num w:numId="15">
    <w:abstractNumId w:val="0"/>
  </w:num>
  <w:num w:numId="16">
    <w:abstractNumId w:val="13"/>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20F4E"/>
    <w:rsid w:val="000562B1"/>
    <w:rsid w:val="0012310A"/>
    <w:rsid w:val="001342BF"/>
    <w:rsid w:val="001563A1"/>
    <w:rsid w:val="0017035A"/>
    <w:rsid w:val="00181687"/>
    <w:rsid w:val="001A3DC8"/>
    <w:rsid w:val="001B39D6"/>
    <w:rsid w:val="001E467C"/>
    <w:rsid w:val="00226C2F"/>
    <w:rsid w:val="002321F9"/>
    <w:rsid w:val="00237E7A"/>
    <w:rsid w:val="0024425F"/>
    <w:rsid w:val="002920B4"/>
    <w:rsid w:val="002C3D5D"/>
    <w:rsid w:val="00300DEB"/>
    <w:rsid w:val="00311051"/>
    <w:rsid w:val="00326C94"/>
    <w:rsid w:val="00353898"/>
    <w:rsid w:val="003559D9"/>
    <w:rsid w:val="003662F8"/>
    <w:rsid w:val="003A1A16"/>
    <w:rsid w:val="003C5AFC"/>
    <w:rsid w:val="003C79EE"/>
    <w:rsid w:val="003C7E66"/>
    <w:rsid w:val="003E66AA"/>
    <w:rsid w:val="003F49BB"/>
    <w:rsid w:val="003F4BCA"/>
    <w:rsid w:val="00410FE1"/>
    <w:rsid w:val="004158D3"/>
    <w:rsid w:val="00467E42"/>
    <w:rsid w:val="00474518"/>
    <w:rsid w:val="004A2F0A"/>
    <w:rsid w:val="004C5AA1"/>
    <w:rsid w:val="004D2AB4"/>
    <w:rsid w:val="004D794A"/>
    <w:rsid w:val="0051297C"/>
    <w:rsid w:val="00520087"/>
    <w:rsid w:val="00530F18"/>
    <w:rsid w:val="00534CB9"/>
    <w:rsid w:val="005524C4"/>
    <w:rsid w:val="005527B0"/>
    <w:rsid w:val="00565641"/>
    <w:rsid w:val="00567AAA"/>
    <w:rsid w:val="005932AA"/>
    <w:rsid w:val="005B7019"/>
    <w:rsid w:val="005E340F"/>
    <w:rsid w:val="005F0DEC"/>
    <w:rsid w:val="005F1DFB"/>
    <w:rsid w:val="005F3752"/>
    <w:rsid w:val="006306D2"/>
    <w:rsid w:val="00633110"/>
    <w:rsid w:val="00656A1A"/>
    <w:rsid w:val="00673A7C"/>
    <w:rsid w:val="0068726D"/>
    <w:rsid w:val="006B172C"/>
    <w:rsid w:val="007834BC"/>
    <w:rsid w:val="007C2FE3"/>
    <w:rsid w:val="00816AAB"/>
    <w:rsid w:val="008251E3"/>
    <w:rsid w:val="00827C04"/>
    <w:rsid w:val="00846866"/>
    <w:rsid w:val="008D2AC3"/>
    <w:rsid w:val="008D6849"/>
    <w:rsid w:val="008F19D1"/>
    <w:rsid w:val="00916F83"/>
    <w:rsid w:val="00923CBC"/>
    <w:rsid w:val="00924BE0"/>
    <w:rsid w:val="0093649B"/>
    <w:rsid w:val="009432D4"/>
    <w:rsid w:val="00952BF5"/>
    <w:rsid w:val="0096235F"/>
    <w:rsid w:val="009C07E8"/>
    <w:rsid w:val="009E399E"/>
    <w:rsid w:val="009E7932"/>
    <w:rsid w:val="009F2002"/>
    <w:rsid w:val="00A00862"/>
    <w:rsid w:val="00A02CFB"/>
    <w:rsid w:val="00A030AD"/>
    <w:rsid w:val="00A145E4"/>
    <w:rsid w:val="00A15646"/>
    <w:rsid w:val="00A178D6"/>
    <w:rsid w:val="00A21DDE"/>
    <w:rsid w:val="00A4243B"/>
    <w:rsid w:val="00A4262A"/>
    <w:rsid w:val="00A535EC"/>
    <w:rsid w:val="00A64D45"/>
    <w:rsid w:val="00A95CE0"/>
    <w:rsid w:val="00AA7735"/>
    <w:rsid w:val="00AB05F9"/>
    <w:rsid w:val="00B00158"/>
    <w:rsid w:val="00B03532"/>
    <w:rsid w:val="00B065EF"/>
    <w:rsid w:val="00B40032"/>
    <w:rsid w:val="00B42623"/>
    <w:rsid w:val="00B436F4"/>
    <w:rsid w:val="00B44604"/>
    <w:rsid w:val="00B55B74"/>
    <w:rsid w:val="00B917BF"/>
    <w:rsid w:val="00BE3615"/>
    <w:rsid w:val="00C26F48"/>
    <w:rsid w:val="00C41A52"/>
    <w:rsid w:val="00C45C39"/>
    <w:rsid w:val="00C660D0"/>
    <w:rsid w:val="00C67BF4"/>
    <w:rsid w:val="00C67C8B"/>
    <w:rsid w:val="00C73ED8"/>
    <w:rsid w:val="00C943B2"/>
    <w:rsid w:val="00C9683A"/>
    <w:rsid w:val="00C97832"/>
    <w:rsid w:val="00CA6AA7"/>
    <w:rsid w:val="00CB0586"/>
    <w:rsid w:val="00CE63DC"/>
    <w:rsid w:val="00D0064B"/>
    <w:rsid w:val="00D364FB"/>
    <w:rsid w:val="00D37249"/>
    <w:rsid w:val="00D827B7"/>
    <w:rsid w:val="00DA30E6"/>
    <w:rsid w:val="00DB719B"/>
    <w:rsid w:val="00DC326F"/>
    <w:rsid w:val="00E37172"/>
    <w:rsid w:val="00E53C19"/>
    <w:rsid w:val="00E618E3"/>
    <w:rsid w:val="00E7533D"/>
    <w:rsid w:val="00E843AB"/>
    <w:rsid w:val="00E86324"/>
    <w:rsid w:val="00E86BE8"/>
    <w:rsid w:val="00E97DFD"/>
    <w:rsid w:val="00EB4F15"/>
    <w:rsid w:val="00EE05FD"/>
    <w:rsid w:val="00EF0B72"/>
    <w:rsid w:val="00F475F0"/>
    <w:rsid w:val="00F8300F"/>
    <w:rsid w:val="00FA6DED"/>
    <w:rsid w:val="00FD1E51"/>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paragraph" w:styleId="NormalWeb">
    <w:name w:val="Normal (Web)"/>
    <w:basedOn w:val="Normal"/>
    <w:uiPriority w:val="99"/>
    <w:unhideWhenUsed/>
    <w:rsid w:val="005932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itation-199">
    <w:name w:val="citation-199"/>
    <w:basedOn w:val="Fuentedeprrafopredeter"/>
    <w:rsid w:val="005932AA"/>
  </w:style>
  <w:style w:type="character" w:customStyle="1" w:styleId="citation-198">
    <w:name w:val="citation-198"/>
    <w:basedOn w:val="Fuentedeprrafopredeter"/>
    <w:rsid w:val="005932AA"/>
  </w:style>
  <w:style w:type="character" w:customStyle="1" w:styleId="citation-197">
    <w:name w:val="citation-197"/>
    <w:basedOn w:val="Fuentedeprrafopredeter"/>
    <w:rsid w:val="005932AA"/>
  </w:style>
  <w:style w:type="character" w:customStyle="1" w:styleId="citation-196">
    <w:name w:val="citation-196"/>
    <w:basedOn w:val="Fuentedeprrafopredeter"/>
    <w:rsid w:val="005932AA"/>
  </w:style>
  <w:style w:type="character" w:customStyle="1" w:styleId="citation-195">
    <w:name w:val="citation-195"/>
    <w:basedOn w:val="Fuentedeprrafopredeter"/>
    <w:rsid w:val="005932AA"/>
  </w:style>
  <w:style w:type="character" w:customStyle="1" w:styleId="citation-194">
    <w:name w:val="citation-194"/>
    <w:basedOn w:val="Fuentedeprrafopredeter"/>
    <w:rsid w:val="005932AA"/>
  </w:style>
  <w:style w:type="character" w:customStyle="1" w:styleId="citation-193">
    <w:name w:val="citation-193"/>
    <w:basedOn w:val="Fuentedeprrafopredeter"/>
    <w:rsid w:val="005932AA"/>
  </w:style>
  <w:style w:type="character" w:customStyle="1" w:styleId="citation-192">
    <w:name w:val="citation-192"/>
    <w:basedOn w:val="Fuentedeprrafopredeter"/>
    <w:rsid w:val="005932AA"/>
  </w:style>
  <w:style w:type="character" w:customStyle="1" w:styleId="citation-191">
    <w:name w:val="citation-191"/>
    <w:basedOn w:val="Fuentedeprrafopredeter"/>
    <w:rsid w:val="005932AA"/>
  </w:style>
  <w:style w:type="character" w:customStyle="1" w:styleId="citation-190">
    <w:name w:val="citation-190"/>
    <w:basedOn w:val="Fuentedeprrafopredeter"/>
    <w:rsid w:val="005932AA"/>
  </w:style>
  <w:style w:type="character" w:customStyle="1" w:styleId="citation-189">
    <w:name w:val="citation-189"/>
    <w:basedOn w:val="Fuentedeprrafopredeter"/>
    <w:rsid w:val="005932AA"/>
  </w:style>
  <w:style w:type="character" w:customStyle="1" w:styleId="citation-188">
    <w:name w:val="citation-188"/>
    <w:basedOn w:val="Fuentedeprrafopredeter"/>
    <w:rsid w:val="005932AA"/>
  </w:style>
  <w:style w:type="character" w:customStyle="1" w:styleId="citation-187">
    <w:name w:val="citation-187"/>
    <w:basedOn w:val="Fuentedeprrafopredeter"/>
    <w:rsid w:val="005932AA"/>
  </w:style>
  <w:style w:type="character" w:customStyle="1" w:styleId="citation-186">
    <w:name w:val="citation-186"/>
    <w:basedOn w:val="Fuentedeprrafopredeter"/>
    <w:rsid w:val="005932AA"/>
  </w:style>
  <w:style w:type="character" w:customStyle="1" w:styleId="citation-185">
    <w:name w:val="citation-185"/>
    <w:basedOn w:val="Fuentedeprrafopredeter"/>
    <w:rsid w:val="005932AA"/>
  </w:style>
  <w:style w:type="character" w:customStyle="1" w:styleId="citation-184">
    <w:name w:val="citation-184"/>
    <w:basedOn w:val="Fuentedeprrafopredeter"/>
    <w:rsid w:val="005932AA"/>
  </w:style>
  <w:style w:type="character" w:customStyle="1" w:styleId="citation-183">
    <w:name w:val="citation-183"/>
    <w:basedOn w:val="Fuentedeprrafopredeter"/>
    <w:rsid w:val="005932AA"/>
  </w:style>
  <w:style w:type="character" w:customStyle="1" w:styleId="citation-182">
    <w:name w:val="citation-182"/>
    <w:basedOn w:val="Fuentedeprrafopredeter"/>
    <w:rsid w:val="005932AA"/>
  </w:style>
  <w:style w:type="character" w:customStyle="1" w:styleId="citation-181">
    <w:name w:val="citation-181"/>
    <w:basedOn w:val="Fuentedeprrafopredeter"/>
    <w:rsid w:val="005932AA"/>
  </w:style>
  <w:style w:type="character" w:customStyle="1" w:styleId="citation-180">
    <w:name w:val="citation-180"/>
    <w:basedOn w:val="Fuentedeprrafopredeter"/>
    <w:rsid w:val="005932AA"/>
  </w:style>
  <w:style w:type="character" w:customStyle="1" w:styleId="citation-179">
    <w:name w:val="citation-179"/>
    <w:basedOn w:val="Fuentedeprrafopredeter"/>
    <w:rsid w:val="005932AA"/>
  </w:style>
  <w:style w:type="character" w:customStyle="1" w:styleId="citation-178">
    <w:name w:val="citation-178"/>
    <w:basedOn w:val="Fuentedeprrafopredeter"/>
    <w:rsid w:val="005932AA"/>
  </w:style>
  <w:style w:type="character" w:customStyle="1" w:styleId="citation-177">
    <w:name w:val="citation-177"/>
    <w:basedOn w:val="Fuentedeprrafopredeter"/>
    <w:rsid w:val="005932AA"/>
  </w:style>
  <w:style w:type="character" w:customStyle="1" w:styleId="citation-176">
    <w:name w:val="citation-176"/>
    <w:basedOn w:val="Fuentedeprrafopredeter"/>
    <w:rsid w:val="005932AA"/>
  </w:style>
  <w:style w:type="character" w:customStyle="1" w:styleId="citation-175">
    <w:name w:val="citation-175"/>
    <w:basedOn w:val="Fuentedeprrafopredeter"/>
    <w:rsid w:val="005932AA"/>
  </w:style>
  <w:style w:type="character" w:customStyle="1" w:styleId="citation-174">
    <w:name w:val="citation-174"/>
    <w:basedOn w:val="Fuentedeprrafopredeter"/>
    <w:rsid w:val="005932AA"/>
  </w:style>
  <w:style w:type="character" w:customStyle="1" w:styleId="citation-173">
    <w:name w:val="citation-173"/>
    <w:basedOn w:val="Fuentedeprrafopredeter"/>
    <w:rsid w:val="005932AA"/>
  </w:style>
  <w:style w:type="character" w:customStyle="1" w:styleId="citation-172">
    <w:name w:val="citation-172"/>
    <w:basedOn w:val="Fuentedeprrafopredeter"/>
    <w:rsid w:val="005932AA"/>
  </w:style>
  <w:style w:type="character" w:customStyle="1" w:styleId="citation-171">
    <w:name w:val="citation-171"/>
    <w:basedOn w:val="Fuentedeprrafopredeter"/>
    <w:rsid w:val="005932AA"/>
  </w:style>
  <w:style w:type="character" w:customStyle="1" w:styleId="citation-170">
    <w:name w:val="citation-170"/>
    <w:basedOn w:val="Fuentedeprrafopredeter"/>
    <w:rsid w:val="005932AA"/>
  </w:style>
  <w:style w:type="character" w:customStyle="1" w:styleId="citation-169">
    <w:name w:val="citation-169"/>
    <w:basedOn w:val="Fuentedeprrafopredeter"/>
    <w:rsid w:val="005932AA"/>
  </w:style>
  <w:style w:type="character" w:customStyle="1" w:styleId="citation-168">
    <w:name w:val="citation-168"/>
    <w:basedOn w:val="Fuentedeprrafopredeter"/>
    <w:rsid w:val="005932AA"/>
  </w:style>
  <w:style w:type="character" w:customStyle="1" w:styleId="citation-167">
    <w:name w:val="citation-167"/>
    <w:basedOn w:val="Fuentedeprrafopredeter"/>
    <w:rsid w:val="005932AA"/>
  </w:style>
  <w:style w:type="character" w:customStyle="1" w:styleId="citation-166">
    <w:name w:val="citation-166"/>
    <w:basedOn w:val="Fuentedeprrafopredeter"/>
    <w:rsid w:val="005932AA"/>
  </w:style>
  <w:style w:type="character" w:customStyle="1" w:styleId="citation-165">
    <w:name w:val="citation-165"/>
    <w:basedOn w:val="Fuentedeprrafopredeter"/>
    <w:rsid w:val="005932AA"/>
  </w:style>
  <w:style w:type="character" w:customStyle="1" w:styleId="citation-164">
    <w:name w:val="citation-164"/>
    <w:basedOn w:val="Fuentedeprrafopredeter"/>
    <w:rsid w:val="005932AA"/>
  </w:style>
  <w:style w:type="character" w:customStyle="1" w:styleId="citation-163">
    <w:name w:val="citation-163"/>
    <w:basedOn w:val="Fuentedeprrafopredeter"/>
    <w:rsid w:val="005932AA"/>
  </w:style>
  <w:style w:type="character" w:customStyle="1" w:styleId="citation-162">
    <w:name w:val="citation-162"/>
    <w:basedOn w:val="Fuentedeprrafopredeter"/>
    <w:rsid w:val="005932AA"/>
  </w:style>
  <w:style w:type="character" w:customStyle="1" w:styleId="citation-161">
    <w:name w:val="citation-161"/>
    <w:basedOn w:val="Fuentedeprrafopredeter"/>
    <w:rsid w:val="005932AA"/>
  </w:style>
  <w:style w:type="character" w:customStyle="1" w:styleId="citation-160">
    <w:name w:val="citation-160"/>
    <w:basedOn w:val="Fuentedeprrafopredeter"/>
    <w:rsid w:val="005932AA"/>
  </w:style>
  <w:style w:type="character" w:customStyle="1" w:styleId="citation-159">
    <w:name w:val="citation-159"/>
    <w:basedOn w:val="Fuentedeprrafopredeter"/>
    <w:rsid w:val="005932AA"/>
  </w:style>
  <w:style w:type="character" w:customStyle="1" w:styleId="citation-158">
    <w:name w:val="citation-158"/>
    <w:basedOn w:val="Fuentedeprrafopredeter"/>
    <w:rsid w:val="005932AA"/>
  </w:style>
  <w:style w:type="character" w:customStyle="1" w:styleId="citation-157">
    <w:name w:val="citation-157"/>
    <w:basedOn w:val="Fuentedeprrafopredeter"/>
    <w:rsid w:val="005932AA"/>
  </w:style>
  <w:style w:type="character" w:customStyle="1" w:styleId="citation-156">
    <w:name w:val="citation-156"/>
    <w:basedOn w:val="Fuentedeprrafopredeter"/>
    <w:rsid w:val="005932AA"/>
  </w:style>
  <w:style w:type="character" w:customStyle="1" w:styleId="citation-155">
    <w:name w:val="citation-155"/>
    <w:basedOn w:val="Fuentedeprrafopredeter"/>
    <w:rsid w:val="005932AA"/>
  </w:style>
  <w:style w:type="character" w:customStyle="1" w:styleId="citation-154">
    <w:name w:val="citation-154"/>
    <w:basedOn w:val="Fuentedeprrafopredeter"/>
    <w:rsid w:val="005932AA"/>
  </w:style>
  <w:style w:type="character" w:customStyle="1" w:styleId="citation-153">
    <w:name w:val="citation-153"/>
    <w:basedOn w:val="Fuentedeprrafopredeter"/>
    <w:rsid w:val="005932AA"/>
  </w:style>
  <w:style w:type="character" w:customStyle="1" w:styleId="citation-152">
    <w:name w:val="citation-152"/>
    <w:basedOn w:val="Fuentedeprrafopredeter"/>
    <w:rsid w:val="005932AA"/>
  </w:style>
  <w:style w:type="character" w:customStyle="1" w:styleId="citation-151">
    <w:name w:val="citation-151"/>
    <w:basedOn w:val="Fuentedeprrafopredeter"/>
    <w:rsid w:val="005932AA"/>
  </w:style>
  <w:style w:type="character" w:customStyle="1" w:styleId="citation-150">
    <w:name w:val="citation-150"/>
    <w:basedOn w:val="Fuentedeprrafopredeter"/>
    <w:rsid w:val="005932AA"/>
  </w:style>
  <w:style w:type="character" w:customStyle="1" w:styleId="citation-149">
    <w:name w:val="citation-149"/>
    <w:basedOn w:val="Fuentedeprrafopredeter"/>
    <w:rsid w:val="005932AA"/>
  </w:style>
  <w:style w:type="character" w:customStyle="1" w:styleId="citation-148">
    <w:name w:val="citation-148"/>
    <w:basedOn w:val="Fuentedeprrafopredeter"/>
    <w:rsid w:val="005932AA"/>
  </w:style>
  <w:style w:type="character" w:customStyle="1" w:styleId="citation-147">
    <w:name w:val="citation-147"/>
    <w:basedOn w:val="Fuentedeprrafopredeter"/>
    <w:rsid w:val="005932AA"/>
  </w:style>
  <w:style w:type="character" w:customStyle="1" w:styleId="citation-146">
    <w:name w:val="citation-146"/>
    <w:basedOn w:val="Fuentedeprrafopredeter"/>
    <w:rsid w:val="005932AA"/>
  </w:style>
  <w:style w:type="character" w:customStyle="1" w:styleId="citation-145">
    <w:name w:val="citation-145"/>
    <w:basedOn w:val="Fuentedeprrafopredeter"/>
    <w:rsid w:val="005932AA"/>
  </w:style>
  <w:style w:type="character" w:customStyle="1" w:styleId="citation-144">
    <w:name w:val="citation-144"/>
    <w:basedOn w:val="Fuentedeprrafopredeter"/>
    <w:rsid w:val="005932AA"/>
  </w:style>
  <w:style w:type="character" w:customStyle="1" w:styleId="citation-143">
    <w:name w:val="citation-143"/>
    <w:basedOn w:val="Fuentedeprrafopredeter"/>
    <w:rsid w:val="005932AA"/>
  </w:style>
  <w:style w:type="character" w:customStyle="1" w:styleId="citation-142">
    <w:name w:val="citation-142"/>
    <w:basedOn w:val="Fuentedeprrafopredeter"/>
    <w:rsid w:val="005932AA"/>
  </w:style>
  <w:style w:type="character" w:customStyle="1" w:styleId="citation-141">
    <w:name w:val="citation-141"/>
    <w:basedOn w:val="Fuentedeprrafopredeter"/>
    <w:rsid w:val="005932AA"/>
  </w:style>
  <w:style w:type="character" w:customStyle="1" w:styleId="citation-140">
    <w:name w:val="citation-140"/>
    <w:basedOn w:val="Fuentedeprrafopredeter"/>
    <w:rsid w:val="005932AA"/>
  </w:style>
  <w:style w:type="character" w:customStyle="1" w:styleId="citation-139">
    <w:name w:val="citation-139"/>
    <w:basedOn w:val="Fuentedeprrafopredeter"/>
    <w:rsid w:val="005932AA"/>
  </w:style>
  <w:style w:type="character" w:customStyle="1" w:styleId="citation-138">
    <w:name w:val="citation-138"/>
    <w:basedOn w:val="Fuentedeprrafopredeter"/>
    <w:rsid w:val="005932AA"/>
  </w:style>
  <w:style w:type="character" w:customStyle="1" w:styleId="citation-137">
    <w:name w:val="citation-137"/>
    <w:basedOn w:val="Fuentedeprrafopredeter"/>
    <w:rsid w:val="005932AA"/>
  </w:style>
  <w:style w:type="character" w:customStyle="1" w:styleId="citation-136">
    <w:name w:val="citation-136"/>
    <w:basedOn w:val="Fuentedeprrafopredeter"/>
    <w:rsid w:val="005932AA"/>
  </w:style>
  <w:style w:type="character" w:customStyle="1" w:styleId="citation-135">
    <w:name w:val="citation-135"/>
    <w:basedOn w:val="Fuentedeprrafopredeter"/>
    <w:rsid w:val="005932AA"/>
  </w:style>
  <w:style w:type="character" w:customStyle="1" w:styleId="citation-134">
    <w:name w:val="citation-134"/>
    <w:basedOn w:val="Fuentedeprrafopredeter"/>
    <w:rsid w:val="005932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paragraph" w:styleId="NormalWeb">
    <w:name w:val="Normal (Web)"/>
    <w:basedOn w:val="Normal"/>
    <w:uiPriority w:val="99"/>
    <w:unhideWhenUsed/>
    <w:rsid w:val="005932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itation-199">
    <w:name w:val="citation-199"/>
    <w:basedOn w:val="Fuentedeprrafopredeter"/>
    <w:rsid w:val="005932AA"/>
  </w:style>
  <w:style w:type="character" w:customStyle="1" w:styleId="citation-198">
    <w:name w:val="citation-198"/>
    <w:basedOn w:val="Fuentedeprrafopredeter"/>
    <w:rsid w:val="005932AA"/>
  </w:style>
  <w:style w:type="character" w:customStyle="1" w:styleId="citation-197">
    <w:name w:val="citation-197"/>
    <w:basedOn w:val="Fuentedeprrafopredeter"/>
    <w:rsid w:val="005932AA"/>
  </w:style>
  <w:style w:type="character" w:customStyle="1" w:styleId="citation-196">
    <w:name w:val="citation-196"/>
    <w:basedOn w:val="Fuentedeprrafopredeter"/>
    <w:rsid w:val="005932AA"/>
  </w:style>
  <w:style w:type="character" w:customStyle="1" w:styleId="citation-195">
    <w:name w:val="citation-195"/>
    <w:basedOn w:val="Fuentedeprrafopredeter"/>
    <w:rsid w:val="005932AA"/>
  </w:style>
  <w:style w:type="character" w:customStyle="1" w:styleId="citation-194">
    <w:name w:val="citation-194"/>
    <w:basedOn w:val="Fuentedeprrafopredeter"/>
    <w:rsid w:val="005932AA"/>
  </w:style>
  <w:style w:type="character" w:customStyle="1" w:styleId="citation-193">
    <w:name w:val="citation-193"/>
    <w:basedOn w:val="Fuentedeprrafopredeter"/>
    <w:rsid w:val="005932AA"/>
  </w:style>
  <w:style w:type="character" w:customStyle="1" w:styleId="citation-192">
    <w:name w:val="citation-192"/>
    <w:basedOn w:val="Fuentedeprrafopredeter"/>
    <w:rsid w:val="005932AA"/>
  </w:style>
  <w:style w:type="character" w:customStyle="1" w:styleId="citation-191">
    <w:name w:val="citation-191"/>
    <w:basedOn w:val="Fuentedeprrafopredeter"/>
    <w:rsid w:val="005932AA"/>
  </w:style>
  <w:style w:type="character" w:customStyle="1" w:styleId="citation-190">
    <w:name w:val="citation-190"/>
    <w:basedOn w:val="Fuentedeprrafopredeter"/>
    <w:rsid w:val="005932AA"/>
  </w:style>
  <w:style w:type="character" w:customStyle="1" w:styleId="citation-189">
    <w:name w:val="citation-189"/>
    <w:basedOn w:val="Fuentedeprrafopredeter"/>
    <w:rsid w:val="005932AA"/>
  </w:style>
  <w:style w:type="character" w:customStyle="1" w:styleId="citation-188">
    <w:name w:val="citation-188"/>
    <w:basedOn w:val="Fuentedeprrafopredeter"/>
    <w:rsid w:val="005932AA"/>
  </w:style>
  <w:style w:type="character" w:customStyle="1" w:styleId="citation-187">
    <w:name w:val="citation-187"/>
    <w:basedOn w:val="Fuentedeprrafopredeter"/>
    <w:rsid w:val="005932AA"/>
  </w:style>
  <w:style w:type="character" w:customStyle="1" w:styleId="citation-186">
    <w:name w:val="citation-186"/>
    <w:basedOn w:val="Fuentedeprrafopredeter"/>
    <w:rsid w:val="005932AA"/>
  </w:style>
  <w:style w:type="character" w:customStyle="1" w:styleId="citation-185">
    <w:name w:val="citation-185"/>
    <w:basedOn w:val="Fuentedeprrafopredeter"/>
    <w:rsid w:val="005932AA"/>
  </w:style>
  <w:style w:type="character" w:customStyle="1" w:styleId="citation-184">
    <w:name w:val="citation-184"/>
    <w:basedOn w:val="Fuentedeprrafopredeter"/>
    <w:rsid w:val="005932AA"/>
  </w:style>
  <w:style w:type="character" w:customStyle="1" w:styleId="citation-183">
    <w:name w:val="citation-183"/>
    <w:basedOn w:val="Fuentedeprrafopredeter"/>
    <w:rsid w:val="005932AA"/>
  </w:style>
  <w:style w:type="character" w:customStyle="1" w:styleId="citation-182">
    <w:name w:val="citation-182"/>
    <w:basedOn w:val="Fuentedeprrafopredeter"/>
    <w:rsid w:val="005932AA"/>
  </w:style>
  <w:style w:type="character" w:customStyle="1" w:styleId="citation-181">
    <w:name w:val="citation-181"/>
    <w:basedOn w:val="Fuentedeprrafopredeter"/>
    <w:rsid w:val="005932AA"/>
  </w:style>
  <w:style w:type="character" w:customStyle="1" w:styleId="citation-180">
    <w:name w:val="citation-180"/>
    <w:basedOn w:val="Fuentedeprrafopredeter"/>
    <w:rsid w:val="005932AA"/>
  </w:style>
  <w:style w:type="character" w:customStyle="1" w:styleId="citation-179">
    <w:name w:val="citation-179"/>
    <w:basedOn w:val="Fuentedeprrafopredeter"/>
    <w:rsid w:val="005932AA"/>
  </w:style>
  <w:style w:type="character" w:customStyle="1" w:styleId="citation-178">
    <w:name w:val="citation-178"/>
    <w:basedOn w:val="Fuentedeprrafopredeter"/>
    <w:rsid w:val="005932AA"/>
  </w:style>
  <w:style w:type="character" w:customStyle="1" w:styleId="citation-177">
    <w:name w:val="citation-177"/>
    <w:basedOn w:val="Fuentedeprrafopredeter"/>
    <w:rsid w:val="005932AA"/>
  </w:style>
  <w:style w:type="character" w:customStyle="1" w:styleId="citation-176">
    <w:name w:val="citation-176"/>
    <w:basedOn w:val="Fuentedeprrafopredeter"/>
    <w:rsid w:val="005932AA"/>
  </w:style>
  <w:style w:type="character" w:customStyle="1" w:styleId="citation-175">
    <w:name w:val="citation-175"/>
    <w:basedOn w:val="Fuentedeprrafopredeter"/>
    <w:rsid w:val="005932AA"/>
  </w:style>
  <w:style w:type="character" w:customStyle="1" w:styleId="citation-174">
    <w:name w:val="citation-174"/>
    <w:basedOn w:val="Fuentedeprrafopredeter"/>
    <w:rsid w:val="005932AA"/>
  </w:style>
  <w:style w:type="character" w:customStyle="1" w:styleId="citation-173">
    <w:name w:val="citation-173"/>
    <w:basedOn w:val="Fuentedeprrafopredeter"/>
    <w:rsid w:val="005932AA"/>
  </w:style>
  <w:style w:type="character" w:customStyle="1" w:styleId="citation-172">
    <w:name w:val="citation-172"/>
    <w:basedOn w:val="Fuentedeprrafopredeter"/>
    <w:rsid w:val="005932AA"/>
  </w:style>
  <w:style w:type="character" w:customStyle="1" w:styleId="citation-171">
    <w:name w:val="citation-171"/>
    <w:basedOn w:val="Fuentedeprrafopredeter"/>
    <w:rsid w:val="005932AA"/>
  </w:style>
  <w:style w:type="character" w:customStyle="1" w:styleId="citation-170">
    <w:name w:val="citation-170"/>
    <w:basedOn w:val="Fuentedeprrafopredeter"/>
    <w:rsid w:val="005932AA"/>
  </w:style>
  <w:style w:type="character" w:customStyle="1" w:styleId="citation-169">
    <w:name w:val="citation-169"/>
    <w:basedOn w:val="Fuentedeprrafopredeter"/>
    <w:rsid w:val="005932AA"/>
  </w:style>
  <w:style w:type="character" w:customStyle="1" w:styleId="citation-168">
    <w:name w:val="citation-168"/>
    <w:basedOn w:val="Fuentedeprrafopredeter"/>
    <w:rsid w:val="005932AA"/>
  </w:style>
  <w:style w:type="character" w:customStyle="1" w:styleId="citation-167">
    <w:name w:val="citation-167"/>
    <w:basedOn w:val="Fuentedeprrafopredeter"/>
    <w:rsid w:val="005932AA"/>
  </w:style>
  <w:style w:type="character" w:customStyle="1" w:styleId="citation-166">
    <w:name w:val="citation-166"/>
    <w:basedOn w:val="Fuentedeprrafopredeter"/>
    <w:rsid w:val="005932AA"/>
  </w:style>
  <w:style w:type="character" w:customStyle="1" w:styleId="citation-165">
    <w:name w:val="citation-165"/>
    <w:basedOn w:val="Fuentedeprrafopredeter"/>
    <w:rsid w:val="005932AA"/>
  </w:style>
  <w:style w:type="character" w:customStyle="1" w:styleId="citation-164">
    <w:name w:val="citation-164"/>
    <w:basedOn w:val="Fuentedeprrafopredeter"/>
    <w:rsid w:val="005932AA"/>
  </w:style>
  <w:style w:type="character" w:customStyle="1" w:styleId="citation-163">
    <w:name w:val="citation-163"/>
    <w:basedOn w:val="Fuentedeprrafopredeter"/>
    <w:rsid w:val="005932AA"/>
  </w:style>
  <w:style w:type="character" w:customStyle="1" w:styleId="citation-162">
    <w:name w:val="citation-162"/>
    <w:basedOn w:val="Fuentedeprrafopredeter"/>
    <w:rsid w:val="005932AA"/>
  </w:style>
  <w:style w:type="character" w:customStyle="1" w:styleId="citation-161">
    <w:name w:val="citation-161"/>
    <w:basedOn w:val="Fuentedeprrafopredeter"/>
    <w:rsid w:val="005932AA"/>
  </w:style>
  <w:style w:type="character" w:customStyle="1" w:styleId="citation-160">
    <w:name w:val="citation-160"/>
    <w:basedOn w:val="Fuentedeprrafopredeter"/>
    <w:rsid w:val="005932AA"/>
  </w:style>
  <w:style w:type="character" w:customStyle="1" w:styleId="citation-159">
    <w:name w:val="citation-159"/>
    <w:basedOn w:val="Fuentedeprrafopredeter"/>
    <w:rsid w:val="005932AA"/>
  </w:style>
  <w:style w:type="character" w:customStyle="1" w:styleId="citation-158">
    <w:name w:val="citation-158"/>
    <w:basedOn w:val="Fuentedeprrafopredeter"/>
    <w:rsid w:val="005932AA"/>
  </w:style>
  <w:style w:type="character" w:customStyle="1" w:styleId="citation-157">
    <w:name w:val="citation-157"/>
    <w:basedOn w:val="Fuentedeprrafopredeter"/>
    <w:rsid w:val="005932AA"/>
  </w:style>
  <w:style w:type="character" w:customStyle="1" w:styleId="citation-156">
    <w:name w:val="citation-156"/>
    <w:basedOn w:val="Fuentedeprrafopredeter"/>
    <w:rsid w:val="005932AA"/>
  </w:style>
  <w:style w:type="character" w:customStyle="1" w:styleId="citation-155">
    <w:name w:val="citation-155"/>
    <w:basedOn w:val="Fuentedeprrafopredeter"/>
    <w:rsid w:val="005932AA"/>
  </w:style>
  <w:style w:type="character" w:customStyle="1" w:styleId="citation-154">
    <w:name w:val="citation-154"/>
    <w:basedOn w:val="Fuentedeprrafopredeter"/>
    <w:rsid w:val="005932AA"/>
  </w:style>
  <w:style w:type="character" w:customStyle="1" w:styleId="citation-153">
    <w:name w:val="citation-153"/>
    <w:basedOn w:val="Fuentedeprrafopredeter"/>
    <w:rsid w:val="005932AA"/>
  </w:style>
  <w:style w:type="character" w:customStyle="1" w:styleId="citation-152">
    <w:name w:val="citation-152"/>
    <w:basedOn w:val="Fuentedeprrafopredeter"/>
    <w:rsid w:val="005932AA"/>
  </w:style>
  <w:style w:type="character" w:customStyle="1" w:styleId="citation-151">
    <w:name w:val="citation-151"/>
    <w:basedOn w:val="Fuentedeprrafopredeter"/>
    <w:rsid w:val="005932AA"/>
  </w:style>
  <w:style w:type="character" w:customStyle="1" w:styleId="citation-150">
    <w:name w:val="citation-150"/>
    <w:basedOn w:val="Fuentedeprrafopredeter"/>
    <w:rsid w:val="005932AA"/>
  </w:style>
  <w:style w:type="character" w:customStyle="1" w:styleId="citation-149">
    <w:name w:val="citation-149"/>
    <w:basedOn w:val="Fuentedeprrafopredeter"/>
    <w:rsid w:val="005932AA"/>
  </w:style>
  <w:style w:type="character" w:customStyle="1" w:styleId="citation-148">
    <w:name w:val="citation-148"/>
    <w:basedOn w:val="Fuentedeprrafopredeter"/>
    <w:rsid w:val="005932AA"/>
  </w:style>
  <w:style w:type="character" w:customStyle="1" w:styleId="citation-147">
    <w:name w:val="citation-147"/>
    <w:basedOn w:val="Fuentedeprrafopredeter"/>
    <w:rsid w:val="005932AA"/>
  </w:style>
  <w:style w:type="character" w:customStyle="1" w:styleId="citation-146">
    <w:name w:val="citation-146"/>
    <w:basedOn w:val="Fuentedeprrafopredeter"/>
    <w:rsid w:val="005932AA"/>
  </w:style>
  <w:style w:type="character" w:customStyle="1" w:styleId="citation-145">
    <w:name w:val="citation-145"/>
    <w:basedOn w:val="Fuentedeprrafopredeter"/>
    <w:rsid w:val="005932AA"/>
  </w:style>
  <w:style w:type="character" w:customStyle="1" w:styleId="citation-144">
    <w:name w:val="citation-144"/>
    <w:basedOn w:val="Fuentedeprrafopredeter"/>
    <w:rsid w:val="005932AA"/>
  </w:style>
  <w:style w:type="character" w:customStyle="1" w:styleId="citation-143">
    <w:name w:val="citation-143"/>
    <w:basedOn w:val="Fuentedeprrafopredeter"/>
    <w:rsid w:val="005932AA"/>
  </w:style>
  <w:style w:type="character" w:customStyle="1" w:styleId="citation-142">
    <w:name w:val="citation-142"/>
    <w:basedOn w:val="Fuentedeprrafopredeter"/>
    <w:rsid w:val="005932AA"/>
  </w:style>
  <w:style w:type="character" w:customStyle="1" w:styleId="citation-141">
    <w:name w:val="citation-141"/>
    <w:basedOn w:val="Fuentedeprrafopredeter"/>
    <w:rsid w:val="005932AA"/>
  </w:style>
  <w:style w:type="character" w:customStyle="1" w:styleId="citation-140">
    <w:name w:val="citation-140"/>
    <w:basedOn w:val="Fuentedeprrafopredeter"/>
    <w:rsid w:val="005932AA"/>
  </w:style>
  <w:style w:type="character" w:customStyle="1" w:styleId="citation-139">
    <w:name w:val="citation-139"/>
    <w:basedOn w:val="Fuentedeprrafopredeter"/>
    <w:rsid w:val="005932AA"/>
  </w:style>
  <w:style w:type="character" w:customStyle="1" w:styleId="citation-138">
    <w:name w:val="citation-138"/>
    <w:basedOn w:val="Fuentedeprrafopredeter"/>
    <w:rsid w:val="005932AA"/>
  </w:style>
  <w:style w:type="character" w:customStyle="1" w:styleId="citation-137">
    <w:name w:val="citation-137"/>
    <w:basedOn w:val="Fuentedeprrafopredeter"/>
    <w:rsid w:val="005932AA"/>
  </w:style>
  <w:style w:type="character" w:customStyle="1" w:styleId="citation-136">
    <w:name w:val="citation-136"/>
    <w:basedOn w:val="Fuentedeprrafopredeter"/>
    <w:rsid w:val="005932AA"/>
  </w:style>
  <w:style w:type="character" w:customStyle="1" w:styleId="citation-135">
    <w:name w:val="citation-135"/>
    <w:basedOn w:val="Fuentedeprrafopredeter"/>
    <w:rsid w:val="005932AA"/>
  </w:style>
  <w:style w:type="character" w:customStyle="1" w:styleId="citation-134">
    <w:name w:val="citation-134"/>
    <w:basedOn w:val="Fuentedeprrafopredeter"/>
    <w:rsid w:val="00593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AFEC4-1FAB-4F8D-9D50-1D020E6E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2685</Words>
  <Characters>14768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5</cp:revision>
  <cp:lastPrinted>2025-09-03T14:59:00Z</cp:lastPrinted>
  <dcterms:created xsi:type="dcterms:W3CDTF">2025-08-29T10:29:00Z</dcterms:created>
  <dcterms:modified xsi:type="dcterms:W3CDTF">2025-09-03T14:59:00Z</dcterms:modified>
</cp:coreProperties>
</file>