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63EE32E4" w:rsidR="00827C04" w:rsidRDefault="005E4B9B">
                            <w:pPr>
                              <w:rPr>
                                <w:rFonts w:ascii="Segoe UI" w:hAnsi="Segoe UI" w:cs="Segoe UI"/>
                                <w:b/>
                                <w:color w:val="FFFFFF" w:themeColor="background1"/>
                                <w:sz w:val="36"/>
                                <w:szCs w:val="36"/>
                              </w:rPr>
                            </w:pPr>
                            <w:r>
                              <w:rPr>
                                <w:rFonts w:ascii="Segoe UI" w:hAnsi="Segoe UI" w:cs="Segoe UI"/>
                                <w:b/>
                                <w:color w:val="FFFFFF" w:themeColor="background1"/>
                                <w:sz w:val="36"/>
                                <w:szCs w:val="36"/>
                              </w:rPr>
                              <w:t>Abril</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Junio 2025</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" filled="f" stroked="f" strokeweight=".5pt">
                <v:textbox>
                  <w:txbxContent>
                    <w:p w14:paraId="4D436CF4" w14:textId="63EE32E4" w:rsidR="00827C04" w:rsidRDefault="005E4B9B">
                      <w:pPr>
                        <w:rPr>
                          <w:rFonts w:ascii="Segoe UI" w:hAnsi="Segoe UI" w:cs="Segoe UI"/>
                          <w:b/>
                          <w:color w:val="FFFFFF" w:themeColor="background1"/>
                          <w:sz w:val="36"/>
                          <w:szCs w:val="36"/>
                        </w:rPr>
                      </w:pPr>
                      <w:r>
                        <w:rPr>
                          <w:rFonts w:ascii="Segoe UI" w:hAnsi="Segoe UI" w:cs="Segoe UI"/>
                          <w:b/>
                          <w:color w:val="FFFFFF" w:themeColor="background1"/>
                          <w:sz w:val="36"/>
                          <w:szCs w:val="36"/>
                        </w:rPr>
                        <w:t>Abril</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Junio 2025</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043286BA">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7E25902D" w:rsidR="00827C04" w:rsidRDefault="005E4B9B" w:rsidP="00567AAA">
                            <w:pPr>
                              <w:jc w:val="center"/>
                            </w:pPr>
                            <w:r>
                              <w:rPr>
                                <w:rFonts w:cstheme="minorHAnsi"/>
                                <w:b/>
                                <w:color w:val="FFFFFF" w:themeColor="background1"/>
                                <w:sz w:val="20"/>
                                <w:szCs w:val="20"/>
                              </w:rPr>
                              <w:t>Abril-Junio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495B1"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7E25902D" w:rsidR="00827C04" w:rsidRDefault="005E4B9B" w:rsidP="00567AAA">
                      <w:pPr>
                        <w:jc w:val="center"/>
                      </w:pPr>
                      <w:r>
                        <w:rPr>
                          <w:rFonts w:cstheme="minorHAnsi"/>
                          <w:b/>
                          <w:color w:val="FFFFFF" w:themeColor="background1"/>
                          <w:sz w:val="20"/>
                          <w:szCs w:val="20"/>
                        </w:rPr>
                        <w:t>Abril-Junio 2025</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1AFD"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1A8FE9A3" w14:textId="77777777" w:rsidR="0068726D" w:rsidRPr="001563A1" w:rsidRDefault="0068726D" w:rsidP="001563A1">
      <w:pPr>
        <w:spacing w:after="0" w:line="240" w:lineRule="auto"/>
        <w:jc w:val="both"/>
        <w:rPr>
          <w:sz w:val="20"/>
          <w:szCs w:val="20"/>
        </w:rPr>
      </w:pPr>
    </w:p>
    <w:p w14:paraId="5030A9D1"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Abad Arenas, Encarnación</w:t>
      </w:r>
      <w:r w:rsidRPr="005E4B9B">
        <w:rPr>
          <w:rFonts w:asciiTheme="minorHAnsi" w:hAnsiTheme="minorHAnsi" w:cstheme="minorHAnsi"/>
          <w:sz w:val="20"/>
          <w:szCs w:val="20"/>
        </w:rPr>
        <w:t xml:space="preserve">, “La regulación de las acciones colectivas: un intento fallido al amparo del Proyecto de Ley Orgánica de medidas de eficiencia del servicio público de Justicia y de protección y defensa de los consumidores y usuarios”, </w:t>
      </w:r>
      <w:r w:rsidRPr="005E4B9B">
        <w:rPr>
          <w:rFonts w:asciiTheme="minorHAnsi" w:hAnsiTheme="minorHAnsi" w:cstheme="minorHAnsi"/>
          <w:i/>
          <w:iCs/>
          <w:sz w:val="20"/>
          <w:szCs w:val="20"/>
        </w:rPr>
        <w:t>Actualidad civil</w:t>
      </w:r>
      <w:r w:rsidRPr="005E4B9B">
        <w:rPr>
          <w:rFonts w:asciiTheme="minorHAnsi" w:hAnsiTheme="minorHAnsi" w:cstheme="minorHAnsi"/>
          <w:sz w:val="20"/>
          <w:szCs w:val="20"/>
        </w:rPr>
        <w:t>, Nº 3, 2025.</w:t>
      </w:r>
    </w:p>
    <w:p w14:paraId="75EF9362"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Agüero Ortiz, Alicia</w:t>
      </w:r>
      <w:r w:rsidRPr="005E4B9B">
        <w:rPr>
          <w:rFonts w:asciiTheme="minorHAnsi" w:hAnsiTheme="minorHAnsi" w:cstheme="minorHAnsi"/>
          <w:sz w:val="20"/>
          <w:szCs w:val="20"/>
        </w:rPr>
        <w:t xml:space="preserve">, "III Estadísticas de las TAE y precios medios aplicados a los </w:t>
      </w:r>
      <w:proofErr w:type="spellStart"/>
      <w:r w:rsidRPr="005E4B9B">
        <w:rPr>
          <w:rFonts w:asciiTheme="minorHAnsi" w:hAnsiTheme="minorHAnsi" w:cstheme="minorHAnsi"/>
          <w:sz w:val="20"/>
          <w:szCs w:val="20"/>
        </w:rPr>
        <w:t>micropréstamos</w:t>
      </w:r>
      <w:proofErr w:type="spellEnd"/>
      <w:r w:rsidRPr="005E4B9B">
        <w:rPr>
          <w:rFonts w:asciiTheme="minorHAnsi" w:hAnsiTheme="minorHAnsi" w:cstheme="minorHAnsi"/>
          <w:sz w:val="20"/>
          <w:szCs w:val="20"/>
        </w:rPr>
        <w:t xml:space="preserve"> (2025)", </w:t>
      </w:r>
      <w:r w:rsidRPr="005E4B9B">
        <w:rPr>
          <w:rFonts w:asciiTheme="minorHAnsi" w:hAnsiTheme="minorHAnsi" w:cstheme="minorHAnsi"/>
          <w:i/>
          <w:iCs/>
          <w:sz w:val="20"/>
          <w:szCs w:val="20"/>
        </w:rPr>
        <w:t>Revista CESCO</w:t>
      </w:r>
      <w:r w:rsidRPr="005E4B9B">
        <w:rPr>
          <w:rFonts w:asciiTheme="minorHAnsi" w:hAnsiTheme="minorHAnsi" w:cstheme="minorHAnsi"/>
          <w:sz w:val="20"/>
          <w:szCs w:val="20"/>
        </w:rPr>
        <w:t>, Nº. 53, 2025, págs. 39-94.</w:t>
      </w:r>
    </w:p>
    <w:p w14:paraId="02F61C5A"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Agüero Ortiz, Alicia</w:t>
      </w:r>
      <w:r w:rsidRPr="005E4B9B">
        <w:rPr>
          <w:rFonts w:asciiTheme="minorHAnsi" w:hAnsiTheme="minorHAnsi" w:cstheme="minorHAnsi"/>
          <w:sz w:val="20"/>
          <w:szCs w:val="20"/>
        </w:rPr>
        <w:t xml:space="preserve">, "No se puede apreciar de oficio la nulidad por usura", </w:t>
      </w:r>
      <w:r w:rsidRPr="005E4B9B">
        <w:rPr>
          <w:rFonts w:asciiTheme="minorHAnsi" w:hAnsiTheme="minorHAnsi" w:cstheme="minorHAnsi"/>
          <w:i/>
          <w:iCs/>
          <w:sz w:val="20"/>
          <w:szCs w:val="20"/>
        </w:rPr>
        <w:t>Revista CESCO</w:t>
      </w:r>
      <w:r w:rsidRPr="005E4B9B">
        <w:rPr>
          <w:rFonts w:asciiTheme="minorHAnsi" w:hAnsiTheme="minorHAnsi" w:cstheme="minorHAnsi"/>
          <w:sz w:val="20"/>
          <w:szCs w:val="20"/>
        </w:rPr>
        <w:t>, Nº. 53, 2025, págs. 31-38.</w:t>
      </w:r>
    </w:p>
    <w:p w14:paraId="36AA6503"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Aparicio Araque, Blanca</w:t>
      </w:r>
      <w:r w:rsidRPr="005E4B9B">
        <w:rPr>
          <w:rFonts w:asciiTheme="minorHAnsi" w:hAnsiTheme="minorHAnsi" w:cstheme="minorHAnsi"/>
          <w:sz w:val="20"/>
          <w:szCs w:val="20"/>
        </w:rPr>
        <w:t xml:space="preserve">, "Responsabilidad civil por daños causados por sistemas de </w:t>
      </w:r>
      <w:proofErr w:type="spellStart"/>
      <w:r w:rsidRPr="005E4B9B">
        <w:rPr>
          <w:rFonts w:asciiTheme="minorHAnsi" w:hAnsiTheme="minorHAnsi" w:cstheme="minorHAnsi"/>
          <w:sz w:val="20"/>
          <w:szCs w:val="20"/>
        </w:rPr>
        <w:t>neurotecnología</w:t>
      </w:r>
      <w:proofErr w:type="spellEnd"/>
      <w:r w:rsidRPr="005E4B9B">
        <w:rPr>
          <w:rFonts w:asciiTheme="minorHAnsi" w:hAnsiTheme="minorHAnsi" w:cstheme="minorHAnsi"/>
          <w:sz w:val="20"/>
          <w:szCs w:val="20"/>
        </w:rPr>
        <w:t xml:space="preserve"> e Inteligencia Artificial", </w:t>
      </w:r>
      <w:r w:rsidRPr="005E4B9B">
        <w:rPr>
          <w:rFonts w:asciiTheme="minorHAnsi" w:hAnsiTheme="minorHAnsi" w:cstheme="minorHAnsi"/>
          <w:i/>
          <w:iCs/>
          <w:sz w:val="20"/>
          <w:szCs w:val="20"/>
        </w:rPr>
        <w:t>Revista CESCO</w:t>
      </w:r>
      <w:r w:rsidRPr="005E4B9B">
        <w:rPr>
          <w:rFonts w:asciiTheme="minorHAnsi" w:hAnsiTheme="minorHAnsi" w:cstheme="minorHAnsi"/>
          <w:sz w:val="20"/>
          <w:szCs w:val="20"/>
        </w:rPr>
        <w:t>, Nº. 53, 2025, págs. 95-107.</w:t>
      </w:r>
    </w:p>
    <w:p w14:paraId="41F20666"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Aquillué</w:t>
      </w:r>
      <w:proofErr w:type="spellEnd"/>
      <w:r w:rsidRPr="005E4B9B">
        <w:rPr>
          <w:rFonts w:asciiTheme="minorHAnsi" w:hAnsiTheme="minorHAnsi" w:cstheme="minorHAnsi"/>
          <w:bCs/>
          <w:sz w:val="20"/>
          <w:szCs w:val="20"/>
        </w:rPr>
        <w:t xml:space="preserve"> Simón, Gemma</w:t>
      </w:r>
      <w:r w:rsidRPr="005E4B9B">
        <w:rPr>
          <w:rFonts w:asciiTheme="minorHAnsi" w:hAnsiTheme="minorHAnsi" w:cstheme="minorHAnsi"/>
          <w:sz w:val="20"/>
          <w:szCs w:val="20"/>
        </w:rPr>
        <w:t xml:space="preserve">, “Nuevas reglas del juego: claves de la Directiva de Daños por Producto Defectuoso”, </w:t>
      </w:r>
      <w:r w:rsidRPr="005E4B9B">
        <w:rPr>
          <w:rFonts w:asciiTheme="minorHAnsi" w:hAnsiTheme="minorHAnsi" w:cstheme="minorHAnsi"/>
          <w:i/>
          <w:iCs/>
          <w:sz w:val="20"/>
          <w:szCs w:val="20"/>
        </w:rPr>
        <w:t>Actualidad jurídica Aranzadi</w:t>
      </w:r>
      <w:r w:rsidRPr="005E4B9B">
        <w:rPr>
          <w:rFonts w:asciiTheme="minorHAnsi" w:hAnsiTheme="minorHAnsi" w:cstheme="minorHAnsi"/>
          <w:sz w:val="20"/>
          <w:szCs w:val="20"/>
        </w:rPr>
        <w:t>, Nº 1016, 2025.</w:t>
      </w:r>
    </w:p>
    <w:p w14:paraId="7CEC4D85"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Arroyo Aparicio, Alicia</w:t>
      </w:r>
      <w:r w:rsidRPr="005E4B9B">
        <w:rPr>
          <w:rFonts w:asciiTheme="minorHAnsi" w:hAnsiTheme="minorHAnsi" w:cstheme="minorHAnsi"/>
          <w:sz w:val="20"/>
          <w:szCs w:val="20"/>
        </w:rPr>
        <w:t xml:space="preserve">, “Contratos de seguro y jurisprudencia del TJUE: del tomador 'impropio' a las 'cláusulas abusivas'”, </w:t>
      </w:r>
      <w:r w:rsidRPr="005E4B9B">
        <w:rPr>
          <w:rFonts w:asciiTheme="minorHAnsi" w:hAnsiTheme="minorHAnsi" w:cstheme="minorHAnsi"/>
          <w:i/>
          <w:iCs/>
          <w:sz w:val="20"/>
          <w:szCs w:val="20"/>
        </w:rPr>
        <w:t>Revista española de seguros</w:t>
      </w:r>
      <w:r w:rsidRPr="005E4B9B">
        <w:rPr>
          <w:rFonts w:asciiTheme="minorHAnsi" w:hAnsiTheme="minorHAnsi" w:cstheme="minorHAnsi"/>
          <w:sz w:val="20"/>
          <w:szCs w:val="20"/>
        </w:rPr>
        <w:t>, Nº. 201, 2025, págs. 7-19.</w:t>
      </w:r>
    </w:p>
    <w:p w14:paraId="1066D8B0"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Berrocal </w:t>
      </w:r>
      <w:proofErr w:type="spellStart"/>
      <w:r w:rsidRPr="005E4B9B">
        <w:rPr>
          <w:rFonts w:asciiTheme="minorHAnsi" w:hAnsiTheme="minorHAnsi" w:cstheme="minorHAnsi"/>
          <w:sz w:val="20"/>
          <w:szCs w:val="20"/>
        </w:rPr>
        <w:t>Lanzarot</w:t>
      </w:r>
      <w:proofErr w:type="spellEnd"/>
      <w:r w:rsidRPr="005E4B9B">
        <w:rPr>
          <w:rFonts w:asciiTheme="minorHAnsi" w:hAnsiTheme="minorHAnsi" w:cstheme="minorHAnsi"/>
          <w:sz w:val="20"/>
          <w:szCs w:val="20"/>
        </w:rPr>
        <w:t xml:space="preserve">, Ana Isabel, “El control de transparencia y la usura: instrumentos jurídicos de protección del consumidor de créditos y tarjetas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w:t>
      </w:r>
      <w:r w:rsidRPr="005E4B9B">
        <w:rPr>
          <w:rFonts w:asciiTheme="minorHAnsi" w:hAnsiTheme="minorHAnsi" w:cstheme="minorHAnsi"/>
          <w:i/>
          <w:sz w:val="20"/>
          <w:szCs w:val="20"/>
        </w:rPr>
        <w:t>Revista Jurídica sobre Consumidores y Usuarios</w:t>
      </w:r>
      <w:r w:rsidRPr="005E4B9B">
        <w:rPr>
          <w:rFonts w:asciiTheme="minorHAnsi" w:hAnsiTheme="minorHAnsi" w:cstheme="minorHAnsi"/>
          <w:sz w:val="20"/>
          <w:szCs w:val="20"/>
        </w:rPr>
        <w:t xml:space="preserve">, Nº. 17, 2025, págs. 7-63. </w:t>
      </w:r>
    </w:p>
    <w:p w14:paraId="549384AB"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Blázquez Martín, Raquel, “La (no) prescripción y otros problemas asociados al paso del tiempo en la contratación mediante condiciones generales”, </w:t>
      </w:r>
      <w:r w:rsidRPr="005E4B9B">
        <w:rPr>
          <w:rFonts w:asciiTheme="minorHAnsi" w:hAnsiTheme="minorHAnsi" w:cstheme="minorHAnsi"/>
          <w:i/>
          <w:sz w:val="20"/>
          <w:szCs w:val="20"/>
        </w:rPr>
        <w:t>Revista Consumo y Empresa</w:t>
      </w:r>
      <w:r w:rsidRPr="005E4B9B">
        <w:rPr>
          <w:rFonts w:asciiTheme="minorHAnsi" w:hAnsiTheme="minorHAnsi" w:cstheme="minorHAnsi"/>
          <w:sz w:val="20"/>
          <w:szCs w:val="20"/>
        </w:rPr>
        <w:t xml:space="preserve">, Nº. 16, 2025, págs. 67-92. </w:t>
      </w:r>
    </w:p>
    <w:p w14:paraId="3A557ED2"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sz w:val="20"/>
          <w:szCs w:val="20"/>
        </w:rPr>
        <w:t>Borrallo</w:t>
      </w:r>
      <w:proofErr w:type="spellEnd"/>
      <w:r w:rsidRPr="005E4B9B">
        <w:rPr>
          <w:rFonts w:asciiTheme="minorHAnsi" w:hAnsiTheme="minorHAnsi" w:cstheme="minorHAnsi"/>
          <w:sz w:val="20"/>
          <w:szCs w:val="20"/>
        </w:rPr>
        <w:t xml:space="preserve"> Fernández, Cristina, “Análisis integral de los créditos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en España desde la perspectiva del Derecho del consumidor: jurisprudencia, doctrina y propuestas de reforma”, </w:t>
      </w:r>
      <w:r w:rsidRPr="005E4B9B">
        <w:rPr>
          <w:rFonts w:asciiTheme="minorHAnsi" w:hAnsiTheme="minorHAnsi" w:cstheme="minorHAnsi"/>
          <w:i/>
          <w:sz w:val="20"/>
          <w:szCs w:val="20"/>
        </w:rPr>
        <w:t>Revista Jurídica sobre Consumidores y Usuarios</w:t>
      </w:r>
      <w:r w:rsidRPr="005E4B9B">
        <w:rPr>
          <w:rFonts w:asciiTheme="minorHAnsi" w:hAnsiTheme="minorHAnsi" w:cstheme="minorHAnsi"/>
          <w:sz w:val="20"/>
          <w:szCs w:val="20"/>
        </w:rPr>
        <w:t>, Nº. 17, 2025, págs. 64-83.</w:t>
      </w:r>
    </w:p>
    <w:p w14:paraId="7CEF0AF0"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Buitrón, Eduardo</w:t>
      </w:r>
      <w:r w:rsidRPr="005E4B9B">
        <w:rPr>
          <w:rFonts w:asciiTheme="minorHAnsi" w:hAnsiTheme="minorHAnsi" w:cstheme="minorHAnsi"/>
          <w:sz w:val="20"/>
          <w:szCs w:val="20"/>
        </w:rPr>
        <w:t xml:space="preserve">, “La publicidad en España de medicamentos que han obtenido la autorización de comercialización, pero se encuentran pendientes de recibir el precio y resolución de financiación. A propósito de la Sentencia del TS de 4 de marzo de 2025, ¿una cuestión zanjada?”,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10699, 2025.</w:t>
      </w:r>
    </w:p>
    <w:p w14:paraId="7983926B"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Calvo, Verónica</w:t>
      </w:r>
      <w:r w:rsidRPr="005E4B9B">
        <w:rPr>
          <w:rFonts w:asciiTheme="minorHAnsi" w:hAnsiTheme="minorHAnsi" w:cstheme="minorHAnsi"/>
          <w:sz w:val="20"/>
          <w:szCs w:val="20"/>
        </w:rPr>
        <w:t xml:space="preserve">, “Mal uso y abuso del concurso sin masa de personas físicas y de la Ley de segunda oportunidad”,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10692, 2025.</w:t>
      </w:r>
    </w:p>
    <w:p w14:paraId="47950F2D"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Cámara Águila, Pilar</w:t>
      </w:r>
      <w:r w:rsidRPr="005E4B9B">
        <w:rPr>
          <w:rFonts w:asciiTheme="minorHAnsi" w:hAnsiTheme="minorHAnsi" w:cstheme="minorHAnsi"/>
          <w:sz w:val="20"/>
          <w:szCs w:val="20"/>
        </w:rPr>
        <w:t xml:space="preserve">, "¿Un producto resultado de la Inteligencia Artificial puede ser protegido por derechos de autor?: La condición de autor en la legislación de propiedad intelectual y más allá", </w:t>
      </w:r>
      <w:r w:rsidRPr="005E4B9B">
        <w:rPr>
          <w:rFonts w:asciiTheme="minorHAnsi" w:hAnsiTheme="minorHAnsi" w:cstheme="minorHAnsi"/>
          <w:i/>
          <w:iCs/>
          <w:sz w:val="20"/>
          <w:szCs w:val="20"/>
        </w:rPr>
        <w:t>Revista CESCO</w:t>
      </w:r>
      <w:r w:rsidRPr="005E4B9B">
        <w:rPr>
          <w:rFonts w:asciiTheme="minorHAnsi" w:hAnsiTheme="minorHAnsi" w:cstheme="minorHAnsi"/>
          <w:sz w:val="20"/>
          <w:szCs w:val="20"/>
        </w:rPr>
        <w:t>, Nº. 53, 2025, págs. 109-142.</w:t>
      </w:r>
    </w:p>
    <w:p w14:paraId="3C741860"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Castellanos Cámara, Sandra</w:t>
      </w:r>
      <w:r w:rsidRPr="005E4B9B">
        <w:rPr>
          <w:rFonts w:asciiTheme="minorHAnsi" w:hAnsiTheme="minorHAnsi" w:cstheme="minorHAnsi"/>
          <w:sz w:val="20"/>
          <w:szCs w:val="20"/>
        </w:rPr>
        <w:t xml:space="preserve">, “La cláusula IRPH a la vista de los nuevos parámetros europeos: Sentencia del Tribunal de Justicia 12 de diciembre de 2024, asunto C‐300/23: NB y Kutxabank, S.A.”,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134, 2025.</w:t>
      </w:r>
    </w:p>
    <w:p w14:paraId="4CD7EB59"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Castillo Martínez, Carolina del Carmen, “Cierre al tratamiento jurisprudencial de las tarjetas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Determinación del diferencial a aplicar para la consideración de la usura, control de incorporación, intereses abusivos por falta de transparencia y </w:t>
      </w:r>
      <w:proofErr w:type="spellStart"/>
      <w:r w:rsidRPr="005E4B9B">
        <w:rPr>
          <w:rFonts w:asciiTheme="minorHAnsi" w:hAnsiTheme="minorHAnsi" w:cstheme="minorHAnsi"/>
          <w:sz w:val="20"/>
          <w:szCs w:val="20"/>
        </w:rPr>
        <w:t>prescriptibilidad</w:t>
      </w:r>
      <w:proofErr w:type="spellEnd"/>
      <w:r w:rsidRPr="005E4B9B">
        <w:rPr>
          <w:rFonts w:asciiTheme="minorHAnsi" w:hAnsiTheme="minorHAnsi" w:cstheme="minorHAnsi"/>
          <w:sz w:val="20"/>
          <w:szCs w:val="20"/>
        </w:rPr>
        <w:t xml:space="preserve"> de la acción restitutoria de los intereses remuneratorios”, </w:t>
      </w:r>
      <w:r w:rsidRPr="005E4B9B">
        <w:rPr>
          <w:rFonts w:asciiTheme="minorHAnsi" w:hAnsiTheme="minorHAnsi" w:cstheme="minorHAnsi"/>
          <w:i/>
          <w:sz w:val="20"/>
          <w:szCs w:val="20"/>
        </w:rPr>
        <w:t>Revista Jurídica sobre Consumidores y Usuarios</w:t>
      </w:r>
      <w:r w:rsidRPr="005E4B9B">
        <w:rPr>
          <w:rFonts w:asciiTheme="minorHAnsi" w:hAnsiTheme="minorHAnsi" w:cstheme="minorHAnsi"/>
          <w:sz w:val="20"/>
          <w:szCs w:val="20"/>
        </w:rPr>
        <w:t>, Nº. 17, 2025, págs. 84-106.</w:t>
      </w:r>
    </w:p>
    <w:p w14:paraId="126C9252"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 xml:space="preserve">Cohen </w:t>
      </w:r>
      <w:proofErr w:type="spellStart"/>
      <w:r w:rsidRPr="005E4B9B">
        <w:rPr>
          <w:rFonts w:asciiTheme="minorHAnsi" w:hAnsiTheme="minorHAnsi" w:cstheme="minorHAnsi"/>
          <w:bCs/>
          <w:sz w:val="20"/>
          <w:szCs w:val="20"/>
        </w:rPr>
        <w:t>Benchetrit</w:t>
      </w:r>
      <w:proofErr w:type="spellEnd"/>
      <w:r w:rsidRPr="005E4B9B">
        <w:rPr>
          <w:rFonts w:asciiTheme="minorHAnsi" w:hAnsiTheme="minorHAnsi" w:cstheme="minorHAnsi"/>
          <w:bCs/>
          <w:sz w:val="20"/>
          <w:szCs w:val="20"/>
        </w:rPr>
        <w:t>, Amanda</w:t>
      </w:r>
      <w:r w:rsidRPr="005E4B9B">
        <w:rPr>
          <w:rFonts w:asciiTheme="minorHAnsi" w:hAnsiTheme="minorHAnsi" w:cstheme="minorHAnsi"/>
          <w:sz w:val="20"/>
          <w:szCs w:val="20"/>
        </w:rPr>
        <w:t xml:space="preserve">, “Acciones colectivas y competencia objetiva: una reflexión acerca del criterio atributivo de competencia objetiva en el proyecto de ley de acciones colectivas para la protección y defensa de los derechos e intereses de los consumidores y usuarios”,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10729, 2025.</w:t>
      </w:r>
    </w:p>
    <w:p w14:paraId="6A361739"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 xml:space="preserve">Cohen </w:t>
      </w:r>
      <w:proofErr w:type="spellStart"/>
      <w:r w:rsidRPr="005E4B9B">
        <w:rPr>
          <w:rFonts w:asciiTheme="minorHAnsi" w:hAnsiTheme="minorHAnsi" w:cstheme="minorHAnsi"/>
          <w:bCs/>
          <w:sz w:val="20"/>
          <w:szCs w:val="20"/>
        </w:rPr>
        <w:t>Benchetrit</w:t>
      </w:r>
      <w:proofErr w:type="spellEnd"/>
      <w:r w:rsidRPr="005E4B9B">
        <w:rPr>
          <w:rFonts w:asciiTheme="minorHAnsi" w:hAnsiTheme="minorHAnsi" w:cstheme="minorHAnsi"/>
          <w:bCs/>
          <w:sz w:val="20"/>
          <w:szCs w:val="20"/>
        </w:rPr>
        <w:t>, Amanda</w:t>
      </w:r>
      <w:r w:rsidRPr="005E4B9B">
        <w:rPr>
          <w:rFonts w:asciiTheme="minorHAnsi" w:hAnsiTheme="minorHAnsi" w:cstheme="minorHAnsi"/>
          <w:sz w:val="20"/>
          <w:szCs w:val="20"/>
        </w:rPr>
        <w:t xml:space="preserve">, “Acciones colectivas y competencia objetiva: una reflexión acerca del criterio atributivo de competencia objetiva en el Proyecto de Ley de acciones colectivas para la </w:t>
      </w:r>
      <w:r w:rsidRPr="005E4B9B">
        <w:rPr>
          <w:rFonts w:asciiTheme="minorHAnsi" w:hAnsiTheme="minorHAnsi" w:cstheme="minorHAnsi"/>
          <w:sz w:val="20"/>
          <w:szCs w:val="20"/>
        </w:rPr>
        <w:lastRenderedPageBreak/>
        <w:t xml:space="preserve">protección y defensa de los derechos e intereses de los consumidores y usuarios”, </w:t>
      </w:r>
      <w:r w:rsidRPr="005E4B9B">
        <w:rPr>
          <w:rFonts w:asciiTheme="minorHAnsi" w:hAnsiTheme="minorHAnsi" w:cstheme="minorHAnsi"/>
          <w:i/>
          <w:iCs/>
          <w:sz w:val="20"/>
          <w:szCs w:val="20"/>
        </w:rPr>
        <w:t>La Ley mercantil</w:t>
      </w:r>
      <w:r w:rsidRPr="005E4B9B">
        <w:rPr>
          <w:rFonts w:asciiTheme="minorHAnsi" w:hAnsiTheme="minorHAnsi" w:cstheme="minorHAnsi"/>
          <w:sz w:val="20"/>
          <w:szCs w:val="20"/>
        </w:rPr>
        <w:t>, Nº. 123, 2025.</w:t>
      </w:r>
    </w:p>
    <w:p w14:paraId="3825D1D4"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Csehi</w:t>
      </w:r>
      <w:proofErr w:type="spellEnd"/>
      <w:r w:rsidRPr="005E4B9B">
        <w:rPr>
          <w:rFonts w:asciiTheme="minorHAnsi" w:hAnsiTheme="minorHAnsi" w:cstheme="minorHAnsi"/>
          <w:bCs/>
          <w:sz w:val="20"/>
          <w:szCs w:val="20"/>
        </w:rPr>
        <w:t xml:space="preserve">, </w:t>
      </w:r>
      <w:proofErr w:type="spellStart"/>
      <w:r w:rsidRPr="005E4B9B">
        <w:rPr>
          <w:rFonts w:asciiTheme="minorHAnsi" w:hAnsiTheme="minorHAnsi" w:cstheme="minorHAnsi"/>
          <w:bCs/>
          <w:sz w:val="20"/>
          <w:szCs w:val="20"/>
        </w:rPr>
        <w:t>Zoltán</w:t>
      </w:r>
      <w:proofErr w:type="spellEnd"/>
      <w:r w:rsidRPr="005E4B9B">
        <w:rPr>
          <w:rFonts w:asciiTheme="minorHAnsi" w:hAnsiTheme="minorHAnsi" w:cstheme="minorHAnsi"/>
          <w:sz w:val="20"/>
          <w:szCs w:val="20"/>
        </w:rPr>
        <w:t xml:space="preserve">, “Control del carácter abusivo de cláusulas en contratos de fianza vinculados a créditos al consumo y exigencia de transparencia en la TAE: interpretación de las Directivas 93/13 y 2008: TJ, Sala Décima, S 13 marzo 2025. Asunto C‐337/23: APS Beta Bulgaria y </w:t>
      </w:r>
      <w:proofErr w:type="spellStart"/>
      <w:r w:rsidRPr="005E4B9B">
        <w:rPr>
          <w:rFonts w:asciiTheme="minorHAnsi" w:hAnsiTheme="minorHAnsi" w:cstheme="minorHAnsi"/>
          <w:sz w:val="20"/>
          <w:szCs w:val="20"/>
        </w:rPr>
        <w:t>Agentsia</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za</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kontrol</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na</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prosrocheni</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zadalzhenia</w:t>
      </w:r>
      <w:proofErr w:type="spellEnd"/>
      <w:r w:rsidRPr="005E4B9B">
        <w:rPr>
          <w:rFonts w:asciiTheme="minorHAnsi" w:hAnsiTheme="minorHAnsi" w:cstheme="minorHAnsi"/>
          <w:sz w:val="20"/>
          <w:szCs w:val="20"/>
        </w:rPr>
        <w:t xml:space="preserve">”,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136, 2025.</w:t>
      </w:r>
    </w:p>
    <w:p w14:paraId="1DEF8FFA"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Cubero Marcos, José Ignacio</w:t>
      </w:r>
      <w:r w:rsidRPr="005E4B9B">
        <w:rPr>
          <w:rFonts w:asciiTheme="minorHAnsi" w:hAnsiTheme="minorHAnsi" w:cstheme="minorHAnsi"/>
          <w:sz w:val="20"/>
          <w:szCs w:val="20"/>
        </w:rPr>
        <w:t xml:space="preserve">, “La limitación de precios a las labores de intermediación de los operadores inmobiliarios y otro tipo de plataformas: Sentencia del Tribunal de Justicia 3.ª 27 de febrero de 2025, asunto C‐674/23, AEON NEPREMICNINE </w:t>
      </w:r>
      <w:proofErr w:type="spellStart"/>
      <w:r w:rsidRPr="005E4B9B">
        <w:rPr>
          <w:rFonts w:asciiTheme="minorHAnsi" w:hAnsiTheme="minorHAnsi" w:cstheme="minorHAnsi"/>
          <w:sz w:val="20"/>
          <w:szCs w:val="20"/>
        </w:rPr>
        <w:t>d.o.o</w:t>
      </w:r>
      <w:proofErr w:type="spellEnd"/>
      <w:r w:rsidRPr="005E4B9B">
        <w:rPr>
          <w:rFonts w:asciiTheme="minorHAnsi" w:hAnsiTheme="minorHAnsi" w:cstheme="minorHAnsi"/>
          <w:sz w:val="20"/>
          <w:szCs w:val="20"/>
        </w:rPr>
        <w:t xml:space="preserve">. y otros”,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135, 2025.</w:t>
      </w:r>
    </w:p>
    <w:p w14:paraId="0A733B1F"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Del Rocío Molero Villar, Rita y Cabrera Montesinos, Francisco José, “Análisis jurisprudencial de la protección del consumidor ante los riesgos del crédito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Comentario a las sentencias de 30 de enero de 2025 y 5 de mayo de 2025 del Tribunal Supremo”, </w:t>
      </w:r>
      <w:r w:rsidRPr="005E4B9B">
        <w:rPr>
          <w:rFonts w:asciiTheme="minorHAnsi" w:hAnsiTheme="minorHAnsi" w:cstheme="minorHAnsi"/>
          <w:i/>
          <w:sz w:val="20"/>
          <w:szCs w:val="20"/>
        </w:rPr>
        <w:t>Revista Jurídica sobre Consumidores y Usuarios</w:t>
      </w:r>
      <w:r w:rsidRPr="005E4B9B">
        <w:rPr>
          <w:rFonts w:asciiTheme="minorHAnsi" w:hAnsiTheme="minorHAnsi" w:cstheme="minorHAnsi"/>
          <w:sz w:val="20"/>
          <w:szCs w:val="20"/>
        </w:rPr>
        <w:t>, Nº. 17, 2025, págs. 152-172.</w:t>
      </w:r>
    </w:p>
    <w:p w14:paraId="01AFCAD0"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Del Ser, Ana, “Créditos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análisis jurisprudencial de la nulidad”, </w:t>
      </w:r>
      <w:r w:rsidRPr="005E4B9B">
        <w:rPr>
          <w:rFonts w:asciiTheme="minorHAnsi" w:hAnsiTheme="minorHAnsi" w:cstheme="minorHAnsi"/>
          <w:i/>
          <w:sz w:val="20"/>
          <w:szCs w:val="20"/>
        </w:rPr>
        <w:t>Revista Consumo y Empresa</w:t>
      </w:r>
      <w:r w:rsidRPr="005E4B9B">
        <w:rPr>
          <w:rFonts w:asciiTheme="minorHAnsi" w:hAnsiTheme="minorHAnsi" w:cstheme="minorHAnsi"/>
          <w:sz w:val="20"/>
          <w:szCs w:val="20"/>
        </w:rPr>
        <w:t>, Nº. 16, 2025, págs. 53-66.</w:t>
      </w:r>
    </w:p>
    <w:p w14:paraId="50044A07"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Drago Corbella, David</w:t>
      </w:r>
      <w:r w:rsidRPr="005E4B9B">
        <w:rPr>
          <w:rFonts w:asciiTheme="minorHAnsi" w:hAnsiTheme="minorHAnsi" w:cstheme="minorHAnsi"/>
          <w:sz w:val="20"/>
          <w:szCs w:val="20"/>
        </w:rPr>
        <w:t xml:space="preserve">, “Conflicto en la inclusión de deudas en ficheros de solvencia patrimonial y el derecho al honor. Comentario a la STS 991/2024, de 12 de julio (RJ 2024, 4084)”, </w:t>
      </w:r>
      <w:r w:rsidRPr="005E4B9B">
        <w:rPr>
          <w:rFonts w:asciiTheme="minorHAnsi" w:hAnsiTheme="minorHAnsi" w:cstheme="minorHAnsi"/>
          <w:i/>
          <w:iCs/>
          <w:sz w:val="20"/>
          <w:szCs w:val="20"/>
        </w:rPr>
        <w:t xml:space="preserve">Cuadernos </w:t>
      </w:r>
      <w:proofErr w:type="spellStart"/>
      <w:r w:rsidRPr="005E4B9B">
        <w:rPr>
          <w:rFonts w:asciiTheme="minorHAnsi" w:hAnsiTheme="minorHAnsi" w:cstheme="minorHAnsi"/>
          <w:i/>
          <w:iCs/>
          <w:sz w:val="20"/>
          <w:szCs w:val="20"/>
        </w:rPr>
        <w:t>Civitas</w:t>
      </w:r>
      <w:proofErr w:type="spellEnd"/>
      <w:r w:rsidRPr="005E4B9B">
        <w:rPr>
          <w:rFonts w:asciiTheme="minorHAnsi" w:hAnsiTheme="minorHAnsi" w:cstheme="minorHAnsi"/>
          <w:i/>
          <w:iCs/>
          <w:sz w:val="20"/>
          <w:szCs w:val="20"/>
        </w:rPr>
        <w:t xml:space="preserve"> de jurisprudencia civil</w:t>
      </w:r>
      <w:r w:rsidRPr="005E4B9B">
        <w:rPr>
          <w:rFonts w:asciiTheme="minorHAnsi" w:hAnsiTheme="minorHAnsi" w:cstheme="minorHAnsi"/>
          <w:sz w:val="20"/>
          <w:szCs w:val="20"/>
        </w:rPr>
        <w:t>, Nº 127, 2025.</w:t>
      </w:r>
    </w:p>
    <w:p w14:paraId="4F98DECA"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Estébanez Izquierdo, José Manuel, “Apuntes sobre los contratos de seguro vinculados a un contrato de préstamo”, </w:t>
      </w:r>
      <w:r w:rsidRPr="005E4B9B">
        <w:rPr>
          <w:rFonts w:asciiTheme="minorHAnsi" w:hAnsiTheme="minorHAnsi" w:cstheme="minorHAnsi"/>
          <w:i/>
          <w:sz w:val="20"/>
          <w:szCs w:val="20"/>
        </w:rPr>
        <w:t xml:space="preserve">Revista de Derecho </w:t>
      </w:r>
      <w:proofErr w:type="spellStart"/>
      <w:r w:rsidRPr="005E4B9B">
        <w:rPr>
          <w:rFonts w:asciiTheme="minorHAnsi" w:hAnsiTheme="minorHAnsi" w:cstheme="minorHAnsi"/>
          <w:i/>
          <w:sz w:val="20"/>
          <w:szCs w:val="20"/>
        </w:rPr>
        <w:t>vLex</w:t>
      </w:r>
      <w:proofErr w:type="spellEnd"/>
      <w:r w:rsidRPr="005E4B9B">
        <w:rPr>
          <w:rFonts w:asciiTheme="minorHAnsi" w:hAnsiTheme="minorHAnsi" w:cstheme="minorHAnsi"/>
          <w:sz w:val="20"/>
          <w:szCs w:val="20"/>
        </w:rPr>
        <w:t xml:space="preserve">, Nº. 251, págs. 1-15. </w:t>
      </w:r>
    </w:p>
    <w:p w14:paraId="36A7B99C"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Fernández Escudero, Vanesa, “Créditos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Análisis sustantivo, jurisprudencial y procesal”, </w:t>
      </w:r>
      <w:r w:rsidRPr="005E4B9B">
        <w:rPr>
          <w:rFonts w:asciiTheme="minorHAnsi" w:hAnsiTheme="minorHAnsi" w:cstheme="minorHAnsi"/>
          <w:i/>
          <w:sz w:val="20"/>
          <w:szCs w:val="20"/>
        </w:rPr>
        <w:t>Revista Jurídica sobre Consumidores y Usuarios</w:t>
      </w:r>
      <w:r w:rsidRPr="005E4B9B">
        <w:rPr>
          <w:rFonts w:asciiTheme="minorHAnsi" w:hAnsiTheme="minorHAnsi" w:cstheme="minorHAnsi"/>
          <w:sz w:val="20"/>
          <w:szCs w:val="20"/>
        </w:rPr>
        <w:t>, Nº. 17, 2025, págs. 107-113.</w:t>
      </w:r>
    </w:p>
    <w:p w14:paraId="5B88616C"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Fernández Rodríguez, Eva</w:t>
      </w:r>
      <w:r w:rsidRPr="005E4B9B">
        <w:rPr>
          <w:rFonts w:asciiTheme="minorHAnsi" w:hAnsiTheme="minorHAnsi" w:cstheme="minorHAnsi"/>
          <w:sz w:val="20"/>
          <w:szCs w:val="20"/>
        </w:rPr>
        <w:t xml:space="preserve">, “Diez años de la modificación de la regulación de la protección de las entregas a cuenta en la vivienda </w:t>
      </w:r>
      <w:proofErr w:type="spellStart"/>
      <w:r w:rsidRPr="005E4B9B">
        <w:rPr>
          <w:rFonts w:asciiTheme="minorHAnsi" w:hAnsiTheme="minorHAnsi" w:cstheme="minorHAnsi"/>
          <w:sz w:val="20"/>
          <w:szCs w:val="20"/>
        </w:rPr>
        <w:t>construción</w:t>
      </w:r>
      <w:proofErr w:type="spellEnd"/>
      <w:r w:rsidRPr="005E4B9B">
        <w:rPr>
          <w:rFonts w:asciiTheme="minorHAnsi" w:hAnsiTheme="minorHAnsi" w:cstheme="minorHAnsi"/>
          <w:sz w:val="20"/>
          <w:szCs w:val="20"/>
        </w:rPr>
        <w:t xml:space="preserve">. ¿A quién se protege?”, </w:t>
      </w:r>
      <w:r w:rsidRPr="005E4B9B">
        <w:rPr>
          <w:rFonts w:asciiTheme="minorHAnsi" w:hAnsiTheme="minorHAnsi" w:cstheme="minorHAnsi"/>
          <w:i/>
          <w:iCs/>
          <w:sz w:val="20"/>
          <w:szCs w:val="20"/>
        </w:rPr>
        <w:t>Actualidad civil</w:t>
      </w:r>
      <w:r w:rsidRPr="005E4B9B">
        <w:rPr>
          <w:rFonts w:asciiTheme="minorHAnsi" w:hAnsiTheme="minorHAnsi" w:cstheme="minorHAnsi"/>
          <w:sz w:val="20"/>
          <w:szCs w:val="20"/>
        </w:rPr>
        <w:t>, Nº 3, 2025.</w:t>
      </w:r>
    </w:p>
    <w:p w14:paraId="1A0E5E94"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Frendo</w:t>
      </w:r>
      <w:proofErr w:type="spellEnd"/>
      <w:r w:rsidRPr="005E4B9B">
        <w:rPr>
          <w:rFonts w:asciiTheme="minorHAnsi" w:hAnsiTheme="minorHAnsi" w:cstheme="minorHAnsi"/>
          <w:bCs/>
          <w:sz w:val="20"/>
          <w:szCs w:val="20"/>
        </w:rPr>
        <w:t>, R.</w:t>
      </w:r>
      <w:r w:rsidRPr="005E4B9B">
        <w:rPr>
          <w:rFonts w:asciiTheme="minorHAnsi" w:hAnsiTheme="minorHAnsi" w:cstheme="minorHAnsi"/>
          <w:sz w:val="20"/>
          <w:szCs w:val="20"/>
        </w:rPr>
        <w:t xml:space="preserve">, “Plazo de prescripción de la acción restitutoria de las cantidades indebidamente pagadas en los contratos de préstamo hipotecario que incluyen cláusulas que atribuye al consumidor el pago de los gastos asociados al contrato (STJ 13 de marzo de 2025, as. C‐230/24: Banco Santander): TJ, Sala Novena, STJ 13 marzo 2025, Asunto C‐230/24: Banco Santander”,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135, 2025.</w:t>
      </w:r>
    </w:p>
    <w:p w14:paraId="344F0E49"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Fuentes-</w:t>
      </w:r>
      <w:proofErr w:type="spellStart"/>
      <w:r w:rsidRPr="005E4B9B">
        <w:rPr>
          <w:rFonts w:asciiTheme="minorHAnsi" w:hAnsiTheme="minorHAnsi" w:cstheme="minorHAnsi"/>
          <w:bCs/>
          <w:sz w:val="20"/>
          <w:szCs w:val="20"/>
        </w:rPr>
        <w:t>Lojo</w:t>
      </w:r>
      <w:proofErr w:type="spellEnd"/>
      <w:r w:rsidRPr="005E4B9B">
        <w:rPr>
          <w:rFonts w:asciiTheme="minorHAnsi" w:hAnsiTheme="minorHAnsi" w:cstheme="minorHAnsi"/>
          <w:bCs/>
          <w:sz w:val="20"/>
          <w:szCs w:val="20"/>
        </w:rPr>
        <w:t xml:space="preserve"> Rius, Alejandro</w:t>
      </w:r>
      <w:r w:rsidRPr="005E4B9B">
        <w:rPr>
          <w:rFonts w:asciiTheme="minorHAnsi" w:hAnsiTheme="minorHAnsi" w:cstheme="minorHAnsi"/>
          <w:sz w:val="20"/>
          <w:szCs w:val="20"/>
        </w:rPr>
        <w:t xml:space="preserve">, “El nuevo régimen sancionador en la comercialización de viviendas en arrendamiento en Cataluña”,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10692, 2025.</w:t>
      </w:r>
    </w:p>
    <w:p w14:paraId="57E3DB0A"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García Vidal, Angel</w:t>
      </w:r>
      <w:r w:rsidRPr="005E4B9B">
        <w:rPr>
          <w:rFonts w:asciiTheme="minorHAnsi" w:hAnsiTheme="minorHAnsi" w:cstheme="minorHAnsi"/>
          <w:sz w:val="20"/>
          <w:szCs w:val="20"/>
        </w:rPr>
        <w:t xml:space="preserve">, “¿Publicidad de medicamentos o publicidad de una farmacia?: Comentario a la Sentencia del Tribunal de Justicia (sala quinta) de 27 de febrero de 2025, </w:t>
      </w:r>
      <w:proofErr w:type="spellStart"/>
      <w:r w:rsidRPr="005E4B9B">
        <w:rPr>
          <w:rFonts w:asciiTheme="minorHAnsi" w:hAnsiTheme="minorHAnsi" w:cstheme="minorHAnsi"/>
          <w:sz w:val="20"/>
          <w:szCs w:val="20"/>
        </w:rPr>
        <w:t>Apothekerkammer</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Nordrhein</w:t>
      </w:r>
      <w:proofErr w:type="spellEnd"/>
      <w:r w:rsidRPr="005E4B9B">
        <w:rPr>
          <w:rFonts w:asciiTheme="minorHAnsi" w:hAnsiTheme="minorHAnsi" w:cstheme="minorHAnsi"/>
          <w:sz w:val="20"/>
          <w:szCs w:val="20"/>
        </w:rPr>
        <w:t xml:space="preserve"> contra </w:t>
      </w:r>
      <w:proofErr w:type="spellStart"/>
      <w:r w:rsidRPr="005E4B9B">
        <w:rPr>
          <w:rFonts w:asciiTheme="minorHAnsi" w:hAnsiTheme="minorHAnsi" w:cstheme="minorHAnsi"/>
          <w:sz w:val="20"/>
          <w:szCs w:val="20"/>
        </w:rPr>
        <w:t>DocMorris</w:t>
      </w:r>
      <w:proofErr w:type="spellEnd"/>
      <w:r w:rsidRPr="005E4B9B">
        <w:rPr>
          <w:rFonts w:asciiTheme="minorHAnsi" w:hAnsiTheme="minorHAnsi" w:cstheme="minorHAnsi"/>
          <w:sz w:val="20"/>
          <w:szCs w:val="20"/>
        </w:rPr>
        <w:t xml:space="preserve"> NV, C517/23”, </w:t>
      </w:r>
      <w:r w:rsidRPr="005E4B9B">
        <w:rPr>
          <w:rFonts w:asciiTheme="minorHAnsi" w:hAnsiTheme="minorHAnsi" w:cstheme="minorHAnsi"/>
          <w:i/>
          <w:iCs/>
          <w:sz w:val="20"/>
          <w:szCs w:val="20"/>
        </w:rPr>
        <w:t>Comunicaciones en propiedad industrial y derecho de la competencia</w:t>
      </w:r>
      <w:r w:rsidRPr="005E4B9B">
        <w:rPr>
          <w:rFonts w:asciiTheme="minorHAnsi" w:hAnsiTheme="minorHAnsi" w:cstheme="minorHAnsi"/>
          <w:sz w:val="20"/>
          <w:szCs w:val="20"/>
        </w:rPr>
        <w:t>, Nº. 104, 2025, págs. 119-132.</w:t>
      </w:r>
    </w:p>
    <w:p w14:paraId="5B56E446"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Gavalec</w:t>
      </w:r>
      <w:proofErr w:type="spellEnd"/>
      <w:r w:rsidRPr="005E4B9B">
        <w:rPr>
          <w:rFonts w:asciiTheme="minorHAnsi" w:hAnsiTheme="minorHAnsi" w:cstheme="minorHAnsi"/>
          <w:bCs/>
          <w:sz w:val="20"/>
          <w:szCs w:val="20"/>
        </w:rPr>
        <w:t>, M.</w:t>
      </w:r>
      <w:r w:rsidRPr="005E4B9B">
        <w:rPr>
          <w:rFonts w:asciiTheme="minorHAnsi" w:hAnsiTheme="minorHAnsi" w:cstheme="minorHAnsi"/>
          <w:sz w:val="20"/>
          <w:szCs w:val="20"/>
        </w:rPr>
        <w:t xml:space="preserve">, “Derecho a reembolso del billete de avión en caso de cancelación de un vuelo: Opción entre el reembolso en dinero o mediante bonos de viaje: TJ, Sala Séptima, S 16 enero 2025. Asunto C‐642/23: </w:t>
      </w:r>
      <w:proofErr w:type="spellStart"/>
      <w:r w:rsidRPr="005E4B9B">
        <w:rPr>
          <w:rFonts w:asciiTheme="minorHAnsi" w:hAnsiTheme="minorHAnsi" w:cstheme="minorHAnsi"/>
          <w:sz w:val="20"/>
          <w:szCs w:val="20"/>
        </w:rPr>
        <w:t>Flightright</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GmbH</w:t>
      </w:r>
      <w:proofErr w:type="spellEnd"/>
      <w:r w:rsidRPr="005E4B9B">
        <w:rPr>
          <w:rFonts w:asciiTheme="minorHAnsi" w:hAnsiTheme="minorHAnsi" w:cstheme="minorHAnsi"/>
          <w:sz w:val="20"/>
          <w:szCs w:val="20"/>
        </w:rPr>
        <w:t xml:space="preserve"> y </w:t>
      </w:r>
      <w:proofErr w:type="spellStart"/>
      <w:r w:rsidRPr="005E4B9B">
        <w:rPr>
          <w:rFonts w:asciiTheme="minorHAnsi" w:hAnsiTheme="minorHAnsi" w:cstheme="minorHAnsi"/>
          <w:sz w:val="20"/>
          <w:szCs w:val="20"/>
        </w:rPr>
        <w:t>Etihad</w:t>
      </w:r>
      <w:proofErr w:type="spellEnd"/>
      <w:r w:rsidRPr="005E4B9B">
        <w:rPr>
          <w:rFonts w:asciiTheme="minorHAnsi" w:hAnsiTheme="minorHAnsi" w:cstheme="minorHAnsi"/>
          <w:sz w:val="20"/>
          <w:szCs w:val="20"/>
        </w:rPr>
        <w:t xml:space="preserve"> Airways P.J.S.C.”,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134, 2025.</w:t>
      </w:r>
    </w:p>
    <w:p w14:paraId="2F8042DF"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 xml:space="preserve">Gómez </w:t>
      </w:r>
      <w:proofErr w:type="spellStart"/>
      <w:r w:rsidRPr="005E4B9B">
        <w:rPr>
          <w:rFonts w:asciiTheme="minorHAnsi" w:hAnsiTheme="minorHAnsi" w:cstheme="minorHAnsi"/>
          <w:bCs/>
          <w:sz w:val="20"/>
          <w:szCs w:val="20"/>
        </w:rPr>
        <w:t>Ligüerre</w:t>
      </w:r>
      <w:proofErr w:type="spellEnd"/>
      <w:r w:rsidRPr="005E4B9B">
        <w:rPr>
          <w:rFonts w:asciiTheme="minorHAnsi" w:hAnsiTheme="minorHAnsi" w:cstheme="minorHAnsi"/>
          <w:bCs/>
          <w:sz w:val="20"/>
          <w:szCs w:val="20"/>
        </w:rPr>
        <w:t>, Carlos</w:t>
      </w:r>
      <w:r w:rsidRPr="005E4B9B">
        <w:rPr>
          <w:rFonts w:asciiTheme="minorHAnsi" w:hAnsiTheme="minorHAnsi" w:cstheme="minorHAnsi"/>
          <w:sz w:val="20"/>
          <w:szCs w:val="20"/>
        </w:rPr>
        <w:t xml:space="preserve">, “La nueva Directiva de responsabilidad por daños causados por productos defectuosos”,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133, 2025.</w:t>
      </w:r>
    </w:p>
    <w:p w14:paraId="66923F00"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 xml:space="preserve">González </w:t>
      </w:r>
      <w:proofErr w:type="spellStart"/>
      <w:r w:rsidRPr="005E4B9B">
        <w:rPr>
          <w:rFonts w:asciiTheme="minorHAnsi" w:hAnsiTheme="minorHAnsi" w:cstheme="minorHAnsi"/>
          <w:bCs/>
          <w:sz w:val="20"/>
          <w:szCs w:val="20"/>
        </w:rPr>
        <w:t>Beluche</w:t>
      </w:r>
      <w:proofErr w:type="spellEnd"/>
      <w:r w:rsidRPr="005E4B9B">
        <w:rPr>
          <w:rFonts w:asciiTheme="minorHAnsi" w:hAnsiTheme="minorHAnsi" w:cstheme="minorHAnsi"/>
          <w:bCs/>
          <w:sz w:val="20"/>
          <w:szCs w:val="20"/>
        </w:rPr>
        <w:t>, Paloma</w:t>
      </w:r>
      <w:r w:rsidRPr="005E4B9B">
        <w:rPr>
          <w:rFonts w:asciiTheme="minorHAnsi" w:hAnsiTheme="minorHAnsi" w:cstheme="minorHAnsi"/>
          <w:sz w:val="20"/>
          <w:szCs w:val="20"/>
        </w:rPr>
        <w:t xml:space="preserve">, “Responsabilidad por productos defectuosos: el suministrador y el fabricante aparente en la reciente jurisprudencia del Tribunal de Justicia de la Unión Europea (1)”,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133, 2025.</w:t>
      </w:r>
    </w:p>
    <w:p w14:paraId="1387C29D"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Gratsias</w:t>
      </w:r>
      <w:proofErr w:type="spellEnd"/>
      <w:r w:rsidRPr="005E4B9B">
        <w:rPr>
          <w:rFonts w:asciiTheme="minorHAnsi" w:hAnsiTheme="minorHAnsi" w:cstheme="minorHAnsi"/>
          <w:bCs/>
          <w:sz w:val="20"/>
          <w:szCs w:val="20"/>
        </w:rPr>
        <w:t>, D.</w:t>
      </w:r>
      <w:r w:rsidRPr="005E4B9B">
        <w:rPr>
          <w:rFonts w:asciiTheme="minorHAnsi" w:hAnsiTheme="minorHAnsi" w:cstheme="minorHAnsi"/>
          <w:sz w:val="20"/>
          <w:szCs w:val="20"/>
        </w:rPr>
        <w:t xml:space="preserve">, “Responsabilidad por los daños causados por productos defectuosos en los cuales el nombre del suministrador coincide parcialmente con el del productor y con la marca que este ha puesto en el producto: TJ, Sala 5ª S 19 diciembre 2024. Asunto C–157/23: Ford Italia </w:t>
      </w:r>
      <w:proofErr w:type="spellStart"/>
      <w:r w:rsidRPr="005E4B9B">
        <w:rPr>
          <w:rFonts w:asciiTheme="minorHAnsi" w:hAnsiTheme="minorHAnsi" w:cstheme="minorHAnsi"/>
          <w:sz w:val="20"/>
          <w:szCs w:val="20"/>
        </w:rPr>
        <w:t>SpA</w:t>
      </w:r>
      <w:proofErr w:type="spellEnd"/>
      <w:r w:rsidRPr="005E4B9B">
        <w:rPr>
          <w:rFonts w:asciiTheme="minorHAnsi" w:hAnsiTheme="minorHAnsi" w:cstheme="minorHAnsi"/>
          <w:sz w:val="20"/>
          <w:szCs w:val="20"/>
        </w:rPr>
        <w:t xml:space="preserve"> y ZP </w:t>
      </w:r>
      <w:proofErr w:type="spellStart"/>
      <w:r w:rsidRPr="005E4B9B">
        <w:rPr>
          <w:rFonts w:asciiTheme="minorHAnsi" w:hAnsiTheme="minorHAnsi" w:cstheme="minorHAnsi"/>
          <w:sz w:val="20"/>
          <w:szCs w:val="20"/>
        </w:rPr>
        <w:t>Stracciari</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SpA</w:t>
      </w:r>
      <w:proofErr w:type="spellEnd"/>
      <w:r w:rsidRPr="005E4B9B">
        <w:rPr>
          <w:rFonts w:asciiTheme="minorHAnsi" w:hAnsiTheme="minorHAnsi" w:cstheme="minorHAnsi"/>
          <w:sz w:val="20"/>
          <w:szCs w:val="20"/>
        </w:rPr>
        <w:t xml:space="preserve">”,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133, 2025.</w:t>
      </w:r>
    </w:p>
    <w:p w14:paraId="5A41ABD1"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Hernández Rodríguez, María del Mar, “Exoneración del pasivo insatisfecho, Tribunal Supremo y Tribunal de justicia de la Unión Europea”, </w:t>
      </w:r>
      <w:r w:rsidRPr="005E4B9B">
        <w:rPr>
          <w:rFonts w:asciiTheme="minorHAnsi" w:hAnsiTheme="minorHAnsi" w:cstheme="minorHAnsi"/>
          <w:i/>
          <w:sz w:val="20"/>
          <w:szCs w:val="20"/>
        </w:rPr>
        <w:t>Revista Consumo y Empresa</w:t>
      </w:r>
      <w:r w:rsidRPr="005E4B9B">
        <w:rPr>
          <w:rFonts w:asciiTheme="minorHAnsi" w:hAnsiTheme="minorHAnsi" w:cstheme="minorHAnsi"/>
          <w:sz w:val="20"/>
          <w:szCs w:val="20"/>
        </w:rPr>
        <w:t>, Nº. 16, 2025, págs. 123-135.</w:t>
      </w:r>
    </w:p>
    <w:p w14:paraId="24696644"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Izquierdo Grau, Guillem</w:t>
      </w:r>
      <w:r w:rsidRPr="005E4B9B">
        <w:rPr>
          <w:rFonts w:asciiTheme="minorHAnsi" w:hAnsiTheme="minorHAnsi" w:cstheme="minorHAnsi"/>
          <w:sz w:val="20"/>
          <w:szCs w:val="20"/>
        </w:rPr>
        <w:t xml:space="preserve">, “¿El 'documento de primera disposición' de las hipotecas </w:t>
      </w:r>
      <w:proofErr w:type="spellStart"/>
      <w:r w:rsidRPr="005E4B9B">
        <w:rPr>
          <w:rFonts w:asciiTheme="minorHAnsi" w:hAnsiTheme="minorHAnsi" w:cstheme="minorHAnsi"/>
          <w:sz w:val="20"/>
          <w:szCs w:val="20"/>
        </w:rPr>
        <w:t>multidivisa</w:t>
      </w:r>
      <w:proofErr w:type="spellEnd"/>
      <w:r w:rsidRPr="005E4B9B">
        <w:rPr>
          <w:rFonts w:asciiTheme="minorHAnsi" w:hAnsiTheme="minorHAnsi" w:cstheme="minorHAnsi"/>
          <w:sz w:val="20"/>
          <w:szCs w:val="20"/>
        </w:rPr>
        <w:t xml:space="preserve"> de Bankinter es un muro infranqueable para superar el control de transparencia?”, </w:t>
      </w:r>
      <w:r w:rsidRPr="005E4B9B">
        <w:rPr>
          <w:rFonts w:asciiTheme="minorHAnsi" w:hAnsiTheme="minorHAnsi" w:cstheme="minorHAnsi"/>
          <w:i/>
          <w:iCs/>
          <w:sz w:val="20"/>
          <w:szCs w:val="20"/>
        </w:rPr>
        <w:t>Revista Crítica de Derecho Inmobiliario</w:t>
      </w:r>
      <w:r w:rsidRPr="005E4B9B">
        <w:rPr>
          <w:rFonts w:asciiTheme="minorHAnsi" w:hAnsiTheme="minorHAnsi" w:cstheme="minorHAnsi"/>
          <w:sz w:val="20"/>
          <w:szCs w:val="20"/>
        </w:rPr>
        <w:t>, Nº 808, 2025, págs. 729-760.</w:t>
      </w:r>
    </w:p>
    <w:p w14:paraId="7A850369"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lastRenderedPageBreak/>
        <w:t>Loscertales</w:t>
      </w:r>
      <w:proofErr w:type="spellEnd"/>
      <w:r w:rsidRPr="005E4B9B">
        <w:rPr>
          <w:rFonts w:asciiTheme="minorHAnsi" w:hAnsiTheme="minorHAnsi" w:cstheme="minorHAnsi"/>
          <w:bCs/>
          <w:sz w:val="20"/>
          <w:szCs w:val="20"/>
        </w:rPr>
        <w:t xml:space="preserve"> Fuertes, Daniel</w:t>
      </w:r>
      <w:r w:rsidRPr="005E4B9B">
        <w:rPr>
          <w:rFonts w:asciiTheme="minorHAnsi" w:hAnsiTheme="minorHAnsi" w:cstheme="minorHAnsi"/>
          <w:sz w:val="20"/>
          <w:szCs w:val="20"/>
        </w:rPr>
        <w:t xml:space="preserve">, “Arrendamientos turísticos”, </w:t>
      </w:r>
      <w:r w:rsidRPr="005E4B9B">
        <w:rPr>
          <w:rFonts w:asciiTheme="minorHAnsi" w:hAnsiTheme="minorHAnsi" w:cstheme="minorHAnsi"/>
          <w:i/>
          <w:iCs/>
          <w:sz w:val="20"/>
          <w:szCs w:val="20"/>
        </w:rPr>
        <w:t>El notario del siglo XXI: revista del Colegio Notarial de Madrid</w:t>
      </w:r>
      <w:r w:rsidRPr="005E4B9B">
        <w:rPr>
          <w:rFonts w:asciiTheme="minorHAnsi" w:hAnsiTheme="minorHAnsi" w:cstheme="minorHAnsi"/>
          <w:sz w:val="20"/>
          <w:szCs w:val="20"/>
        </w:rPr>
        <w:t>, Nº. 120, 2025, págs. 150-153.</w:t>
      </w:r>
    </w:p>
    <w:p w14:paraId="5BE0C2A3"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Lycourgos</w:t>
      </w:r>
      <w:proofErr w:type="spellEnd"/>
      <w:r w:rsidRPr="005E4B9B">
        <w:rPr>
          <w:rFonts w:asciiTheme="minorHAnsi" w:hAnsiTheme="minorHAnsi" w:cstheme="minorHAnsi"/>
          <w:bCs/>
          <w:sz w:val="20"/>
          <w:szCs w:val="20"/>
        </w:rPr>
        <w:t xml:space="preserve">, </w:t>
      </w:r>
      <w:proofErr w:type="spellStart"/>
      <w:r w:rsidRPr="005E4B9B">
        <w:rPr>
          <w:rFonts w:asciiTheme="minorHAnsi" w:hAnsiTheme="minorHAnsi" w:cstheme="minorHAnsi"/>
          <w:bCs/>
          <w:sz w:val="20"/>
          <w:szCs w:val="20"/>
        </w:rPr>
        <w:t>Constantinos</w:t>
      </w:r>
      <w:proofErr w:type="spellEnd"/>
      <w:r w:rsidRPr="005E4B9B">
        <w:rPr>
          <w:rFonts w:asciiTheme="minorHAnsi" w:hAnsiTheme="minorHAnsi" w:cstheme="minorHAnsi"/>
          <w:sz w:val="20"/>
          <w:szCs w:val="20"/>
        </w:rPr>
        <w:t xml:space="preserve">, “Normativa nacional que establece un límite máximo a la comisión que se aplica por los servicios de intermediación de venta o alquiler de inmuebles a una persona física: TJ, Sala Tercera, S 27 febrero 2025. Asunto C‐674/23: </w:t>
      </w:r>
      <w:proofErr w:type="spellStart"/>
      <w:r w:rsidRPr="005E4B9B">
        <w:rPr>
          <w:rFonts w:asciiTheme="minorHAnsi" w:hAnsiTheme="minorHAnsi" w:cstheme="minorHAnsi"/>
          <w:sz w:val="20"/>
          <w:szCs w:val="20"/>
        </w:rPr>
        <w:t>Aeon</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nepremičnine</w:t>
      </w:r>
      <w:proofErr w:type="spellEnd"/>
      <w:r w:rsidRPr="005E4B9B">
        <w:rPr>
          <w:rFonts w:asciiTheme="minorHAnsi" w:hAnsiTheme="minorHAnsi" w:cstheme="minorHAnsi"/>
          <w:sz w:val="20"/>
          <w:szCs w:val="20"/>
        </w:rPr>
        <w:t xml:space="preserve"> y otros”,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135, 2025.</w:t>
      </w:r>
    </w:p>
    <w:p w14:paraId="5897CBD8"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Martín Faba, José María</w:t>
      </w:r>
      <w:r w:rsidRPr="005E4B9B">
        <w:rPr>
          <w:rFonts w:asciiTheme="minorHAnsi" w:hAnsiTheme="minorHAnsi" w:cstheme="minorHAnsi"/>
          <w:sz w:val="20"/>
          <w:szCs w:val="20"/>
        </w:rPr>
        <w:t xml:space="preserve">, "La información sobre la lógica aplicada en el </w:t>
      </w:r>
      <w:proofErr w:type="spellStart"/>
      <w:r w:rsidRPr="005E4B9B">
        <w:rPr>
          <w:rFonts w:asciiTheme="minorHAnsi" w:hAnsiTheme="minorHAnsi" w:cstheme="minorHAnsi"/>
          <w:sz w:val="20"/>
          <w:szCs w:val="20"/>
        </w:rPr>
        <w:t>credit</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scoring</w:t>
      </w:r>
      <w:proofErr w:type="spellEnd"/>
      <w:r w:rsidRPr="005E4B9B">
        <w:rPr>
          <w:rFonts w:asciiTheme="minorHAnsi" w:hAnsiTheme="minorHAnsi" w:cstheme="minorHAnsi"/>
          <w:sz w:val="20"/>
          <w:szCs w:val="20"/>
        </w:rPr>
        <w:t xml:space="preserve"> automatizado: fácil, concisa y sin tecnicismos", </w:t>
      </w:r>
      <w:r w:rsidRPr="005E4B9B">
        <w:rPr>
          <w:rFonts w:asciiTheme="minorHAnsi" w:hAnsiTheme="minorHAnsi" w:cstheme="minorHAnsi"/>
          <w:i/>
          <w:iCs/>
          <w:sz w:val="20"/>
          <w:szCs w:val="20"/>
        </w:rPr>
        <w:t>Revista CESCO</w:t>
      </w:r>
      <w:r w:rsidRPr="005E4B9B">
        <w:rPr>
          <w:rFonts w:asciiTheme="minorHAnsi" w:hAnsiTheme="minorHAnsi" w:cstheme="minorHAnsi"/>
          <w:sz w:val="20"/>
          <w:szCs w:val="20"/>
        </w:rPr>
        <w:t>, Nº. 53, 2025, págs. 15-30.</w:t>
      </w:r>
    </w:p>
    <w:p w14:paraId="5273F522"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Martín Faba, José María</w:t>
      </w:r>
      <w:r w:rsidRPr="005E4B9B">
        <w:rPr>
          <w:rFonts w:asciiTheme="minorHAnsi" w:hAnsiTheme="minorHAnsi" w:cstheme="minorHAnsi"/>
          <w:sz w:val="20"/>
          <w:szCs w:val="20"/>
        </w:rPr>
        <w:t xml:space="preserve">, “Es una sanción proporcionada que la agencia de cobro sólo pueda reclamar el capital si la TAE del préstamo no incluye el coste de una fianza obligatoria”,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136, 2025.</w:t>
      </w:r>
    </w:p>
    <w:p w14:paraId="4590071F"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Martínez Espín, Pascual</w:t>
      </w:r>
      <w:r w:rsidRPr="005E4B9B">
        <w:rPr>
          <w:rFonts w:asciiTheme="minorHAnsi" w:hAnsiTheme="minorHAnsi" w:cstheme="minorHAnsi"/>
          <w:sz w:val="20"/>
          <w:szCs w:val="20"/>
        </w:rPr>
        <w:t xml:space="preserve">, "Protección al consumidor y menores: el TJUE refuerza la defensa contra cláusulas abusivas en contratos deportivos", </w:t>
      </w:r>
      <w:r w:rsidRPr="005E4B9B">
        <w:rPr>
          <w:rFonts w:asciiTheme="minorHAnsi" w:hAnsiTheme="minorHAnsi" w:cstheme="minorHAnsi"/>
          <w:i/>
          <w:iCs/>
          <w:sz w:val="20"/>
          <w:szCs w:val="20"/>
        </w:rPr>
        <w:t>Revista CESCO</w:t>
      </w:r>
      <w:r w:rsidRPr="005E4B9B">
        <w:rPr>
          <w:rFonts w:asciiTheme="minorHAnsi" w:hAnsiTheme="minorHAnsi" w:cstheme="minorHAnsi"/>
          <w:sz w:val="20"/>
          <w:szCs w:val="20"/>
        </w:rPr>
        <w:t>, Nº. 53, 2025, págs. 1-14.</w:t>
      </w:r>
    </w:p>
    <w:p w14:paraId="416E0E12"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Muñoz Machado Cañas, Julia</w:t>
      </w:r>
      <w:r w:rsidRPr="005E4B9B">
        <w:rPr>
          <w:rFonts w:asciiTheme="minorHAnsi" w:hAnsiTheme="minorHAnsi" w:cstheme="minorHAnsi"/>
          <w:sz w:val="20"/>
          <w:szCs w:val="20"/>
        </w:rPr>
        <w:t xml:space="preserve">, “Buscadores de Internet y reputación online: el derecho al olvido digital, función autocompletar de Google y «Google </w:t>
      </w:r>
      <w:proofErr w:type="spellStart"/>
      <w:r w:rsidRPr="005E4B9B">
        <w:rPr>
          <w:rFonts w:asciiTheme="minorHAnsi" w:hAnsiTheme="minorHAnsi" w:cstheme="minorHAnsi"/>
          <w:sz w:val="20"/>
          <w:szCs w:val="20"/>
        </w:rPr>
        <w:t>bombing</w:t>
      </w:r>
      <w:proofErr w:type="spellEnd"/>
      <w:r w:rsidRPr="005E4B9B">
        <w:rPr>
          <w:rFonts w:asciiTheme="minorHAnsi" w:hAnsiTheme="minorHAnsi" w:cstheme="minorHAnsi"/>
          <w:sz w:val="20"/>
          <w:szCs w:val="20"/>
        </w:rPr>
        <w:t xml:space="preserve">»”, </w:t>
      </w:r>
      <w:r w:rsidRPr="005E4B9B">
        <w:rPr>
          <w:rFonts w:asciiTheme="minorHAnsi" w:hAnsiTheme="minorHAnsi" w:cstheme="minorHAnsi"/>
          <w:i/>
          <w:iCs/>
          <w:sz w:val="20"/>
          <w:szCs w:val="20"/>
        </w:rPr>
        <w:t>Revista española de derecho administrativo</w:t>
      </w:r>
      <w:r w:rsidRPr="005E4B9B">
        <w:rPr>
          <w:rFonts w:asciiTheme="minorHAnsi" w:hAnsiTheme="minorHAnsi" w:cstheme="minorHAnsi"/>
          <w:sz w:val="20"/>
          <w:szCs w:val="20"/>
        </w:rPr>
        <w:t>, Nº 240, 2025.</w:t>
      </w:r>
    </w:p>
    <w:p w14:paraId="361EB244"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Olea Godoy, Wenceslao Francisco</w:t>
      </w:r>
      <w:r w:rsidRPr="005E4B9B">
        <w:rPr>
          <w:rFonts w:asciiTheme="minorHAnsi" w:hAnsiTheme="minorHAnsi" w:cstheme="minorHAnsi"/>
          <w:sz w:val="20"/>
          <w:szCs w:val="20"/>
        </w:rPr>
        <w:t xml:space="preserve">, “Naturaleza y régimen jurídico de los transportes turísticos «hop </w:t>
      </w:r>
      <w:proofErr w:type="spellStart"/>
      <w:r w:rsidRPr="005E4B9B">
        <w:rPr>
          <w:rFonts w:asciiTheme="minorHAnsi" w:hAnsiTheme="minorHAnsi" w:cstheme="minorHAnsi"/>
          <w:sz w:val="20"/>
          <w:szCs w:val="20"/>
        </w:rPr>
        <w:t>on</w:t>
      </w:r>
      <w:proofErr w:type="spellEnd"/>
      <w:r w:rsidRPr="005E4B9B">
        <w:rPr>
          <w:rFonts w:asciiTheme="minorHAnsi" w:hAnsiTheme="minorHAnsi" w:cstheme="minorHAnsi"/>
          <w:sz w:val="20"/>
          <w:szCs w:val="20"/>
        </w:rPr>
        <w:t xml:space="preserve">-hop off»”,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10707, 2025.</w:t>
      </w:r>
    </w:p>
    <w:p w14:paraId="52A9997E"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Pérez de Prada, María Magdalena</w:t>
      </w:r>
      <w:r w:rsidRPr="005E4B9B">
        <w:rPr>
          <w:rFonts w:asciiTheme="minorHAnsi" w:hAnsiTheme="minorHAnsi" w:cstheme="minorHAnsi"/>
          <w:sz w:val="20"/>
          <w:szCs w:val="20"/>
        </w:rPr>
        <w:t xml:space="preserve">, “Límites al deber de vigilancia y control de las entidades de crédito respecto de las obligaciones de los promotores que perciben cantidades anticipadas para la construcción de viviendas”, </w:t>
      </w:r>
      <w:r w:rsidRPr="005E4B9B">
        <w:rPr>
          <w:rFonts w:asciiTheme="minorHAnsi" w:hAnsiTheme="minorHAnsi" w:cstheme="minorHAnsi"/>
          <w:i/>
          <w:iCs/>
          <w:sz w:val="20"/>
          <w:szCs w:val="20"/>
        </w:rPr>
        <w:t>Actualidad civil</w:t>
      </w:r>
      <w:r w:rsidRPr="005E4B9B">
        <w:rPr>
          <w:rFonts w:asciiTheme="minorHAnsi" w:hAnsiTheme="minorHAnsi" w:cstheme="minorHAnsi"/>
          <w:sz w:val="20"/>
          <w:szCs w:val="20"/>
        </w:rPr>
        <w:t>, Nº 6, 2025.</w:t>
      </w:r>
    </w:p>
    <w:p w14:paraId="4F7258DB"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Ramírez Benavente, María Dolores</w:t>
      </w:r>
      <w:r w:rsidRPr="005E4B9B">
        <w:rPr>
          <w:rFonts w:asciiTheme="minorHAnsi" w:hAnsiTheme="minorHAnsi" w:cstheme="minorHAnsi"/>
          <w:sz w:val="20"/>
          <w:szCs w:val="20"/>
        </w:rPr>
        <w:t xml:space="preserve">, “Sobre la necesidad de incorporar al Derecho español remedios negociales específicos frente a contratos derivados de prácticas desleales con consumidores”, </w:t>
      </w:r>
      <w:r w:rsidRPr="005E4B9B">
        <w:rPr>
          <w:rFonts w:asciiTheme="minorHAnsi" w:hAnsiTheme="minorHAnsi" w:cstheme="minorHAnsi"/>
          <w:i/>
          <w:iCs/>
          <w:sz w:val="20"/>
          <w:szCs w:val="20"/>
        </w:rPr>
        <w:t>La Ley mercantil</w:t>
      </w:r>
      <w:r w:rsidRPr="005E4B9B">
        <w:rPr>
          <w:rFonts w:asciiTheme="minorHAnsi" w:hAnsiTheme="minorHAnsi" w:cstheme="minorHAnsi"/>
          <w:sz w:val="20"/>
          <w:szCs w:val="20"/>
        </w:rPr>
        <w:t>, Nº. 123, 2025.</w:t>
      </w:r>
    </w:p>
    <w:p w14:paraId="70C79A7A"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Reinhart Schuller, Robert</w:t>
      </w:r>
      <w:r w:rsidRPr="005E4B9B">
        <w:rPr>
          <w:rFonts w:asciiTheme="minorHAnsi" w:hAnsiTheme="minorHAnsi" w:cstheme="minorHAnsi"/>
          <w:sz w:val="20"/>
          <w:szCs w:val="20"/>
        </w:rPr>
        <w:t xml:space="preserve">, “El TJUE y el IRPH: ¿asunto finalmente resuelto?”, </w:t>
      </w:r>
      <w:r w:rsidRPr="005E4B9B">
        <w:rPr>
          <w:rFonts w:asciiTheme="minorHAnsi" w:hAnsiTheme="minorHAnsi" w:cstheme="minorHAnsi"/>
          <w:i/>
          <w:iCs/>
          <w:sz w:val="20"/>
          <w:szCs w:val="20"/>
        </w:rPr>
        <w:t>Revista Crítica de Derecho Inmobiliario</w:t>
      </w:r>
      <w:r w:rsidRPr="005E4B9B">
        <w:rPr>
          <w:rFonts w:asciiTheme="minorHAnsi" w:hAnsiTheme="minorHAnsi" w:cstheme="minorHAnsi"/>
          <w:sz w:val="20"/>
          <w:szCs w:val="20"/>
        </w:rPr>
        <w:t>, Nº 808, 2025, págs. 1133-1152.</w:t>
      </w:r>
    </w:p>
    <w:p w14:paraId="347E411E"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Sánchez García, Jesús y </w:t>
      </w:r>
      <w:proofErr w:type="spellStart"/>
      <w:r w:rsidRPr="005E4B9B">
        <w:rPr>
          <w:rFonts w:asciiTheme="minorHAnsi" w:hAnsiTheme="minorHAnsi" w:cstheme="minorHAnsi"/>
          <w:sz w:val="20"/>
          <w:szCs w:val="20"/>
        </w:rPr>
        <w:t>Peiron</w:t>
      </w:r>
      <w:proofErr w:type="spellEnd"/>
      <w:r w:rsidRPr="005E4B9B">
        <w:rPr>
          <w:rFonts w:asciiTheme="minorHAnsi" w:hAnsiTheme="minorHAnsi" w:cstheme="minorHAnsi"/>
          <w:sz w:val="20"/>
          <w:szCs w:val="20"/>
        </w:rPr>
        <w:t xml:space="preserve">, Sandra, </w:t>
      </w:r>
      <w:r w:rsidRPr="005E4B9B">
        <w:rPr>
          <w:rFonts w:asciiTheme="minorHAnsi" w:hAnsiTheme="minorHAnsi" w:cstheme="minorHAnsi"/>
          <w:i/>
          <w:sz w:val="20"/>
          <w:szCs w:val="20"/>
        </w:rPr>
        <w:t xml:space="preserve">Ley de Usura y control de transparencia en el crédito </w:t>
      </w:r>
      <w:proofErr w:type="spellStart"/>
      <w:r w:rsidRPr="005E4B9B">
        <w:rPr>
          <w:rFonts w:asciiTheme="minorHAnsi" w:hAnsiTheme="minorHAnsi" w:cstheme="minorHAnsi"/>
          <w:i/>
          <w:sz w:val="20"/>
          <w:szCs w:val="20"/>
        </w:rPr>
        <w:t>revolving</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Vlex</w:t>
      </w:r>
      <w:proofErr w:type="spellEnd"/>
      <w:r w:rsidRPr="005E4B9B">
        <w:rPr>
          <w:rFonts w:asciiTheme="minorHAnsi" w:hAnsiTheme="minorHAnsi" w:cstheme="minorHAnsi"/>
          <w:sz w:val="20"/>
          <w:szCs w:val="20"/>
        </w:rPr>
        <w:t xml:space="preserve">, 2025. </w:t>
      </w:r>
    </w:p>
    <w:p w14:paraId="6A94ED0B"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Sánchez García, Jesús, “Crédito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y últimas sentencias de la Sala 1ª del TS: comentarios a las sentencias de 30 de enero y 5 de marzo de 2025”, </w:t>
      </w:r>
      <w:r w:rsidRPr="005E4B9B">
        <w:rPr>
          <w:rFonts w:asciiTheme="minorHAnsi" w:hAnsiTheme="minorHAnsi" w:cstheme="minorHAnsi"/>
          <w:i/>
          <w:sz w:val="20"/>
          <w:szCs w:val="20"/>
        </w:rPr>
        <w:t>Revista Jurídica sobre Consumidores y Usuarios</w:t>
      </w:r>
      <w:r w:rsidRPr="005E4B9B">
        <w:rPr>
          <w:rFonts w:asciiTheme="minorHAnsi" w:hAnsiTheme="minorHAnsi" w:cstheme="minorHAnsi"/>
          <w:sz w:val="20"/>
          <w:szCs w:val="20"/>
        </w:rPr>
        <w:t>, Nº. 17, 2025, págs. 114-129.</w:t>
      </w:r>
    </w:p>
    <w:p w14:paraId="6E56B455"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Sanjuán y Muñoz, Enrique</w:t>
      </w:r>
      <w:r w:rsidRPr="005E4B9B">
        <w:rPr>
          <w:rFonts w:asciiTheme="minorHAnsi" w:hAnsiTheme="minorHAnsi" w:cstheme="minorHAnsi"/>
          <w:sz w:val="20"/>
          <w:szCs w:val="20"/>
        </w:rPr>
        <w:t xml:space="preserve">, “Negociación, cláusulas abusivas y la buena fe en la contratación. Una perspectiva desde la doctrina anglosajona de la </w:t>
      </w:r>
      <w:proofErr w:type="spellStart"/>
      <w:r w:rsidRPr="005E4B9B">
        <w:rPr>
          <w:rFonts w:asciiTheme="minorHAnsi" w:hAnsiTheme="minorHAnsi" w:cstheme="minorHAnsi"/>
          <w:sz w:val="20"/>
          <w:szCs w:val="20"/>
        </w:rPr>
        <w:t>unconscionable</w:t>
      </w:r>
      <w:proofErr w:type="spellEnd"/>
      <w:r w:rsidRPr="005E4B9B">
        <w:rPr>
          <w:rFonts w:asciiTheme="minorHAnsi" w:hAnsiTheme="minorHAnsi" w:cstheme="minorHAnsi"/>
          <w:sz w:val="20"/>
          <w:szCs w:val="20"/>
        </w:rPr>
        <w:t xml:space="preserve"> </w:t>
      </w:r>
      <w:proofErr w:type="spellStart"/>
      <w:r w:rsidRPr="005E4B9B">
        <w:rPr>
          <w:rFonts w:asciiTheme="minorHAnsi" w:hAnsiTheme="minorHAnsi" w:cstheme="minorHAnsi"/>
          <w:sz w:val="20"/>
          <w:szCs w:val="20"/>
        </w:rPr>
        <w:t>conduct</w:t>
      </w:r>
      <w:proofErr w:type="spellEnd"/>
      <w:r w:rsidRPr="005E4B9B">
        <w:rPr>
          <w:rFonts w:asciiTheme="minorHAnsi" w:hAnsiTheme="minorHAnsi" w:cstheme="minorHAnsi"/>
          <w:sz w:val="20"/>
          <w:szCs w:val="20"/>
        </w:rPr>
        <w:t xml:space="preserve">”,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10709, 2025.</w:t>
      </w:r>
    </w:p>
    <w:p w14:paraId="0F510BF4"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Sanjuán y Muñoz, Enrique</w:t>
      </w:r>
      <w:r w:rsidRPr="005E4B9B">
        <w:rPr>
          <w:rFonts w:asciiTheme="minorHAnsi" w:hAnsiTheme="minorHAnsi" w:cstheme="minorHAnsi"/>
          <w:sz w:val="20"/>
          <w:szCs w:val="20"/>
        </w:rPr>
        <w:t xml:space="preserve">, “Sobre el principio de proporcionalidad aplicado a los supuestos de excepción de la exoneración del pasivo insatisfecho”,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10751, 2025.</w:t>
      </w:r>
    </w:p>
    <w:p w14:paraId="334458D9"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Sierra Noguero, Eliseo</w:t>
      </w:r>
      <w:r w:rsidRPr="005E4B9B">
        <w:rPr>
          <w:rFonts w:asciiTheme="minorHAnsi" w:hAnsiTheme="minorHAnsi" w:cstheme="minorHAnsi"/>
          <w:sz w:val="20"/>
          <w:szCs w:val="20"/>
        </w:rPr>
        <w:t xml:space="preserve">, “Dación en pago de millas/puntos de la compañía aérea como modo de reembolso de billetes aéreos y de compensación por cancelación, denegación de embarque y gran retraso a la llegada: Sentencia del Tribunal de Justicia de 16 de enero de 2025, Asunto C‐642/22: </w:t>
      </w:r>
      <w:proofErr w:type="spellStart"/>
      <w:r w:rsidRPr="005E4B9B">
        <w:rPr>
          <w:rFonts w:asciiTheme="minorHAnsi" w:hAnsiTheme="minorHAnsi" w:cstheme="minorHAnsi"/>
          <w:sz w:val="20"/>
          <w:szCs w:val="20"/>
        </w:rPr>
        <w:t>Flightright</w:t>
      </w:r>
      <w:proofErr w:type="spellEnd"/>
      <w:r w:rsidRPr="005E4B9B">
        <w:rPr>
          <w:rFonts w:asciiTheme="minorHAnsi" w:hAnsiTheme="minorHAnsi" w:cstheme="minorHAnsi"/>
          <w:sz w:val="20"/>
          <w:szCs w:val="20"/>
        </w:rPr>
        <w:t xml:space="preserve"> v. </w:t>
      </w:r>
      <w:proofErr w:type="spellStart"/>
      <w:r w:rsidRPr="005E4B9B">
        <w:rPr>
          <w:rFonts w:asciiTheme="minorHAnsi" w:hAnsiTheme="minorHAnsi" w:cstheme="minorHAnsi"/>
          <w:sz w:val="20"/>
          <w:szCs w:val="20"/>
        </w:rPr>
        <w:t>Etihad</w:t>
      </w:r>
      <w:proofErr w:type="spellEnd"/>
      <w:r w:rsidRPr="005E4B9B">
        <w:rPr>
          <w:rFonts w:asciiTheme="minorHAnsi" w:hAnsiTheme="minorHAnsi" w:cstheme="minorHAnsi"/>
          <w:sz w:val="20"/>
          <w:szCs w:val="20"/>
        </w:rPr>
        <w:t xml:space="preserve"> Airways”,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134, 2025.</w:t>
      </w:r>
    </w:p>
    <w:p w14:paraId="60114210"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Spineanu</w:t>
      </w:r>
      <w:proofErr w:type="spellEnd"/>
      <w:r w:rsidRPr="005E4B9B">
        <w:rPr>
          <w:rFonts w:asciiTheme="minorHAnsi" w:hAnsiTheme="minorHAnsi" w:cstheme="minorHAnsi"/>
          <w:bCs/>
          <w:sz w:val="20"/>
          <w:szCs w:val="20"/>
        </w:rPr>
        <w:t xml:space="preserve"> </w:t>
      </w:r>
      <w:proofErr w:type="spellStart"/>
      <w:r w:rsidRPr="005E4B9B">
        <w:rPr>
          <w:rFonts w:asciiTheme="minorHAnsi" w:hAnsiTheme="minorHAnsi" w:cstheme="minorHAnsi"/>
          <w:bCs/>
          <w:sz w:val="20"/>
          <w:szCs w:val="20"/>
        </w:rPr>
        <w:t>Matei</w:t>
      </w:r>
      <w:proofErr w:type="spellEnd"/>
      <w:r w:rsidRPr="005E4B9B">
        <w:rPr>
          <w:rFonts w:asciiTheme="minorHAnsi" w:hAnsiTheme="minorHAnsi" w:cstheme="minorHAnsi"/>
          <w:bCs/>
          <w:sz w:val="20"/>
          <w:szCs w:val="20"/>
        </w:rPr>
        <w:t>, Octavia</w:t>
      </w:r>
      <w:r w:rsidRPr="005E4B9B">
        <w:rPr>
          <w:rFonts w:asciiTheme="minorHAnsi" w:hAnsiTheme="minorHAnsi" w:cstheme="minorHAnsi"/>
          <w:sz w:val="20"/>
          <w:szCs w:val="20"/>
        </w:rPr>
        <w:t xml:space="preserve">, “Cláusulas abusivas en los contratos de préstamo hipotecario e índice de referencia basado en las tasas anuales equivalentes (TAE) de los préstamos hipotecarios concedidos por las cajas de ahorro establecido mediante un acto administrativo publicado: TJ, Sala Novena, S 12 diciembre 2024. Asunto C 300/23: NB y Kutxabank, S. A.”,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134, 2025.</w:t>
      </w:r>
    </w:p>
    <w:p w14:paraId="112059B9"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proofErr w:type="spellStart"/>
      <w:r w:rsidRPr="005E4B9B">
        <w:rPr>
          <w:rFonts w:asciiTheme="minorHAnsi" w:hAnsiTheme="minorHAnsi" w:cstheme="minorHAnsi"/>
          <w:bCs/>
          <w:sz w:val="20"/>
          <w:szCs w:val="20"/>
        </w:rPr>
        <w:t>Spineanu</w:t>
      </w:r>
      <w:proofErr w:type="spellEnd"/>
      <w:r w:rsidRPr="005E4B9B">
        <w:rPr>
          <w:rFonts w:asciiTheme="minorHAnsi" w:hAnsiTheme="minorHAnsi" w:cstheme="minorHAnsi"/>
          <w:bCs/>
          <w:sz w:val="20"/>
          <w:szCs w:val="20"/>
        </w:rPr>
        <w:t xml:space="preserve"> </w:t>
      </w:r>
      <w:proofErr w:type="spellStart"/>
      <w:r w:rsidRPr="005E4B9B">
        <w:rPr>
          <w:rFonts w:asciiTheme="minorHAnsi" w:hAnsiTheme="minorHAnsi" w:cstheme="minorHAnsi"/>
          <w:bCs/>
          <w:sz w:val="20"/>
          <w:szCs w:val="20"/>
        </w:rPr>
        <w:t>Matei</w:t>
      </w:r>
      <w:proofErr w:type="spellEnd"/>
      <w:r w:rsidRPr="005E4B9B">
        <w:rPr>
          <w:rFonts w:asciiTheme="minorHAnsi" w:hAnsiTheme="minorHAnsi" w:cstheme="minorHAnsi"/>
          <w:bCs/>
          <w:sz w:val="20"/>
          <w:szCs w:val="20"/>
        </w:rPr>
        <w:t>, Octavia</w:t>
      </w:r>
      <w:r w:rsidRPr="005E4B9B">
        <w:rPr>
          <w:rFonts w:asciiTheme="minorHAnsi" w:hAnsiTheme="minorHAnsi" w:cstheme="minorHAnsi"/>
          <w:sz w:val="20"/>
          <w:szCs w:val="20"/>
        </w:rPr>
        <w:t xml:space="preserve">, “Pérdida de legitimación en caso de inversiones en productos financieros de alto valor económico de las Organizaciones de consumidores que tienen un interés legítimo en la protección de los consumidores: TJ, Sala Cuarta, S 16 enero 2025. Asunto C‐346/23: Banco Santander”,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134, 2025.</w:t>
      </w:r>
    </w:p>
    <w:p w14:paraId="211ED5FE"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Tapia Hermida, Alberto J.</w:t>
      </w:r>
      <w:r w:rsidRPr="005E4B9B">
        <w:rPr>
          <w:rFonts w:asciiTheme="minorHAnsi" w:hAnsiTheme="minorHAnsi" w:cstheme="minorHAnsi"/>
          <w:sz w:val="20"/>
          <w:szCs w:val="20"/>
        </w:rPr>
        <w:t xml:space="preserve">, “Ciberdelincuencia, suplantación de la identidad de un cliente («phishing») y responsabilidad civil del banco: Sentencia de la Sala Primera de lo Civil del Tribunal Supremo núm. 571/2025, de 9 de abril de 2025”,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10723, 2025.</w:t>
      </w:r>
    </w:p>
    <w:p w14:paraId="37042533"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lastRenderedPageBreak/>
        <w:t>Tapia Hermida, Alberto J.</w:t>
      </w:r>
      <w:r w:rsidRPr="005E4B9B">
        <w:rPr>
          <w:rFonts w:asciiTheme="minorHAnsi" w:hAnsiTheme="minorHAnsi" w:cstheme="minorHAnsi"/>
          <w:sz w:val="20"/>
          <w:szCs w:val="20"/>
        </w:rPr>
        <w:t xml:space="preserve">, “Legitimación activa y asistencia jurídica gratuita de las organizaciones de consumidores en el mercado financiero: Sentencia del Tribunal de Justicia 16 de enero de 2025 (Asunto C‐346/23. Banco Santander vs. AUGE)”,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134, 2025.</w:t>
      </w:r>
    </w:p>
    <w:p w14:paraId="3513EAA6"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Tapia Hermida, Alberto J.</w:t>
      </w:r>
      <w:r w:rsidRPr="005E4B9B">
        <w:rPr>
          <w:rFonts w:asciiTheme="minorHAnsi" w:hAnsiTheme="minorHAnsi" w:cstheme="minorHAnsi"/>
          <w:sz w:val="20"/>
          <w:szCs w:val="20"/>
        </w:rPr>
        <w:t xml:space="preserve">, “Préstamos hipotecarios: imprescriptibilidad de la acción de nulidad de las cláusulas de gastos abusivas v. prescripción de la acción restitutoria: Sentencia del Tribunal de Justicia 13 de marzo de 2025, as. C‐230/24: Banco Santander”, </w:t>
      </w:r>
      <w:r w:rsidRPr="005E4B9B">
        <w:rPr>
          <w:rFonts w:asciiTheme="minorHAnsi" w:hAnsiTheme="minorHAnsi" w:cstheme="minorHAnsi"/>
          <w:i/>
          <w:iCs/>
          <w:sz w:val="20"/>
          <w:szCs w:val="20"/>
        </w:rPr>
        <w:t>La Ley Unión Europea</w:t>
      </w:r>
      <w:r w:rsidRPr="005E4B9B">
        <w:rPr>
          <w:rFonts w:asciiTheme="minorHAnsi" w:hAnsiTheme="minorHAnsi" w:cstheme="minorHAnsi"/>
          <w:sz w:val="20"/>
          <w:szCs w:val="20"/>
        </w:rPr>
        <w:t>, Nº 135, 2025.</w:t>
      </w:r>
    </w:p>
    <w:p w14:paraId="581DA2F7"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sz w:val="20"/>
          <w:szCs w:val="20"/>
        </w:rPr>
        <w:t xml:space="preserve">Tapia Hermida, Alberto J., “Sísifo en la montaña de las tarjetas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Reflexiones a propósito de las sentencias del Pleno de la Sala Primera de lo Civil del Tribunal Supremo números 154/2025 y 155/2025, de 30 de enero”, </w:t>
      </w:r>
      <w:r w:rsidRPr="005E4B9B">
        <w:rPr>
          <w:rFonts w:asciiTheme="minorHAnsi" w:hAnsiTheme="minorHAnsi" w:cstheme="minorHAnsi"/>
          <w:i/>
          <w:sz w:val="20"/>
          <w:szCs w:val="20"/>
        </w:rPr>
        <w:t>Revista Jurídica sobre Consumidores y Usuarios</w:t>
      </w:r>
      <w:r w:rsidRPr="005E4B9B">
        <w:rPr>
          <w:rFonts w:asciiTheme="minorHAnsi" w:hAnsiTheme="minorHAnsi" w:cstheme="minorHAnsi"/>
          <w:sz w:val="20"/>
          <w:szCs w:val="20"/>
        </w:rPr>
        <w:t>, Nº. 17, 2025, págs. 130-151.</w:t>
      </w:r>
    </w:p>
    <w:p w14:paraId="0401D492"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Tapia Hermida, Alberto Javier</w:t>
      </w:r>
      <w:r w:rsidRPr="005E4B9B">
        <w:rPr>
          <w:rFonts w:asciiTheme="minorHAnsi" w:hAnsiTheme="minorHAnsi" w:cstheme="minorHAnsi"/>
          <w:sz w:val="20"/>
          <w:szCs w:val="20"/>
        </w:rPr>
        <w:t>, “Contratos de tarjetas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Carácter abusivo de la cláusula que fija el interés remuneratorio y control de transparencia Sentencias del Pleno de la Sala Primera de lo Civil del Tribunal Supremo 154/2025 y 155/2025, de 30 de enero”, </w:t>
      </w:r>
      <w:r w:rsidRPr="005E4B9B">
        <w:rPr>
          <w:rFonts w:asciiTheme="minorHAnsi" w:hAnsiTheme="minorHAnsi" w:cstheme="minorHAnsi"/>
          <w:i/>
          <w:iCs/>
          <w:sz w:val="20"/>
          <w:szCs w:val="20"/>
        </w:rPr>
        <w:t>Revista de derecho bancario y bursátil</w:t>
      </w:r>
      <w:r w:rsidRPr="005E4B9B">
        <w:rPr>
          <w:rFonts w:asciiTheme="minorHAnsi" w:hAnsiTheme="minorHAnsi" w:cstheme="minorHAnsi"/>
          <w:sz w:val="20"/>
          <w:szCs w:val="20"/>
        </w:rPr>
        <w:t>, Nº 175, 2025, pág. 8.</w:t>
      </w:r>
    </w:p>
    <w:p w14:paraId="55449BA9"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Tapia Hermida, Alberto Javier</w:t>
      </w:r>
      <w:r w:rsidRPr="005E4B9B">
        <w:rPr>
          <w:rFonts w:asciiTheme="minorHAnsi" w:hAnsiTheme="minorHAnsi" w:cstheme="minorHAnsi"/>
          <w:sz w:val="20"/>
          <w:szCs w:val="20"/>
        </w:rPr>
        <w:t xml:space="preserve">, “Decálogo de la transparencia sustancial de la comisión de apertura en los préstamos hipotecarios”,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10736, 2025.</w:t>
      </w:r>
    </w:p>
    <w:p w14:paraId="44148C31"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Tapia Hermida, Alberto Javier</w:t>
      </w:r>
      <w:r w:rsidRPr="005E4B9B">
        <w:rPr>
          <w:rFonts w:asciiTheme="minorHAnsi" w:hAnsiTheme="minorHAnsi" w:cstheme="minorHAnsi"/>
          <w:sz w:val="20"/>
          <w:szCs w:val="20"/>
        </w:rPr>
        <w:t xml:space="preserve">, “Evaluación automatizada de la solvencia de un consumidor ¿un mundo feliz?: Sentencia del TJUE de 27 de febrero de 2025”, </w:t>
      </w:r>
      <w:r w:rsidRPr="005E4B9B">
        <w:rPr>
          <w:rFonts w:asciiTheme="minorHAnsi" w:hAnsiTheme="minorHAnsi" w:cstheme="minorHAnsi"/>
          <w:i/>
          <w:iCs/>
          <w:sz w:val="20"/>
          <w:szCs w:val="20"/>
        </w:rPr>
        <w:t>La Ley mercantil</w:t>
      </w:r>
      <w:r w:rsidRPr="005E4B9B">
        <w:rPr>
          <w:rFonts w:asciiTheme="minorHAnsi" w:hAnsiTheme="minorHAnsi" w:cstheme="minorHAnsi"/>
          <w:sz w:val="20"/>
          <w:szCs w:val="20"/>
        </w:rPr>
        <w:t>, Nº 124, 2025.</w:t>
      </w:r>
    </w:p>
    <w:p w14:paraId="63531FEC" w14:textId="77777777" w:rsidR="005E4B9B" w:rsidRPr="005E4B9B" w:rsidRDefault="005E4B9B" w:rsidP="005E4B9B">
      <w:pPr>
        <w:pStyle w:val="NormalWeb"/>
        <w:numPr>
          <w:ilvl w:val="0"/>
          <w:numId w:val="18"/>
        </w:numPr>
        <w:spacing w:before="60" w:beforeAutospacing="0" w:after="0" w:afterAutospacing="0"/>
        <w:jc w:val="both"/>
        <w:rPr>
          <w:rFonts w:asciiTheme="minorHAnsi" w:hAnsiTheme="minorHAnsi" w:cstheme="minorHAnsi"/>
          <w:sz w:val="20"/>
          <w:szCs w:val="20"/>
        </w:rPr>
      </w:pPr>
      <w:r w:rsidRPr="005E4B9B">
        <w:rPr>
          <w:rFonts w:asciiTheme="minorHAnsi" w:hAnsiTheme="minorHAnsi" w:cstheme="minorHAnsi"/>
          <w:bCs/>
          <w:sz w:val="20"/>
          <w:szCs w:val="20"/>
        </w:rPr>
        <w:t>Villarrubia González, Julio</w:t>
      </w:r>
      <w:r w:rsidRPr="005E4B9B">
        <w:rPr>
          <w:rFonts w:asciiTheme="minorHAnsi" w:hAnsiTheme="minorHAnsi" w:cstheme="minorHAnsi"/>
          <w:sz w:val="20"/>
          <w:szCs w:val="20"/>
        </w:rPr>
        <w:t xml:space="preserve">, “Insólita Sentencia del Tribunal Supremo de 5 de marzo de 2025 resolviendo la prescripción de la acción restitutoria por aplicación de interés usurario a través de las denominadas tarjetas </w:t>
      </w:r>
      <w:proofErr w:type="spellStart"/>
      <w:r w:rsidRPr="005E4B9B">
        <w:rPr>
          <w:rFonts w:asciiTheme="minorHAnsi" w:hAnsiTheme="minorHAnsi" w:cstheme="minorHAnsi"/>
          <w:sz w:val="20"/>
          <w:szCs w:val="20"/>
        </w:rPr>
        <w:t>revolving</w:t>
      </w:r>
      <w:proofErr w:type="spellEnd"/>
      <w:r w:rsidRPr="005E4B9B">
        <w:rPr>
          <w:rFonts w:asciiTheme="minorHAnsi" w:hAnsiTheme="minorHAnsi" w:cstheme="minorHAnsi"/>
          <w:sz w:val="20"/>
          <w:szCs w:val="20"/>
        </w:rPr>
        <w:t xml:space="preserve">”, </w:t>
      </w:r>
      <w:r w:rsidRPr="005E4B9B">
        <w:rPr>
          <w:rFonts w:asciiTheme="minorHAnsi" w:hAnsiTheme="minorHAnsi" w:cstheme="minorHAnsi"/>
          <w:i/>
          <w:iCs/>
          <w:sz w:val="20"/>
          <w:szCs w:val="20"/>
        </w:rPr>
        <w:t>Diario La Ley</w:t>
      </w:r>
      <w:r w:rsidRPr="005E4B9B">
        <w:rPr>
          <w:rFonts w:asciiTheme="minorHAnsi" w:hAnsiTheme="minorHAnsi" w:cstheme="minorHAnsi"/>
          <w:sz w:val="20"/>
          <w:szCs w:val="20"/>
        </w:rPr>
        <w:t>, Nº 10697, 2025.</w:t>
      </w:r>
    </w:p>
    <w:p w14:paraId="678EA9ED" w14:textId="77777777" w:rsidR="00D0064B" w:rsidRPr="005E4B9B" w:rsidRDefault="00D0064B" w:rsidP="005E4B9B">
      <w:pPr>
        <w:pStyle w:val="Prrafodelista"/>
        <w:spacing w:before="60" w:after="0" w:line="240" w:lineRule="auto"/>
        <w:ind w:left="360"/>
        <w:jc w:val="both"/>
        <w:rPr>
          <w:rFonts w:eastAsia="Times New Roman" w:cstheme="minorHAnsi"/>
          <w:sz w:val="20"/>
          <w:szCs w:val="20"/>
          <w:lang w:eastAsia="es-ES"/>
        </w:rPr>
      </w:pPr>
    </w:p>
    <w:p w14:paraId="6719E900" w14:textId="77777777" w:rsidR="00D0064B" w:rsidRPr="005E4B9B" w:rsidRDefault="00D0064B" w:rsidP="005E4B9B">
      <w:pPr>
        <w:spacing w:before="60" w:after="0" w:line="240" w:lineRule="auto"/>
        <w:jc w:val="center"/>
        <w:rPr>
          <w:rFonts w:cstheme="minorHAnsi"/>
          <w:sz w:val="20"/>
          <w:szCs w:val="20"/>
        </w:rPr>
      </w:pPr>
    </w:p>
    <w:p w14:paraId="680C8129" w14:textId="77777777" w:rsidR="00D0064B" w:rsidRPr="005E4B9B" w:rsidRDefault="00D0064B" w:rsidP="005E4B9B">
      <w:pPr>
        <w:spacing w:before="60" w:after="0" w:line="240" w:lineRule="auto"/>
        <w:jc w:val="center"/>
        <w:rPr>
          <w:rFonts w:cstheme="minorHAnsi"/>
          <w:sz w:val="20"/>
          <w:szCs w:val="20"/>
        </w:rPr>
      </w:pPr>
    </w:p>
    <w:p w14:paraId="42C3EBC5" w14:textId="77777777" w:rsidR="00D0064B" w:rsidRPr="005E4B9B" w:rsidRDefault="00D0064B" w:rsidP="005E4B9B">
      <w:pPr>
        <w:spacing w:before="60" w:after="0" w:line="240" w:lineRule="auto"/>
        <w:jc w:val="center"/>
        <w:rPr>
          <w:rFonts w:cstheme="minorHAnsi"/>
          <w:sz w:val="20"/>
          <w:szCs w:val="20"/>
        </w:rPr>
      </w:pPr>
    </w:p>
    <w:p w14:paraId="7138B14A" w14:textId="77777777" w:rsidR="00D0064B" w:rsidRPr="005E4B9B" w:rsidRDefault="00D0064B" w:rsidP="005E4B9B">
      <w:pPr>
        <w:spacing w:before="60" w:after="0" w:line="240" w:lineRule="auto"/>
        <w:jc w:val="center"/>
        <w:rPr>
          <w:rFonts w:cstheme="minorHAnsi"/>
          <w:sz w:val="20"/>
          <w:szCs w:val="20"/>
        </w:rPr>
      </w:pPr>
    </w:p>
    <w:p w14:paraId="26F66416" w14:textId="77777777" w:rsidR="00D0064B" w:rsidRDefault="00D0064B" w:rsidP="005E4B9B">
      <w:pPr>
        <w:spacing w:before="60" w:after="0" w:line="240" w:lineRule="auto"/>
        <w:jc w:val="center"/>
        <w:rPr>
          <w:sz w:val="16"/>
          <w:szCs w:val="16"/>
        </w:rPr>
      </w:pPr>
    </w:p>
    <w:p w14:paraId="556A71BD" w14:textId="77777777" w:rsidR="00D0064B" w:rsidRDefault="00D0064B" w:rsidP="005E4B9B">
      <w:pPr>
        <w:spacing w:before="60" w:after="0" w:line="240" w:lineRule="auto"/>
        <w:jc w:val="center"/>
        <w:rPr>
          <w:sz w:val="16"/>
          <w:szCs w:val="16"/>
        </w:rPr>
      </w:pPr>
    </w:p>
    <w:p w14:paraId="6F9A4004" w14:textId="77777777" w:rsidR="00D0064B" w:rsidRDefault="00D0064B" w:rsidP="005E4B9B">
      <w:pPr>
        <w:spacing w:before="60" w:after="0" w:line="240" w:lineRule="auto"/>
        <w:jc w:val="center"/>
        <w:rPr>
          <w:sz w:val="16"/>
          <w:szCs w:val="16"/>
        </w:rPr>
      </w:pPr>
    </w:p>
    <w:p w14:paraId="0B96C9ED" w14:textId="77777777" w:rsidR="00D0064B" w:rsidRDefault="00D0064B" w:rsidP="005E4B9B">
      <w:pPr>
        <w:spacing w:before="60" w:after="0" w:line="240" w:lineRule="auto"/>
        <w:jc w:val="center"/>
        <w:rPr>
          <w:sz w:val="16"/>
          <w:szCs w:val="16"/>
        </w:rPr>
      </w:pPr>
    </w:p>
    <w:p w14:paraId="32CD2EF0" w14:textId="77777777" w:rsidR="00D0064B" w:rsidRDefault="00D0064B" w:rsidP="005E4B9B">
      <w:pPr>
        <w:spacing w:before="60" w:after="0" w:line="240" w:lineRule="auto"/>
        <w:jc w:val="center"/>
        <w:rPr>
          <w:sz w:val="16"/>
          <w:szCs w:val="16"/>
        </w:rPr>
      </w:pPr>
    </w:p>
    <w:p w14:paraId="048E7C9E" w14:textId="77777777" w:rsidR="00D0064B" w:rsidRDefault="00D0064B" w:rsidP="005E4B9B">
      <w:pPr>
        <w:spacing w:before="60" w:after="0" w:line="240" w:lineRule="auto"/>
        <w:jc w:val="center"/>
        <w:rPr>
          <w:sz w:val="16"/>
          <w:szCs w:val="16"/>
        </w:rPr>
      </w:pPr>
    </w:p>
    <w:p w14:paraId="694F5B30" w14:textId="77777777" w:rsidR="00D0064B" w:rsidRDefault="00D0064B" w:rsidP="005E4B9B">
      <w:pPr>
        <w:spacing w:before="60" w:after="0" w:line="240" w:lineRule="auto"/>
        <w:jc w:val="center"/>
        <w:rPr>
          <w:sz w:val="16"/>
          <w:szCs w:val="16"/>
        </w:rPr>
      </w:pPr>
    </w:p>
    <w:p w14:paraId="246A3D92" w14:textId="77777777" w:rsidR="00D0064B" w:rsidRDefault="00D0064B" w:rsidP="005E4B9B">
      <w:pPr>
        <w:spacing w:before="60" w:after="0" w:line="240" w:lineRule="auto"/>
        <w:jc w:val="center"/>
        <w:rPr>
          <w:sz w:val="16"/>
          <w:szCs w:val="16"/>
        </w:rPr>
      </w:pPr>
    </w:p>
    <w:p w14:paraId="1AC8CA8E" w14:textId="77777777" w:rsidR="00D0064B" w:rsidRDefault="00D0064B" w:rsidP="005E4B9B">
      <w:pPr>
        <w:spacing w:before="60" w:after="0" w:line="240" w:lineRule="auto"/>
        <w:jc w:val="center"/>
        <w:rPr>
          <w:sz w:val="16"/>
          <w:szCs w:val="16"/>
        </w:rPr>
      </w:pPr>
    </w:p>
    <w:p w14:paraId="240F6C20" w14:textId="77777777" w:rsidR="00D0064B" w:rsidRDefault="00D0064B" w:rsidP="001563A1">
      <w:pPr>
        <w:jc w:val="center"/>
        <w:rPr>
          <w:sz w:val="16"/>
          <w:szCs w:val="16"/>
        </w:rPr>
      </w:pPr>
    </w:p>
    <w:p w14:paraId="7EB3C67D" w14:textId="77777777" w:rsidR="00D0064B" w:rsidRDefault="00D0064B" w:rsidP="001563A1">
      <w:pPr>
        <w:jc w:val="center"/>
        <w:rPr>
          <w:sz w:val="16"/>
          <w:szCs w:val="16"/>
        </w:rPr>
      </w:pPr>
    </w:p>
    <w:p w14:paraId="51D29275" w14:textId="77777777" w:rsidR="00D0064B" w:rsidRDefault="00D0064B" w:rsidP="001563A1">
      <w:pPr>
        <w:jc w:val="center"/>
        <w:rPr>
          <w:sz w:val="16"/>
          <w:szCs w:val="16"/>
        </w:rPr>
      </w:pPr>
    </w:p>
    <w:p w14:paraId="164985D2" w14:textId="77777777" w:rsidR="00D0064B" w:rsidRDefault="00D0064B" w:rsidP="001563A1">
      <w:pPr>
        <w:jc w:val="center"/>
        <w:rPr>
          <w:sz w:val="16"/>
          <w:szCs w:val="16"/>
        </w:rPr>
      </w:pPr>
    </w:p>
    <w:p w14:paraId="1D9F91AC" w14:textId="77777777" w:rsidR="00D0064B" w:rsidRDefault="00D0064B" w:rsidP="001563A1">
      <w:pPr>
        <w:jc w:val="center"/>
        <w:rPr>
          <w:sz w:val="16"/>
          <w:szCs w:val="16"/>
        </w:rPr>
      </w:pPr>
    </w:p>
    <w:p w14:paraId="0DA438CC" w14:textId="77777777" w:rsidR="00D0064B" w:rsidRDefault="00D0064B" w:rsidP="001563A1">
      <w:pPr>
        <w:jc w:val="center"/>
        <w:rPr>
          <w:sz w:val="16"/>
          <w:szCs w:val="16"/>
        </w:rPr>
      </w:pPr>
    </w:p>
    <w:p w14:paraId="70239E42" w14:textId="77777777" w:rsidR="00D0064B" w:rsidRDefault="00D0064B" w:rsidP="001563A1">
      <w:pPr>
        <w:jc w:val="center"/>
        <w:rPr>
          <w:sz w:val="16"/>
          <w:szCs w:val="16"/>
        </w:rPr>
      </w:pPr>
    </w:p>
    <w:p w14:paraId="6E0F5636" w14:textId="77777777" w:rsidR="00D0064B" w:rsidRDefault="00D0064B" w:rsidP="005E4B9B">
      <w:pPr>
        <w:rPr>
          <w:sz w:val="16"/>
          <w:szCs w:val="16"/>
        </w:rPr>
      </w:pPr>
    </w:p>
    <w:p w14:paraId="5D6B446F" w14:textId="77777777" w:rsidR="00D0064B" w:rsidRDefault="00D0064B" w:rsidP="001563A1">
      <w:pPr>
        <w:jc w:val="center"/>
        <w:rPr>
          <w:sz w:val="16"/>
          <w:szCs w:val="16"/>
        </w:rPr>
      </w:pPr>
    </w:p>
    <w:p w14:paraId="694BBF7A" w14:textId="77777777" w:rsidR="00D0064B" w:rsidRDefault="00D0064B" w:rsidP="001563A1">
      <w:pPr>
        <w:jc w:val="center"/>
        <w:rPr>
          <w:sz w:val="16"/>
          <w:szCs w:val="16"/>
        </w:rPr>
      </w:pPr>
    </w:p>
    <w:p w14:paraId="73DED83D" w14:textId="551A8FA4" w:rsidR="003F49BB" w:rsidRPr="001563A1" w:rsidRDefault="003F49BB" w:rsidP="001563A1">
      <w:pPr>
        <w:jc w:val="center"/>
        <w:rPr>
          <w:sz w:val="20"/>
          <w:szCs w:val="20"/>
        </w:rPr>
      </w:pPr>
      <w:r w:rsidRPr="001563A1">
        <w:rPr>
          <w:sz w:val="16"/>
          <w:szCs w:val="16"/>
        </w:rPr>
        <w:t>Si algún autor, profesional o investigador conoce la publicación de algún trabajo sobre Derecho y consumo, puede facilitarnos la referencia para publicarlo dentro del presente informe, en el periodo correspondiente.</w:t>
      </w:r>
    </w:p>
    <w:sectPr w:rsidR="003F49BB" w:rsidRPr="001563A1" w:rsidSect="000562B1">
      <w:footerReference w:type="default" r:id="rId10"/>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F1DBE" w14:textId="77777777" w:rsidR="00315BEF" w:rsidRDefault="00315BEF" w:rsidP="000562B1">
      <w:pPr>
        <w:spacing w:after="0" w:line="240" w:lineRule="auto"/>
      </w:pPr>
      <w:r>
        <w:separator/>
      </w:r>
    </w:p>
  </w:endnote>
  <w:endnote w:type="continuationSeparator" w:id="0">
    <w:p w14:paraId="137FAC7C" w14:textId="77777777" w:rsidR="00315BEF" w:rsidRDefault="00315BEF"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087883">
          <w:rPr>
            <w:rFonts w:cstheme="minorHAnsi"/>
            <w:noProof/>
          </w:rPr>
          <w:t>4</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CF9A9" w14:textId="77777777" w:rsidR="00315BEF" w:rsidRDefault="00315BEF" w:rsidP="000562B1">
      <w:pPr>
        <w:spacing w:after="0" w:line="240" w:lineRule="auto"/>
      </w:pPr>
      <w:r>
        <w:separator/>
      </w:r>
    </w:p>
  </w:footnote>
  <w:footnote w:type="continuationSeparator" w:id="0">
    <w:p w14:paraId="52FB44F1" w14:textId="77777777" w:rsidR="00315BEF" w:rsidRDefault="00315BEF"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2ECE"/>
    <w:multiLevelType w:val="hybridMultilevel"/>
    <w:tmpl w:val="BE9875C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0C4B3C"/>
    <w:multiLevelType w:val="hybridMultilevel"/>
    <w:tmpl w:val="19FC5322"/>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47798"/>
    <w:multiLevelType w:val="hybridMultilevel"/>
    <w:tmpl w:val="932C875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5481EEE"/>
    <w:multiLevelType w:val="hybridMultilevel"/>
    <w:tmpl w:val="80E67DC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9D3CBB"/>
    <w:multiLevelType w:val="hybridMultilevel"/>
    <w:tmpl w:val="2CECB36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4C286FDE"/>
    <w:multiLevelType w:val="hybridMultilevel"/>
    <w:tmpl w:val="CCA45F98"/>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2C31BE"/>
    <w:multiLevelType w:val="hybridMultilevel"/>
    <w:tmpl w:val="2716F1F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8C651F6"/>
    <w:multiLevelType w:val="hybridMultilevel"/>
    <w:tmpl w:val="373EAE1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FF4221C"/>
    <w:multiLevelType w:val="hybridMultilevel"/>
    <w:tmpl w:val="AB76505C"/>
    <w:lvl w:ilvl="0" w:tplc="45FE9F5A">
      <w:start w:val="1"/>
      <w:numFmt w:val="bullet"/>
      <w:lvlText w:val="-"/>
      <w:lvlJc w:val="left"/>
      <w:pPr>
        <w:ind w:left="1068" w:hanging="360"/>
      </w:pPr>
      <w:rPr>
        <w:rFonts w:ascii="Calibri" w:hAnsi="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5178617">
    <w:abstractNumId w:val="17"/>
  </w:num>
  <w:num w:numId="2" w16cid:durableId="1638144042">
    <w:abstractNumId w:val="1"/>
  </w:num>
  <w:num w:numId="3" w16cid:durableId="205721195">
    <w:abstractNumId w:val="16"/>
  </w:num>
  <w:num w:numId="4" w16cid:durableId="331110075">
    <w:abstractNumId w:val="8"/>
  </w:num>
  <w:num w:numId="5" w16cid:durableId="1940025161">
    <w:abstractNumId w:val="5"/>
  </w:num>
  <w:num w:numId="6" w16cid:durableId="861357483">
    <w:abstractNumId w:val="6"/>
  </w:num>
  <w:num w:numId="7" w16cid:durableId="1332683918">
    <w:abstractNumId w:val="10"/>
  </w:num>
  <w:num w:numId="8" w16cid:durableId="381708049">
    <w:abstractNumId w:val="7"/>
  </w:num>
  <w:num w:numId="9" w16cid:durableId="120652404">
    <w:abstractNumId w:val="4"/>
  </w:num>
  <w:num w:numId="10" w16cid:durableId="987592484">
    <w:abstractNumId w:val="15"/>
  </w:num>
  <w:num w:numId="11" w16cid:durableId="1438407733">
    <w:abstractNumId w:val="14"/>
  </w:num>
  <w:num w:numId="12" w16cid:durableId="998651493">
    <w:abstractNumId w:val="9"/>
  </w:num>
  <w:num w:numId="13" w16cid:durableId="1178152062">
    <w:abstractNumId w:val="3"/>
  </w:num>
  <w:num w:numId="14" w16cid:durableId="78452828">
    <w:abstractNumId w:val="2"/>
  </w:num>
  <w:num w:numId="15" w16cid:durableId="526912386">
    <w:abstractNumId w:val="0"/>
  </w:num>
  <w:num w:numId="16" w16cid:durableId="248774771">
    <w:abstractNumId w:val="13"/>
  </w:num>
  <w:num w:numId="17" w16cid:durableId="46295385">
    <w:abstractNumId w:val="12"/>
  </w:num>
  <w:num w:numId="18" w16cid:durableId="16827781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8D6"/>
    <w:rsid w:val="00020F4E"/>
    <w:rsid w:val="000562B1"/>
    <w:rsid w:val="00087883"/>
    <w:rsid w:val="0012310A"/>
    <w:rsid w:val="001342BF"/>
    <w:rsid w:val="001563A1"/>
    <w:rsid w:val="0017035A"/>
    <w:rsid w:val="00181687"/>
    <w:rsid w:val="001A3DC8"/>
    <w:rsid w:val="001B39D6"/>
    <w:rsid w:val="001E467C"/>
    <w:rsid w:val="00226C2F"/>
    <w:rsid w:val="002321F9"/>
    <w:rsid w:val="00237E7A"/>
    <w:rsid w:val="0024425F"/>
    <w:rsid w:val="002920B4"/>
    <w:rsid w:val="002C3D5D"/>
    <w:rsid w:val="00300DEB"/>
    <w:rsid w:val="00311051"/>
    <w:rsid w:val="00315BEF"/>
    <w:rsid w:val="00326C94"/>
    <w:rsid w:val="00353898"/>
    <w:rsid w:val="003559D9"/>
    <w:rsid w:val="003662F8"/>
    <w:rsid w:val="003A1A16"/>
    <w:rsid w:val="003C5AFC"/>
    <w:rsid w:val="003C79EE"/>
    <w:rsid w:val="003C7E66"/>
    <w:rsid w:val="003E66AA"/>
    <w:rsid w:val="003F49BB"/>
    <w:rsid w:val="003F4BCA"/>
    <w:rsid w:val="00410FE1"/>
    <w:rsid w:val="004158D3"/>
    <w:rsid w:val="00467E42"/>
    <w:rsid w:val="00474518"/>
    <w:rsid w:val="004A2F0A"/>
    <w:rsid w:val="004C5AA1"/>
    <w:rsid w:val="004D2AB4"/>
    <w:rsid w:val="004D794A"/>
    <w:rsid w:val="0051297C"/>
    <w:rsid w:val="00520087"/>
    <w:rsid w:val="00534CB9"/>
    <w:rsid w:val="005524C4"/>
    <w:rsid w:val="005527B0"/>
    <w:rsid w:val="00565641"/>
    <w:rsid w:val="00567AAA"/>
    <w:rsid w:val="00594F31"/>
    <w:rsid w:val="005B7019"/>
    <w:rsid w:val="005E340F"/>
    <w:rsid w:val="005E4B9B"/>
    <w:rsid w:val="005F0DEC"/>
    <w:rsid w:val="005F1DFB"/>
    <w:rsid w:val="005F3752"/>
    <w:rsid w:val="006306D2"/>
    <w:rsid w:val="00633110"/>
    <w:rsid w:val="00656A1A"/>
    <w:rsid w:val="00673A7C"/>
    <w:rsid w:val="0068726D"/>
    <w:rsid w:val="006B172C"/>
    <w:rsid w:val="007834BC"/>
    <w:rsid w:val="007C2FE3"/>
    <w:rsid w:val="00816AAB"/>
    <w:rsid w:val="008251E3"/>
    <w:rsid w:val="00827C04"/>
    <w:rsid w:val="00846866"/>
    <w:rsid w:val="008D2AC3"/>
    <w:rsid w:val="008D6849"/>
    <w:rsid w:val="008F19D1"/>
    <w:rsid w:val="00916F83"/>
    <w:rsid w:val="00923CBC"/>
    <w:rsid w:val="00924BE0"/>
    <w:rsid w:val="0093649B"/>
    <w:rsid w:val="009432D4"/>
    <w:rsid w:val="00952BF5"/>
    <w:rsid w:val="0096235F"/>
    <w:rsid w:val="009C07E8"/>
    <w:rsid w:val="009E399E"/>
    <w:rsid w:val="009E5613"/>
    <w:rsid w:val="009E7932"/>
    <w:rsid w:val="009F2002"/>
    <w:rsid w:val="00A00862"/>
    <w:rsid w:val="00A02CFB"/>
    <w:rsid w:val="00A030AD"/>
    <w:rsid w:val="00A145E4"/>
    <w:rsid w:val="00A15646"/>
    <w:rsid w:val="00A178D6"/>
    <w:rsid w:val="00A21DDE"/>
    <w:rsid w:val="00A4243B"/>
    <w:rsid w:val="00A4262A"/>
    <w:rsid w:val="00A535EC"/>
    <w:rsid w:val="00A64D45"/>
    <w:rsid w:val="00A95CE0"/>
    <w:rsid w:val="00AA7735"/>
    <w:rsid w:val="00AB05F9"/>
    <w:rsid w:val="00B00158"/>
    <w:rsid w:val="00B03532"/>
    <w:rsid w:val="00B065EF"/>
    <w:rsid w:val="00B40032"/>
    <w:rsid w:val="00B42623"/>
    <w:rsid w:val="00B436F4"/>
    <w:rsid w:val="00B44604"/>
    <w:rsid w:val="00B55B74"/>
    <w:rsid w:val="00B917BF"/>
    <w:rsid w:val="00BE3615"/>
    <w:rsid w:val="00C41A52"/>
    <w:rsid w:val="00C45C39"/>
    <w:rsid w:val="00C660D0"/>
    <w:rsid w:val="00C67BF4"/>
    <w:rsid w:val="00C67C8B"/>
    <w:rsid w:val="00C73ED8"/>
    <w:rsid w:val="00C943B2"/>
    <w:rsid w:val="00C97832"/>
    <w:rsid w:val="00CA6AA7"/>
    <w:rsid w:val="00CB0586"/>
    <w:rsid w:val="00CB6EFD"/>
    <w:rsid w:val="00CE63DC"/>
    <w:rsid w:val="00D0064B"/>
    <w:rsid w:val="00D364FB"/>
    <w:rsid w:val="00D37249"/>
    <w:rsid w:val="00D827B7"/>
    <w:rsid w:val="00DA30E6"/>
    <w:rsid w:val="00DB719B"/>
    <w:rsid w:val="00DC326F"/>
    <w:rsid w:val="00DE76C4"/>
    <w:rsid w:val="00E37172"/>
    <w:rsid w:val="00E53C19"/>
    <w:rsid w:val="00E618E3"/>
    <w:rsid w:val="00E71D3F"/>
    <w:rsid w:val="00E7533D"/>
    <w:rsid w:val="00E843AB"/>
    <w:rsid w:val="00E86324"/>
    <w:rsid w:val="00E97DFD"/>
    <w:rsid w:val="00EB4F15"/>
    <w:rsid w:val="00EE05FD"/>
    <w:rsid w:val="00EF0B72"/>
    <w:rsid w:val="00F475F0"/>
    <w:rsid w:val="00F8300F"/>
    <w:rsid w:val="00FA6DED"/>
    <w:rsid w:val="00FD1E51"/>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F9BF5"/>
  <w15:docId w15:val="{3FF1749C-132A-4081-A68F-7110CD5C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paragraph" w:styleId="NormalWeb">
    <w:name w:val="Normal (Web)"/>
    <w:basedOn w:val="Normal"/>
    <w:uiPriority w:val="99"/>
    <w:unhideWhenUsed/>
    <w:rsid w:val="005E4B9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8B3E1-CB7A-4361-A758-A5E324286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2186</Words>
  <Characters>11918</Characters>
  <Application>Microsoft Office Word</Application>
  <DocSecurity>0</DocSecurity>
  <Lines>229</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6</cp:revision>
  <cp:lastPrinted>2025-09-03T14:59:00Z</cp:lastPrinted>
  <dcterms:created xsi:type="dcterms:W3CDTF">2025-08-29T10:29:00Z</dcterms:created>
  <dcterms:modified xsi:type="dcterms:W3CDTF">2026-01-02T11:10:00Z</dcterms:modified>
</cp:coreProperties>
</file>