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25598EC2">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2997C5E5" w:rsidR="00D37249" w:rsidRDefault="000E1594"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590F0E9A">
                <wp:simplePos x="0" y="0"/>
                <wp:positionH relativeFrom="column">
                  <wp:posOffset>-769427</wp:posOffset>
                </wp:positionH>
                <wp:positionV relativeFrom="paragraph">
                  <wp:posOffset>432435</wp:posOffset>
                </wp:positionV>
                <wp:extent cx="6236970" cy="511746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6236970" cy="511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456C799B" w:rsidR="00101C22" w:rsidRPr="0085768E" w:rsidRDefault="00C96435">
                            <w:pPr>
                              <w:rPr>
                                <w:b/>
                                <w:color w:val="FFFFFF" w:themeColor="background1"/>
                                <w:sz w:val="36"/>
                                <w:szCs w:val="36"/>
                              </w:rPr>
                            </w:pPr>
                            <w:r>
                              <w:rPr>
                                <w:b/>
                                <w:color w:val="FFFFFF" w:themeColor="background1"/>
                                <w:sz w:val="36"/>
                                <w:szCs w:val="36"/>
                              </w:rPr>
                              <w:t>Abril</w:t>
                            </w:r>
                            <w:r w:rsidR="0035555D">
                              <w:rPr>
                                <w:b/>
                                <w:color w:val="FFFFFF" w:themeColor="background1"/>
                                <w:sz w:val="36"/>
                                <w:szCs w:val="36"/>
                              </w:rPr>
                              <w:t xml:space="preserve"> a </w:t>
                            </w:r>
                            <w:r>
                              <w:rPr>
                                <w:b/>
                                <w:color w:val="FFFFFF" w:themeColor="background1"/>
                                <w:sz w:val="36"/>
                                <w:szCs w:val="36"/>
                              </w:rPr>
                              <w:t>junio</w:t>
                            </w:r>
                            <w:r w:rsidR="00802718">
                              <w:rPr>
                                <w:b/>
                                <w:color w:val="FFFFFF" w:themeColor="background1"/>
                                <w:sz w:val="36"/>
                                <w:szCs w:val="36"/>
                              </w:rPr>
                              <w:t xml:space="preserve"> de 2025</w:t>
                            </w:r>
                          </w:p>
                          <w:p w14:paraId="2EB7BD8F" w14:textId="77777777" w:rsidR="00101C22" w:rsidRPr="0085768E" w:rsidRDefault="00101C22">
                            <w:pPr>
                              <w:rPr>
                                <w:b/>
                                <w:color w:val="FFFFFF" w:themeColor="background1"/>
                                <w:sz w:val="36"/>
                                <w:szCs w:val="36"/>
                              </w:rPr>
                            </w:pPr>
                          </w:p>
                          <w:p w14:paraId="59EFE686" w14:textId="3640B2BD"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w:t>
                            </w:r>
                            <w:r w:rsidR="00C96435">
                              <w:rPr>
                                <w:b/>
                                <w:color w:val="FFFFFF" w:themeColor="background1"/>
                                <w:sz w:val="72"/>
                                <w:szCs w:val="72"/>
                              </w:rPr>
                              <w:t>8</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6A0434AC" w:rsidR="00101C22" w:rsidRPr="0085768E" w:rsidRDefault="00101C22" w:rsidP="005F1DFB">
                            <w:pPr>
                              <w:rPr>
                                <w:sz w:val="20"/>
                                <w:szCs w:val="20"/>
                              </w:rPr>
                            </w:pPr>
                            <w:r w:rsidRPr="0085768E">
                              <w:rPr>
                                <w:sz w:val="20"/>
                                <w:szCs w:val="20"/>
                              </w:rPr>
                              <w:t>Prof</w:t>
                            </w:r>
                            <w:r w:rsidR="00802718">
                              <w:rPr>
                                <w:sz w:val="20"/>
                                <w:szCs w:val="20"/>
                              </w:rPr>
                              <w:t xml:space="preserve">esora </w:t>
                            </w:r>
                            <w:r w:rsidR="001C29AF">
                              <w:rPr>
                                <w:sz w:val="20"/>
                                <w:szCs w:val="20"/>
                              </w:rPr>
                              <w:t>Titular</w:t>
                            </w:r>
                            <w:r w:rsidR="00802718">
                              <w:rPr>
                                <w:sz w:val="20"/>
                                <w:szCs w:val="20"/>
                              </w:rPr>
                              <w:t xml:space="preserve"> de Derecho Procesal</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60.6pt;margin-top:34.05pt;width:491.1pt;height:40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" filled="f" stroked="f" strokeweight=".5pt">
                <v:textbox>
                  <w:txbxContent>
                    <w:p w14:paraId="4D436CF4" w14:textId="456C799B" w:rsidR="00101C22" w:rsidRPr="0085768E" w:rsidRDefault="00C96435">
                      <w:pPr>
                        <w:rPr>
                          <w:b/>
                          <w:color w:val="FFFFFF" w:themeColor="background1"/>
                          <w:sz w:val="36"/>
                          <w:szCs w:val="36"/>
                        </w:rPr>
                      </w:pPr>
                      <w:r>
                        <w:rPr>
                          <w:b/>
                          <w:color w:val="FFFFFF" w:themeColor="background1"/>
                          <w:sz w:val="36"/>
                          <w:szCs w:val="36"/>
                        </w:rPr>
                        <w:t>Abril</w:t>
                      </w:r>
                      <w:r w:rsidR="0035555D">
                        <w:rPr>
                          <w:b/>
                          <w:color w:val="FFFFFF" w:themeColor="background1"/>
                          <w:sz w:val="36"/>
                          <w:szCs w:val="36"/>
                        </w:rPr>
                        <w:t xml:space="preserve"> a </w:t>
                      </w:r>
                      <w:r>
                        <w:rPr>
                          <w:b/>
                          <w:color w:val="FFFFFF" w:themeColor="background1"/>
                          <w:sz w:val="36"/>
                          <w:szCs w:val="36"/>
                        </w:rPr>
                        <w:t>junio</w:t>
                      </w:r>
                      <w:r w:rsidR="00802718">
                        <w:rPr>
                          <w:b/>
                          <w:color w:val="FFFFFF" w:themeColor="background1"/>
                          <w:sz w:val="36"/>
                          <w:szCs w:val="36"/>
                        </w:rPr>
                        <w:t xml:space="preserve"> de 2025</w:t>
                      </w:r>
                    </w:p>
                    <w:p w14:paraId="2EB7BD8F" w14:textId="77777777" w:rsidR="00101C22" w:rsidRPr="0085768E" w:rsidRDefault="00101C22">
                      <w:pPr>
                        <w:rPr>
                          <w:b/>
                          <w:color w:val="FFFFFF" w:themeColor="background1"/>
                          <w:sz w:val="36"/>
                          <w:szCs w:val="36"/>
                        </w:rPr>
                      </w:pPr>
                    </w:p>
                    <w:p w14:paraId="59EFE686" w14:textId="3640B2BD"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w:t>
                      </w:r>
                      <w:r w:rsidR="00C96435">
                        <w:rPr>
                          <w:b/>
                          <w:color w:val="FFFFFF" w:themeColor="background1"/>
                          <w:sz w:val="72"/>
                          <w:szCs w:val="72"/>
                        </w:rPr>
                        <w:t>8</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6A0434AC" w:rsidR="00101C22" w:rsidRPr="0085768E" w:rsidRDefault="00101C22" w:rsidP="005F1DFB">
                      <w:pPr>
                        <w:rPr>
                          <w:sz w:val="20"/>
                          <w:szCs w:val="20"/>
                        </w:rPr>
                      </w:pPr>
                      <w:r w:rsidRPr="0085768E">
                        <w:rPr>
                          <w:sz w:val="20"/>
                          <w:szCs w:val="20"/>
                        </w:rPr>
                        <w:t>Prof</w:t>
                      </w:r>
                      <w:r w:rsidR="00802718">
                        <w:rPr>
                          <w:sz w:val="20"/>
                          <w:szCs w:val="20"/>
                        </w:rPr>
                        <w:t xml:space="preserve">esora </w:t>
                      </w:r>
                      <w:r w:rsidR="001C29AF">
                        <w:rPr>
                          <w:sz w:val="20"/>
                          <w:szCs w:val="20"/>
                        </w:rPr>
                        <w:t>Titular</w:t>
                      </w:r>
                      <w:r w:rsidR="00802718">
                        <w:rPr>
                          <w:sz w:val="20"/>
                          <w:szCs w:val="20"/>
                        </w:rPr>
                        <w:t xml:space="preserve"> de Derecho Procesal</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v:textbox>
              </v:shape>
            </w:pict>
          </mc:Fallback>
        </mc:AlternateContent>
      </w:r>
    </w:p>
    <w:p w14:paraId="31E2C271" w14:textId="30D2FF45" w:rsidR="00D37249" w:rsidRDefault="00D37249" w:rsidP="00656A1A">
      <w:pPr>
        <w:spacing w:beforeLines="100" w:before="240" w:afterLines="100" w:after="240"/>
        <w:jc w:val="center"/>
        <w:rPr>
          <w:noProof/>
          <w:lang w:eastAsia="es-ES"/>
        </w:rPr>
      </w:pP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101C22" w:rsidRPr="005F0DEC" w:rsidRDefault="00101C22">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" filled="f" stroked="f" strokeweight=".5pt">
                <v:textbox>
                  <w:txbxContent>
                    <w:p w14:paraId="320130AB" w14:textId="77777777"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14:paraId="58C683B8" w14:textId="77777777" w:rsidR="00226C2F" w:rsidRDefault="00226C2F" w:rsidP="00226C2F">
      <w:pPr>
        <w:jc w:val="center"/>
        <w:rPr>
          <w:rFonts w:cstheme="minorHAnsi"/>
          <w:b/>
          <w:color w:val="FFFFFF" w:themeColor="background1"/>
          <w:sz w:val="32"/>
          <w:szCs w:val="32"/>
        </w:rPr>
      </w:pPr>
    </w:p>
    <w:p w14:paraId="3B0F142E" w14:textId="77777777" w:rsidR="00653C35" w:rsidRDefault="00653C35" w:rsidP="00226C2F">
      <w:pPr>
        <w:jc w:val="center"/>
        <w:rPr>
          <w:b/>
          <w:color w:val="000000" w:themeColor="text1"/>
          <w:sz w:val="28"/>
          <w:szCs w:val="28"/>
        </w:rPr>
      </w:pPr>
    </w:p>
    <w:p w14:paraId="30F08C11" w14:textId="77777777" w:rsidR="00440EC2" w:rsidRDefault="00440EC2" w:rsidP="00226C2F">
      <w:pPr>
        <w:jc w:val="center"/>
        <w:rPr>
          <w:b/>
          <w:color w:val="000000" w:themeColor="text1"/>
          <w:sz w:val="28"/>
          <w:szCs w:val="28"/>
        </w:rPr>
      </w:pPr>
    </w:p>
    <w:p w14:paraId="52B812AB" w14:textId="795E47AC" w:rsidR="00226C2F" w:rsidRPr="008A254E" w:rsidRDefault="008A254E" w:rsidP="00226C2F">
      <w:pPr>
        <w:jc w:val="center"/>
        <w:rPr>
          <w:b/>
          <w:color w:val="000000" w:themeColor="text1"/>
          <w:sz w:val="28"/>
          <w:szCs w:val="28"/>
        </w:rPr>
      </w:pPr>
      <w:r w:rsidRPr="008A254E">
        <w:rPr>
          <w:b/>
          <w:color w:val="000000" w:themeColor="text1"/>
          <w:sz w:val="28"/>
          <w:szCs w:val="28"/>
        </w:rPr>
        <w:t>JURISPRUDENCIA (Selección)</w:t>
      </w:r>
    </w:p>
    <w:p w14:paraId="411ED0DB" w14:textId="563F3DB8" w:rsidR="008A254E" w:rsidRDefault="008A254E" w:rsidP="00226C2F">
      <w:pPr>
        <w:jc w:val="center"/>
        <w:rPr>
          <w:b/>
          <w:color w:val="000000" w:themeColor="text1"/>
        </w:rPr>
      </w:pPr>
    </w:p>
    <w:p w14:paraId="532FA5B7" w14:textId="0A7A061D" w:rsidR="008A254E" w:rsidRDefault="00000000" w:rsidP="00226C2F">
      <w:pPr>
        <w:jc w:val="center"/>
        <w:rPr>
          <w:b/>
          <w:color w:val="000000" w:themeColor="text1"/>
        </w:rPr>
      </w:pPr>
      <w:r>
        <w:rPr>
          <w:noProof/>
        </w:rPr>
        <w:pict w14:anchorId="5D951308">
          <v:rect id="_x0000_i1025" alt="" style="width:425.2pt;height:.05pt;mso-width-percent:0;mso-height-percent:0;mso-width-percent:0;mso-height-percent:0" o:hralign="center" o:hrstd="t" o:hr="t" fillcolor="#a0a0a0" stroked="f"/>
        </w:pict>
      </w:r>
    </w:p>
    <w:p w14:paraId="0F20CAE2" w14:textId="7813EB68" w:rsidR="008A254E" w:rsidRDefault="008A254E" w:rsidP="00226C2F">
      <w:pPr>
        <w:jc w:val="center"/>
        <w:rPr>
          <w:b/>
          <w:color w:val="000000" w:themeColor="text1"/>
        </w:rPr>
      </w:pPr>
    </w:p>
    <w:p w14:paraId="31F4DA43" w14:textId="77777777" w:rsidR="00440EC2" w:rsidRDefault="00440EC2" w:rsidP="002B1E17">
      <w:pPr>
        <w:spacing w:after="120"/>
        <w:jc w:val="center"/>
        <w:rPr>
          <w:b/>
          <w:bCs/>
        </w:rPr>
      </w:pPr>
    </w:p>
    <w:p w14:paraId="4EEF1885" w14:textId="196614D5" w:rsidR="002B1E17" w:rsidRPr="00440EC2" w:rsidRDefault="002B1E17" w:rsidP="002B1E17">
      <w:pPr>
        <w:spacing w:after="120"/>
        <w:jc w:val="center"/>
        <w:rPr>
          <w:b/>
          <w:bCs/>
          <w:sz w:val="28"/>
          <w:szCs w:val="28"/>
        </w:rPr>
      </w:pPr>
      <w:r w:rsidRPr="00440EC2">
        <w:rPr>
          <w:b/>
          <w:bCs/>
          <w:sz w:val="28"/>
          <w:szCs w:val="28"/>
        </w:rPr>
        <w:t>TJUE</w:t>
      </w:r>
    </w:p>
    <w:p w14:paraId="7C39F6B5" w14:textId="77777777" w:rsidR="00440EC2" w:rsidRPr="002B1E17" w:rsidRDefault="00440EC2" w:rsidP="002B1E17">
      <w:pPr>
        <w:spacing w:after="120"/>
        <w:jc w:val="center"/>
        <w:rPr>
          <w:b/>
          <w:bCs/>
        </w:rPr>
      </w:pPr>
    </w:p>
    <w:p w14:paraId="1EC9D140" w14:textId="662D2A4D" w:rsidR="00104F0A" w:rsidRDefault="002B1E17" w:rsidP="002B1E17">
      <w:pPr>
        <w:spacing w:after="240"/>
        <w:jc w:val="both"/>
        <w:rPr>
          <w:b/>
          <w:bCs/>
        </w:rPr>
      </w:pPr>
      <w:r w:rsidRPr="002B1E17">
        <w:rPr>
          <w:b/>
          <w:bCs/>
        </w:rPr>
        <w:t>Sentencias</w:t>
      </w:r>
    </w:p>
    <w:p w14:paraId="40F4375E" w14:textId="4D041D7F" w:rsidR="000A66D1" w:rsidRDefault="000A66D1" w:rsidP="002B1E17">
      <w:pPr>
        <w:spacing w:after="240"/>
        <w:jc w:val="both"/>
      </w:pPr>
      <w:hyperlink r:id="rId9" w:anchor="ctx1" w:history="1">
        <w:r w:rsidRPr="000A66D1">
          <w:rPr>
            <w:rStyle w:val="Hipervnculo"/>
          </w:rPr>
          <w:t>Sentencia del Tribunal de Justicia (Sala Octava), de 30 de abril de 2025, asunto C-39/24, Justa</w:t>
        </w:r>
      </w:hyperlink>
      <w:r>
        <w:t xml:space="preserve">. </w:t>
      </w:r>
      <w:r w:rsidRPr="000A66D1">
        <w:t>«Procedimiento prejudicial — Protección de los consumidores — Directiva 93/13/CEE — Artículos 4 y 5 — Cláusulas abusivas en los contratos celebrados con consumidores — Contratos de préstamo hipotecario — Cláusula de comisión de apertura de préstamo — Carácter claro y comprensible de las cláusulas»</w:t>
      </w:r>
      <w:r>
        <w:t>.</w:t>
      </w:r>
    </w:p>
    <w:p w14:paraId="1E1AD427" w14:textId="2E3165A2" w:rsidR="000428A8" w:rsidRPr="000A66D1" w:rsidRDefault="000428A8" w:rsidP="002B1E17">
      <w:pPr>
        <w:spacing w:after="240"/>
        <w:jc w:val="both"/>
      </w:pPr>
      <w:hyperlink r:id="rId10" w:anchor="ctx1" w:history="1">
        <w:r w:rsidRPr="000428A8">
          <w:rPr>
            <w:rStyle w:val="Hipervnculo"/>
          </w:rPr>
          <w:t>Sentencia del Tribunal de Justicia (Sala Octava), de 30 de abril de 2025, asunto 699/23, Caja Rural de Navarra</w:t>
        </w:r>
      </w:hyperlink>
      <w:r>
        <w:t xml:space="preserve">. </w:t>
      </w:r>
      <w:r w:rsidRPr="000428A8">
        <w:t>«Procedimiento prejudicial — Protección de los consumidores — Directiva 93/13/CEE — Artículos 3 a 5 — Cláusulas abusivas en los contratos celebrados con consumidores — Contratos de préstamo hipotecario — Cláusula de comisión de apertura de préstamo — Pretensión de anulación de dicha cláusula — Apreciación del carácter abusivo de las cláusulas contractuales — Carácter claro y comprensible de las cláusulas»</w:t>
      </w:r>
      <w:r>
        <w:t>.</w:t>
      </w:r>
    </w:p>
    <w:p w14:paraId="63D8F7D4" w14:textId="7CC85172" w:rsidR="00D04B7B" w:rsidRDefault="00293233" w:rsidP="00A76061">
      <w:pPr>
        <w:spacing w:after="240"/>
        <w:jc w:val="both"/>
      </w:pPr>
      <w:hyperlink r:id="rId11" w:anchor="ctx1" w:history="1">
        <w:r w:rsidRPr="00293233">
          <w:rPr>
            <w:rStyle w:val="Hipervnculo"/>
          </w:rPr>
          <w:t>Sentencia del Tribunal de Justicia (Sala Novena), de 30 de abril de 2025, asunto C-429/24, St. Kliment Ohridski Primary Private School EOOD</w:t>
        </w:r>
      </w:hyperlink>
      <w:r w:rsidRPr="00293233">
        <w:t>.</w:t>
      </w:r>
      <w:r>
        <w:t xml:space="preserve"> </w:t>
      </w:r>
      <w:r w:rsidRPr="00293233">
        <w:t>«Procedimiento prejudicial — Protección de los consumidores — Directiva 2011/83/UE — Concepto de “consumidor” — Artículo 2, punto 1 — Concepto de “contrato de servicios” — Artículo 2, punto 6 — Contratos relativos a la escolarización de hijos en edad de escolaridad obligatoria — Enseñanza privada — Artículo 27 — Prestación de servicios no solicitada — Asignaturas obligatorias de conformidad con las normas nacionales en materia de educación»</w:t>
      </w:r>
      <w:r>
        <w:t>.</w:t>
      </w:r>
    </w:p>
    <w:p w14:paraId="119DBD67" w14:textId="3975421B" w:rsidR="000428A8" w:rsidRDefault="000428A8" w:rsidP="00A76061">
      <w:pPr>
        <w:spacing w:after="240"/>
        <w:jc w:val="both"/>
      </w:pPr>
      <w:hyperlink r:id="rId12" w:anchor="ctx1" w:history="1">
        <w:r w:rsidRPr="001A4784">
          <w:rPr>
            <w:rStyle w:val="Hipervnculo"/>
          </w:rPr>
          <w:t>Sentencia del Tribunal de Justicia (Sala Décima), de 30 de abril de 2025, asunto C-630/23</w:t>
        </w:r>
        <w:r w:rsidR="001A4784" w:rsidRPr="001A4784">
          <w:rPr>
            <w:rStyle w:val="Hipervnculo"/>
          </w:rPr>
          <w:t>, AxFina Hungary Zrt</w:t>
        </w:r>
      </w:hyperlink>
      <w:r w:rsidR="001A4784">
        <w:t xml:space="preserve">. </w:t>
      </w:r>
      <w:r w:rsidR="001A4784" w:rsidRPr="001A4784">
        <w:t>«Procedimiento prejudicial — Protección de los consumidores — Directiva 93/13/CEE — Cláusulas abusivas en contratos celebrados con consumidores — Contrato de arrendamiento financiero denominado en moneda extranjera — Artículos 6 y 7 — Cláusula contractual abusiva que hace recaer el riesgo del tipo de cambio en el consumidor — Efectos de la constatación del carácter abusivo de una cláusula de ese tipo — Invalidez del contrato — Efectos de la anulación del contrato en su totalidad»</w:t>
      </w:r>
      <w:r w:rsidR="001A4784">
        <w:t>.</w:t>
      </w:r>
    </w:p>
    <w:p w14:paraId="234A4E0A" w14:textId="6041D22A" w:rsidR="001A4784" w:rsidRDefault="001A4784" w:rsidP="00A76061">
      <w:pPr>
        <w:spacing w:after="240"/>
        <w:jc w:val="both"/>
      </w:pPr>
      <w:hyperlink r:id="rId13" w:anchor="ctx1" w:history="1">
        <w:r w:rsidRPr="001A4784">
          <w:rPr>
            <w:rStyle w:val="Hipervnculo"/>
          </w:rPr>
          <w:t>Sentencia del Tribunal de Justicia (Sala Tercera), de 8 de mayo de 2025, asunto C-324/23, Myszak</w:t>
        </w:r>
      </w:hyperlink>
      <w:r>
        <w:t xml:space="preserve">. </w:t>
      </w:r>
      <w:r w:rsidRPr="001A4784">
        <w:t xml:space="preserve">«Procedimiento prejudicial — Protección de los consumidores — Cláusulas abusivas en los contratos celebrados con consumidores — Directiva 93/13/CEE — Artículos 6, apartado 1, y 7, apartado 1 — Contrato de préstamo hipotecario indexado a una moneda extranjera — Demanda de nulidad del contrato presentada por un consumidor — Solicitud de medidas cautelares consistentes en la suspensión de la ejecución del contrato — Directiva 2014/59/UE — Recuperación y resolución de entidades de crédito — Banco objeto de un procedimiento de resolución — Artículo 1, apartado 2 — Facultad de los Estados miembros para adoptar normas más estrictas que </w:t>
      </w:r>
      <w:r w:rsidRPr="001A4784">
        <w:lastRenderedPageBreak/>
        <w:t>las de esta Directiva o adicionales a las establecidas en ella — Norma nacional que obliga a denegar las medidas cautelares solicitadas frente a una entidad objeto de un procedimiento de resolución en curso»</w:t>
      </w:r>
      <w:r>
        <w:t>.</w:t>
      </w:r>
    </w:p>
    <w:p w14:paraId="5C0F57A2" w14:textId="02122CB3" w:rsidR="001A4784" w:rsidRDefault="001A4784" w:rsidP="00A76061">
      <w:pPr>
        <w:spacing w:after="240"/>
        <w:jc w:val="both"/>
      </w:pPr>
      <w:hyperlink r:id="rId14" w:anchor="ctx1" w:history="1">
        <w:r w:rsidRPr="001A4784">
          <w:rPr>
            <w:rStyle w:val="Hipervnculo"/>
          </w:rPr>
          <w:t>Sentencia del Tribunal de Justicia (Sala Cuarta), de 8 de mayo de 2025, asunto C-410/23, Pielatak</w:t>
        </w:r>
      </w:hyperlink>
      <w:r>
        <w:t xml:space="preserve">. </w:t>
      </w:r>
      <w:r w:rsidRPr="001A4784">
        <w:t>«Procedimiento prejudicial — Protección de los consumidores — Directiva 93/13/CEE — Cláusulas abusivas en los contratos celebrados con consumidores — Artículo 2, letra b) — Concepto de “consumidor” — Contrato con doble finalidad — Agricultor que ha celebrado un contrato de compra de un bien destinado tanto a su explotación agrícola como a su uso doméstico — Mercado interior de la electricidad — Directiva 2009/72/CE — Artículo 3, apartado 7 — Anexo I, apartado 1, letra a) — Cliente doméstico — Contrato de suministro de electricidad de duración determinada y de precio fijo — Penalización contractual por resolución anticipada — Normativa nacional que limita el importe de esta penalización a los “costes e indemnizaciones derivados del contenido del contrato”»</w:t>
      </w:r>
      <w:r>
        <w:t>.</w:t>
      </w:r>
    </w:p>
    <w:p w14:paraId="549498B8" w14:textId="271F7A0E" w:rsidR="000A66D1" w:rsidRDefault="000A66D1" w:rsidP="00A76061">
      <w:pPr>
        <w:spacing w:after="240"/>
        <w:jc w:val="both"/>
      </w:pPr>
      <w:hyperlink r:id="rId15" w:anchor="ctx1" w:history="1">
        <w:r w:rsidRPr="000A66D1">
          <w:rPr>
            <w:rStyle w:val="Hipervnculo"/>
          </w:rPr>
          <w:t>Sentencia del Tribunal de Justicia (Sala Octava), de 8 de mayo de 2025, asuntos acumulados C-6/24 y C-231/24, Abanca Corporación Bancaria</w:t>
        </w:r>
      </w:hyperlink>
      <w:r>
        <w:t xml:space="preserve">. </w:t>
      </w:r>
      <w:r w:rsidRPr="000A66D1">
        <w:t>«Procedimiento prejudicial — Protección de los consumidores — Contratos de crédito al consumo — Directiva 93/13/CEE — Cláusulas abusivas en los contratos celebrados con consumidores — Artículo 3, apartado 1 — Cláusula de vencimiento anticipado — Control jurisdiccional — Inexistencia de normativa nacional que regule la cláusula de vencimiento anticipado — Criterios de apreciación del carácter abusivo»</w:t>
      </w:r>
      <w:r>
        <w:t>.</w:t>
      </w:r>
    </w:p>
    <w:p w14:paraId="7347F35D" w14:textId="3F87DF20" w:rsidR="000428A8" w:rsidRDefault="000428A8" w:rsidP="00A76061">
      <w:pPr>
        <w:spacing w:after="240"/>
        <w:jc w:val="both"/>
      </w:pPr>
      <w:hyperlink r:id="rId16" w:anchor="ctx1" w:history="1">
        <w:r w:rsidRPr="000428A8">
          <w:rPr>
            <w:rStyle w:val="Hipervnculo"/>
          </w:rPr>
          <w:t>Sentencia del Tribunal de Justicia (Sala Novena), de 5 de junio de 2025, asunto C-749/23, Innogy Energie</w:t>
        </w:r>
      </w:hyperlink>
      <w:r>
        <w:t xml:space="preserve">. </w:t>
      </w:r>
      <w:r w:rsidRPr="000428A8">
        <w:t>«Procedimiento prejudicial — Protección de los consumidores — Directiva 93/13/CEE — Cláusulas abusivas en los contratos celebrados con consumidores — Artículos 3, 5 y 7 y punto 1, letra e), del anexo — Contrato de suministro de electricidad de duración determinada — Cláusula que impone una penalización contractual en caso de impago — Proporcionalidad del importe de la penalización — Carácter claro y comprensible de las cláusulas — Directiva (UE) 2019/944 — Inaplicabilidad»</w:t>
      </w:r>
      <w:r>
        <w:t>.</w:t>
      </w:r>
    </w:p>
    <w:p w14:paraId="0DC7E58A" w14:textId="42FF95B1" w:rsidR="00A76061" w:rsidRDefault="00A76061" w:rsidP="00A76061">
      <w:pPr>
        <w:spacing w:after="240"/>
        <w:jc w:val="both"/>
      </w:pPr>
      <w:hyperlink r:id="rId17" w:anchor="ctx1" w:history="1">
        <w:r w:rsidRPr="00A76061">
          <w:rPr>
            <w:rStyle w:val="Hipervnculo"/>
          </w:rPr>
          <w:t>Sentencia del Tribunal de Justicia (Sala Novena), de 19 de junio de 2025, asunto C-396/24, Lubreczlik</w:t>
        </w:r>
      </w:hyperlink>
      <w:r>
        <w:t xml:space="preserve">. </w:t>
      </w:r>
      <w:r w:rsidRPr="00A76061">
        <w:t>«Procedimiento prejudicial — Protección de los consumidores — Directiva 93/13/CEE — Cláusulas abusivas en los contratos celebrados con consumidores — Artículo 7, apartado 1 — Contrato de préstamo hipotecario indexado a una moneda extranjera que contiene cláusulas abusivas — Efectos de la declaración del carácter abusivo de una cláusula — Nulidad de dicho contrato — Restitución por el consumidor del importe del préstamo obtenido en virtud de un contrato nulo con independencia de los reembolsos efectuados — Efecto disuasorio de la prohibición de las cláusulas abusivas — Allanamiento del consumidor a la pretensión de restitución — Obligación del órgano jurisdiccional nacional de conferir a la sentencia condenatoria fuerza ejecutiva inmediata»</w:t>
      </w:r>
      <w:r>
        <w:t>.</w:t>
      </w:r>
    </w:p>
    <w:p w14:paraId="3473E84C" w14:textId="180DD819" w:rsidR="001A4784" w:rsidRPr="00A76061" w:rsidRDefault="001A4784" w:rsidP="00A76061">
      <w:pPr>
        <w:spacing w:after="240"/>
        <w:jc w:val="both"/>
      </w:pPr>
      <w:hyperlink r:id="rId18" w:anchor="ctx1" w:history="1">
        <w:r w:rsidRPr="001A4784">
          <w:rPr>
            <w:rStyle w:val="Hipervnculo"/>
          </w:rPr>
          <w:t>Sentencia del Tribunal de Justicia (Gran Sala), de 24 de junio de 2025, asunto C-351/23, GR Real</w:t>
        </w:r>
      </w:hyperlink>
      <w:r>
        <w:t xml:space="preserve">. </w:t>
      </w:r>
      <w:r w:rsidRPr="001A4784">
        <w:t xml:space="preserve">«Procedimiento prejudicial — Protección de los consumidores — Cláusulas abusivas en los contratos celebrados con consumidores — Directiva 93/13/CEE — Artículo 6, apartado 1 — Artículo 7, apartado 1 — Contrato de crédito al consumo — Contrato asegurado mediante una garantía real sobre un bien inmueble que constituye la vivienda familiar de un consumidor — Vencimiento anticipado — Subasta extrajudicial </w:t>
      </w:r>
      <w:r w:rsidRPr="001A4784">
        <w:lastRenderedPageBreak/>
        <w:t>de dicho bien inmueble — Normativa nacional que permite la realización de dicha subasta sin comprobación previa, por un órgano jurisdiccional, del crédito de que se trate — Causas de nulidad de dicha subasta que excluyen la existencia de cláusulas abusivas — Efectividad de la protección reconocida a los consumidores — Artículos 7 y 47 de la Carta de los Derechos Fundamentales de la Unión Europea»</w:t>
      </w:r>
      <w:r>
        <w:t>.</w:t>
      </w:r>
    </w:p>
    <w:p w14:paraId="2F486A1A" w14:textId="7E141790" w:rsidR="002B1E17" w:rsidRPr="002B1E17" w:rsidRDefault="002B1E17" w:rsidP="002B1E17">
      <w:pPr>
        <w:spacing w:after="240"/>
        <w:jc w:val="center"/>
        <w:rPr>
          <w:b/>
          <w:bCs/>
        </w:rPr>
      </w:pPr>
      <w:hyperlink r:id="rId19" w:history="1">
        <w:r>
          <w:rPr>
            <w:noProof/>
          </w:rPr>
          <w:pict w14:anchorId="7055B9A7">
            <v:rect id="_x0000_i1026" alt="" style="width:425.2pt;height:.05pt;mso-width-percent:0;mso-height-percent:0;mso-width-percent:0;mso-height-percent:0" o:hralign="center" o:hrstd="t" o:hr="t" fillcolor="#a0a0a0" stroked="f"/>
          </w:pict>
        </w:r>
      </w:hyperlink>
    </w:p>
    <w:p w14:paraId="0B6BB5D2" w14:textId="77777777" w:rsidR="00E1167D" w:rsidRDefault="00E1167D" w:rsidP="000D2B7E">
      <w:pPr>
        <w:spacing w:after="240"/>
        <w:rPr>
          <w:b/>
          <w:bCs/>
        </w:rPr>
      </w:pPr>
    </w:p>
    <w:p w14:paraId="038C0373" w14:textId="77C87D3F" w:rsidR="0046122C" w:rsidRDefault="00B670BA" w:rsidP="006E5262">
      <w:pPr>
        <w:spacing w:after="240"/>
        <w:jc w:val="center"/>
        <w:rPr>
          <w:b/>
          <w:bCs/>
          <w:sz w:val="28"/>
          <w:szCs w:val="28"/>
        </w:rPr>
      </w:pPr>
      <w:r w:rsidRPr="000D7986">
        <w:rPr>
          <w:b/>
          <w:bCs/>
          <w:sz w:val="28"/>
          <w:szCs w:val="28"/>
        </w:rPr>
        <w:t>TRIBUNAL CONSTITUCIONAL</w:t>
      </w:r>
    </w:p>
    <w:p w14:paraId="1954A5D4" w14:textId="77777777" w:rsidR="006E5262" w:rsidRPr="006E5262" w:rsidRDefault="006E5262" w:rsidP="006E5262">
      <w:pPr>
        <w:spacing w:after="240"/>
        <w:jc w:val="center"/>
        <w:rPr>
          <w:b/>
          <w:bCs/>
          <w:sz w:val="28"/>
          <w:szCs w:val="28"/>
        </w:rPr>
      </w:pPr>
    </w:p>
    <w:p w14:paraId="1FF85B6E" w14:textId="3FF6BD49" w:rsidR="00B670BA" w:rsidRDefault="003B4B7D" w:rsidP="00B670BA">
      <w:pPr>
        <w:spacing w:after="240"/>
        <w:jc w:val="both"/>
        <w:rPr>
          <w:b/>
          <w:bCs/>
        </w:rPr>
      </w:pPr>
      <w:r>
        <w:rPr>
          <w:b/>
          <w:bCs/>
        </w:rPr>
        <w:t>Sentencia</w:t>
      </w:r>
      <w:r w:rsidR="006E5262">
        <w:rPr>
          <w:b/>
          <w:bCs/>
        </w:rPr>
        <w:t>s</w:t>
      </w:r>
    </w:p>
    <w:p w14:paraId="18EFD29F" w14:textId="529A2EC7" w:rsidR="00406C6B" w:rsidRDefault="00406C6B" w:rsidP="00406C6B">
      <w:pPr>
        <w:spacing w:after="240"/>
        <w:jc w:val="both"/>
      </w:pPr>
      <w:hyperlink r:id="rId20" w:history="1">
        <w:r w:rsidRPr="00406C6B">
          <w:rPr>
            <w:rStyle w:val="Hipervnculo"/>
          </w:rPr>
          <w:t>Sala Segunda. Sentencia 109/2025, de 12 de mayo</w:t>
        </w:r>
      </w:hyperlink>
      <w:r>
        <w:t xml:space="preserve">. “Recurso de amparo 796-2022, promovido por don Víctor Manuel de Oliveira Fernandes y doña Manuela Flores Verdejo respecto de las resoluciones dictadas por la Audiencia Provincial de Lleida en procedimiento de ejecución hipotecaria. Vulneración del derecho a la tutela judicial efectiva (resolución fundada en Derecho): resoluciones judiciales que, ignorando el principio de efectividad del Derecho de la Unión Europea, deniegan la imposición de costas en un proceso en el que se ha declarado el carácter abusivo de cláusulas contractuales (SSTC 91/2023 y 96/2023)”. </w:t>
      </w:r>
      <w:hyperlink r:id="rId21" w:history="1">
        <w:r w:rsidRPr="006E5262">
          <w:rPr>
            <w:rStyle w:val="Hipervnculo"/>
          </w:rPr>
          <w:t>BOE nº 146, de 18 de junio de 2025</w:t>
        </w:r>
      </w:hyperlink>
      <w:r>
        <w:t xml:space="preserve">. </w:t>
      </w:r>
    </w:p>
    <w:p w14:paraId="541AF61D" w14:textId="34DDE714" w:rsidR="006E5262" w:rsidRPr="00406C6B" w:rsidRDefault="006E5262" w:rsidP="006E5262">
      <w:pPr>
        <w:spacing w:after="240"/>
        <w:jc w:val="both"/>
      </w:pPr>
      <w:hyperlink r:id="rId22" w:history="1">
        <w:r w:rsidRPr="006E5262">
          <w:rPr>
            <w:rStyle w:val="Hipervnculo"/>
          </w:rPr>
          <w:t>Sala Segunda. Sentencia 121/2025, de 26 de mayo</w:t>
        </w:r>
      </w:hyperlink>
      <w:r>
        <w:t xml:space="preserve">. “Recurso de amparo 5143-2023, promovido por don Salvador Luis Peñalver Barba en relación con la sentencia de la Sala de lo Civil del Tribunal Supremo que desestimó su pretensión de imposición de costas a la entidad crediticia demandada de juicio ordinario sobre declaración de nulidad de la cláusula multidivisa de un contrato de préstamo hipotecario. Vulneración del derecho a la tutela judicial efectiva (resolución fundada en Derecho): resolución judicial que, ignorando el principio de efectividad del Derecho de la Unión Europea, deniega la imposición de costas en un proceso en el que se ha declarado el carácter abusivo de cláusulas contractuales (SSTC 91/2023 y 96/2023)”. </w:t>
      </w:r>
      <w:hyperlink r:id="rId23" w:history="1">
        <w:r w:rsidRPr="006E5262">
          <w:rPr>
            <w:rStyle w:val="Hipervnculo"/>
          </w:rPr>
          <w:t>BOE nº 160, de 4 de julio de 2025</w:t>
        </w:r>
      </w:hyperlink>
      <w:r>
        <w:t xml:space="preserve">. </w:t>
      </w:r>
    </w:p>
    <w:p w14:paraId="3422C26B" w14:textId="77777777" w:rsidR="00C14C20" w:rsidRPr="00B10541" w:rsidRDefault="00C14C20" w:rsidP="00B670BA">
      <w:pPr>
        <w:spacing w:after="240"/>
        <w:jc w:val="both"/>
      </w:pPr>
    </w:p>
    <w:p w14:paraId="237386E8" w14:textId="1A7D90F3" w:rsidR="00B670BA" w:rsidRDefault="00000000" w:rsidP="002B1E17">
      <w:pPr>
        <w:spacing w:after="240"/>
        <w:jc w:val="center"/>
        <w:rPr>
          <w:b/>
          <w:bCs/>
          <w:sz w:val="28"/>
          <w:szCs w:val="28"/>
          <w:highlight w:val="yellow"/>
        </w:rPr>
      </w:pPr>
      <w:r>
        <w:rPr>
          <w:noProof/>
        </w:rPr>
        <w:pict w14:anchorId="0FC8A8BF">
          <v:rect id="_x0000_i1027" alt="" style="width:425.2pt;height:.05pt;mso-width-percent:0;mso-height-percent:0;mso-width-percent:0;mso-height-percent:0" o:hralign="center" o:hrstd="t" o:hr="t" fillcolor="#a0a0a0" stroked="f"/>
        </w:pict>
      </w:r>
    </w:p>
    <w:p w14:paraId="219D2AAD" w14:textId="4BC1925C" w:rsidR="00B670BA" w:rsidRPr="00EC2CA3" w:rsidRDefault="00B670BA" w:rsidP="002B1E17">
      <w:pPr>
        <w:spacing w:after="240"/>
        <w:jc w:val="center"/>
        <w:rPr>
          <w:b/>
          <w:bCs/>
          <w:sz w:val="28"/>
          <w:szCs w:val="28"/>
        </w:rPr>
      </w:pPr>
    </w:p>
    <w:p w14:paraId="793098D7" w14:textId="229416A1" w:rsidR="00445746" w:rsidRPr="009312D9" w:rsidRDefault="002B1E17" w:rsidP="009312D9">
      <w:pPr>
        <w:spacing w:after="240"/>
        <w:jc w:val="center"/>
        <w:rPr>
          <w:b/>
          <w:bCs/>
          <w:sz w:val="28"/>
          <w:szCs w:val="28"/>
        </w:rPr>
      </w:pPr>
      <w:r w:rsidRPr="0035555D">
        <w:rPr>
          <w:b/>
          <w:bCs/>
          <w:sz w:val="28"/>
          <w:szCs w:val="28"/>
        </w:rPr>
        <w:t>TRIBUNAL SUPREMO</w:t>
      </w:r>
      <w:r w:rsidR="00C47765" w:rsidRPr="0035555D">
        <w:rPr>
          <w:b/>
          <w:bCs/>
          <w:sz w:val="28"/>
          <w:szCs w:val="28"/>
        </w:rPr>
        <w:t xml:space="preserve"> (CENDOJ – Selección)</w:t>
      </w:r>
    </w:p>
    <w:p w14:paraId="74C8CEDE" w14:textId="77777777" w:rsidR="00445746" w:rsidRPr="00445746" w:rsidRDefault="00445746" w:rsidP="00A8324B">
      <w:pPr>
        <w:spacing w:after="240"/>
        <w:jc w:val="both"/>
      </w:pPr>
    </w:p>
    <w:p w14:paraId="699CB00A" w14:textId="77777777" w:rsidR="009312D9" w:rsidRDefault="00904AD1" w:rsidP="00A8324B">
      <w:pPr>
        <w:spacing w:after="240"/>
        <w:jc w:val="both"/>
        <w:rPr>
          <w:b/>
          <w:bCs/>
        </w:rPr>
      </w:pPr>
      <w:r>
        <w:rPr>
          <w:b/>
          <w:bCs/>
        </w:rPr>
        <w:t>Préstamos con garantía hipotecaria. Cláusula</w:t>
      </w:r>
      <w:r w:rsidR="0046122C">
        <w:rPr>
          <w:b/>
          <w:bCs/>
        </w:rPr>
        <w:t>s</w:t>
      </w:r>
      <w:r>
        <w:rPr>
          <w:b/>
          <w:bCs/>
        </w:rPr>
        <w:t xml:space="preserve"> </w:t>
      </w:r>
      <w:r w:rsidR="009312D9">
        <w:rPr>
          <w:b/>
          <w:bCs/>
        </w:rPr>
        <w:t>abusivas</w:t>
      </w:r>
    </w:p>
    <w:p w14:paraId="4CF1CCCD" w14:textId="4870F64B" w:rsidR="00FA5504" w:rsidRPr="009312D9" w:rsidRDefault="009312D9" w:rsidP="009312D9">
      <w:pPr>
        <w:pStyle w:val="Prrafodelista"/>
        <w:numPr>
          <w:ilvl w:val="0"/>
          <w:numId w:val="17"/>
        </w:numPr>
        <w:spacing w:after="240"/>
        <w:jc w:val="both"/>
        <w:rPr>
          <w:rFonts w:ascii="Times New Roman" w:hAnsi="Times New Roman" w:cs="Times New Roman"/>
          <w:b/>
          <w:bCs/>
          <w:sz w:val="24"/>
          <w:szCs w:val="24"/>
        </w:rPr>
      </w:pPr>
      <w:r w:rsidRPr="009312D9">
        <w:rPr>
          <w:rFonts w:ascii="Times New Roman" w:hAnsi="Times New Roman" w:cs="Times New Roman"/>
          <w:b/>
          <w:bCs/>
          <w:sz w:val="24"/>
          <w:szCs w:val="24"/>
        </w:rPr>
        <w:t>Cláusulas “suelo”</w:t>
      </w:r>
      <w:r w:rsidR="00CD66C6" w:rsidRPr="009312D9">
        <w:rPr>
          <w:rFonts w:ascii="Times New Roman" w:hAnsi="Times New Roman" w:cs="Times New Roman"/>
          <w:b/>
          <w:bCs/>
          <w:sz w:val="24"/>
          <w:szCs w:val="24"/>
        </w:rPr>
        <w:t xml:space="preserve"> </w:t>
      </w:r>
    </w:p>
    <w:p w14:paraId="228D05A8" w14:textId="15CC351F" w:rsidR="0035555D" w:rsidRPr="0035555D" w:rsidRDefault="0035555D" w:rsidP="00A8324B">
      <w:pPr>
        <w:spacing w:after="240"/>
        <w:jc w:val="both"/>
      </w:pPr>
      <w:hyperlink r:id="rId24" w:history="1">
        <w:r w:rsidRPr="00F018BF">
          <w:rPr>
            <w:rStyle w:val="Hipervnculo"/>
          </w:rPr>
          <w:t>STS, Sala Primera, 665/2025, de 5 de mayo de 2025</w:t>
        </w:r>
      </w:hyperlink>
      <w:r>
        <w:t>. “</w:t>
      </w:r>
      <w:r w:rsidRPr="0035555D">
        <w:t xml:space="preserve">Cláusula suelo. Acuerdo posterior que modifica a la baja la cláusula e incluye una renuncia de acciones genérica. Validez </w:t>
      </w:r>
      <w:r w:rsidRPr="0035555D">
        <w:lastRenderedPageBreak/>
        <w:t>del acuerdo novatorio porque supera el control de transparencia. Nulidad de la cláusula de renuncia de acciones</w:t>
      </w:r>
      <w:r>
        <w:t xml:space="preserve">”. </w:t>
      </w:r>
    </w:p>
    <w:p w14:paraId="2C7E2AD7" w14:textId="155F8953" w:rsidR="0035555D" w:rsidRPr="0035555D" w:rsidRDefault="0035555D" w:rsidP="00A8324B">
      <w:pPr>
        <w:spacing w:after="240"/>
        <w:jc w:val="both"/>
      </w:pPr>
      <w:hyperlink r:id="rId25" w:history="1">
        <w:r w:rsidRPr="0035555D">
          <w:rPr>
            <w:rStyle w:val="Hipervnculo"/>
          </w:rPr>
          <w:t>STS, Sala Primera, 715/2025, de 12 de mayo de 2025</w:t>
        </w:r>
      </w:hyperlink>
      <w:r>
        <w:t>. “</w:t>
      </w:r>
      <w:r w:rsidRPr="0035555D">
        <w:t>Validez de la cláusula de renuncia en el marco de una transacción. Aplicación de jurisprudencia contenida en STS 205/2018, de 11 de abril, a la que se remite la 675/2020 de 15 de diciembre. Reiteración de jurisprudencia</w:t>
      </w:r>
      <w:r>
        <w:t xml:space="preserve">”. </w:t>
      </w:r>
    </w:p>
    <w:p w14:paraId="260DFBC7" w14:textId="7AC9F791" w:rsidR="0035555D" w:rsidRDefault="0035555D" w:rsidP="00A8324B">
      <w:pPr>
        <w:spacing w:after="240"/>
        <w:jc w:val="both"/>
      </w:pPr>
      <w:hyperlink r:id="rId26" w:history="1">
        <w:r w:rsidRPr="0035555D">
          <w:rPr>
            <w:rStyle w:val="Hipervnculo"/>
          </w:rPr>
          <w:t>STS, Sala Primera, 737/2025, de 13 de mayo de 2025</w:t>
        </w:r>
      </w:hyperlink>
      <w:r>
        <w:t>. “</w:t>
      </w:r>
      <w:r w:rsidRPr="0035555D">
        <w:t>Validez del acuerdo novatorio de cláusula suelo porque supera el control de transparencia. Nulidad de la cláusula de renuncia de acciones. Costas procesales. Reiteración de jurisprudencia</w:t>
      </w:r>
      <w:r>
        <w:t xml:space="preserve">”. </w:t>
      </w:r>
    </w:p>
    <w:p w14:paraId="67BB5412" w14:textId="328A5674" w:rsidR="0035555D" w:rsidRDefault="0035555D" w:rsidP="00A8324B">
      <w:pPr>
        <w:spacing w:after="240"/>
        <w:jc w:val="both"/>
      </w:pPr>
      <w:hyperlink r:id="rId27" w:history="1">
        <w:r w:rsidRPr="0035555D">
          <w:rPr>
            <w:rStyle w:val="Hipervnculo"/>
          </w:rPr>
          <w:t>STS, Sala Primera, 754/2025, de 13 de mayo de 2025</w:t>
        </w:r>
      </w:hyperlink>
      <w:r>
        <w:t>. “</w:t>
      </w:r>
      <w:r w:rsidRPr="0035555D">
        <w:t>Reiteración de jurisprudencia sobre novación de cláusula suelo abusiva y renuncia de acciones en acuerdo transaccional respecto de un préstamo hipotecario concertado con consumidores. Existencia de error patente sobre la valoración de la prueba</w:t>
      </w:r>
      <w:r>
        <w:t>”.</w:t>
      </w:r>
    </w:p>
    <w:p w14:paraId="7B7229CF" w14:textId="0477A16A" w:rsidR="00625770" w:rsidRDefault="00625770" w:rsidP="00A8324B">
      <w:pPr>
        <w:spacing w:after="240"/>
        <w:jc w:val="both"/>
      </w:pPr>
      <w:hyperlink r:id="rId28" w:history="1">
        <w:r w:rsidRPr="00625770">
          <w:rPr>
            <w:rStyle w:val="Hipervnculo"/>
          </w:rPr>
          <w:t>STS, Sala Primera, 874/2025, de 2 de junio de 2025</w:t>
        </w:r>
      </w:hyperlink>
      <w:r>
        <w:t>. “</w:t>
      </w:r>
      <w:r w:rsidRPr="00625770">
        <w:t>Novación de cláusula suelo en préstamo hipotecario con cláusula de renuncia de acciones válida por ser fruto de negociación individual</w:t>
      </w:r>
      <w:r>
        <w:t xml:space="preserve">”. </w:t>
      </w:r>
    </w:p>
    <w:p w14:paraId="020FA673" w14:textId="5127647B" w:rsidR="00780846" w:rsidRDefault="00780846" w:rsidP="00A8324B">
      <w:pPr>
        <w:spacing w:after="240"/>
        <w:jc w:val="both"/>
      </w:pPr>
      <w:hyperlink r:id="rId29" w:history="1">
        <w:r w:rsidRPr="00FA5504">
          <w:rPr>
            <w:rStyle w:val="Hipervnculo"/>
          </w:rPr>
          <w:t>STS, Sala Primera, Pleno, 943/2025, de 16 de junio de 2025</w:t>
        </w:r>
      </w:hyperlink>
      <w:r>
        <w:t>. “</w:t>
      </w:r>
      <w:r w:rsidR="00FA5504" w:rsidRPr="00FA5504">
        <w:t>Acción colectiva de cesación y de devolución de cantidades ejercitadas por una asociación de consumidores contra una multiplicidad de entidades bancarias. Cláusula suelo. Interpretación y resolución a la luz de la STJUE de 4 de julio de 2024 (C-450/22)</w:t>
      </w:r>
      <w:r w:rsidR="00FA5504">
        <w:t xml:space="preserve">”. </w:t>
      </w:r>
    </w:p>
    <w:p w14:paraId="4298C11C" w14:textId="534C301F" w:rsidR="00141E34" w:rsidRDefault="00141E34" w:rsidP="00A8324B">
      <w:pPr>
        <w:spacing w:after="240"/>
        <w:jc w:val="both"/>
      </w:pPr>
      <w:hyperlink r:id="rId30" w:history="1">
        <w:r w:rsidRPr="00141E34">
          <w:rPr>
            <w:rStyle w:val="Hipervnculo"/>
          </w:rPr>
          <w:t>STS, Sala Primera, 946/2025, de 16 de junio de 2025</w:t>
        </w:r>
      </w:hyperlink>
      <w:r>
        <w:t>. “</w:t>
      </w:r>
      <w:r w:rsidRPr="00141E34">
        <w:t>Préstamo hipotecario con consumidores. Validez del acuerdo de novación del interés ordinario, objeto de negociación individual junto con otras condiciones financieras, lo que excluye que se trate de una condición general de la contratación</w:t>
      </w:r>
      <w:r>
        <w:t xml:space="preserve">”. </w:t>
      </w:r>
    </w:p>
    <w:p w14:paraId="4EF5DF43" w14:textId="23430E53" w:rsidR="00213A15" w:rsidRDefault="00213A15" w:rsidP="00A8324B">
      <w:pPr>
        <w:spacing w:after="240"/>
        <w:jc w:val="both"/>
      </w:pPr>
      <w:hyperlink r:id="rId31" w:history="1">
        <w:r w:rsidRPr="00213A15">
          <w:rPr>
            <w:rStyle w:val="Hipervnculo"/>
          </w:rPr>
          <w:t>STS, Sala Primera, 977/2025, de 19 de junio de 2025</w:t>
        </w:r>
      </w:hyperlink>
      <w:r>
        <w:t>. “</w:t>
      </w:r>
      <w:r w:rsidRPr="00213A15">
        <w:t>Cláusula suelo. Efectos restitutorios. Aplicación de la STJUE de 17 de mayo de 2022 y de la sentencia del pleno de esta sala 579/2022, de 26 de julio</w:t>
      </w:r>
      <w:r>
        <w:t xml:space="preserve">”. </w:t>
      </w:r>
    </w:p>
    <w:p w14:paraId="19F195C6" w14:textId="258F19F1" w:rsidR="00FA5504" w:rsidRPr="0035555D" w:rsidRDefault="00FA5504" w:rsidP="00A8324B">
      <w:pPr>
        <w:spacing w:after="240"/>
        <w:jc w:val="both"/>
      </w:pPr>
      <w:hyperlink r:id="rId32" w:history="1">
        <w:r w:rsidRPr="00FA5504">
          <w:rPr>
            <w:rStyle w:val="Hipervnculo"/>
          </w:rPr>
          <w:t>STS, Sala Primera, 1001/2025, de 24 de junio de 2025</w:t>
        </w:r>
      </w:hyperlink>
      <w:r>
        <w:t>. “</w:t>
      </w:r>
      <w:r w:rsidRPr="00FA5504">
        <w:t>La renuncia de acciones que es fruto de una negociación, se enmarca en una transacción. Se reitera la jurisprudencia contenida en la sentencia 205/2018, de 11 de abril</w:t>
      </w:r>
      <w:r>
        <w:t xml:space="preserve">”. </w:t>
      </w:r>
    </w:p>
    <w:p w14:paraId="43F906B4" w14:textId="6FAD58FA" w:rsidR="00745AE9" w:rsidRPr="00745AE9" w:rsidRDefault="00745AE9" w:rsidP="00A8324B">
      <w:pPr>
        <w:spacing w:after="240"/>
        <w:jc w:val="both"/>
      </w:pPr>
      <w:hyperlink r:id="rId33" w:history="1">
        <w:r w:rsidRPr="00745AE9">
          <w:rPr>
            <w:rStyle w:val="Hipervnculo"/>
          </w:rPr>
          <w:t>STS, Sala Primera, 1026/2025, de 30 de junio de 2025</w:t>
        </w:r>
      </w:hyperlink>
      <w:r>
        <w:t>. “</w:t>
      </w:r>
      <w:r w:rsidRPr="00745AE9">
        <w:t>Cláusula suelo. Acuerdo posterior que suprime la cláusula e incluye una renuncia de acciones genérica. Validez del acuerdo novatorio porque supera el control de transparencia. Nulidad de la cláusula de renuncia de acciones</w:t>
      </w:r>
      <w:r>
        <w:t xml:space="preserve">”. </w:t>
      </w:r>
    </w:p>
    <w:p w14:paraId="538CFDC8" w14:textId="77777777" w:rsidR="00C6535E" w:rsidRPr="00C6535E" w:rsidRDefault="00C6535E" w:rsidP="006B6B86">
      <w:pPr>
        <w:spacing w:after="240"/>
        <w:jc w:val="both"/>
        <w:rPr>
          <w:b/>
          <w:bCs/>
          <w:color w:val="000000" w:themeColor="text1"/>
        </w:rPr>
      </w:pPr>
    </w:p>
    <w:p w14:paraId="61044CB3" w14:textId="3D8B9120" w:rsidR="00CB39E0" w:rsidRPr="009312D9" w:rsidRDefault="00CB39E0" w:rsidP="009312D9">
      <w:pPr>
        <w:pStyle w:val="Prrafodelista"/>
        <w:numPr>
          <w:ilvl w:val="0"/>
          <w:numId w:val="17"/>
        </w:numPr>
        <w:spacing w:after="240"/>
        <w:jc w:val="both"/>
        <w:rPr>
          <w:rFonts w:ascii="Times New Roman" w:hAnsi="Times New Roman" w:cs="Times New Roman"/>
          <w:b/>
          <w:bCs/>
          <w:sz w:val="24"/>
          <w:szCs w:val="24"/>
        </w:rPr>
      </w:pPr>
      <w:r w:rsidRPr="009312D9">
        <w:rPr>
          <w:rFonts w:ascii="Times New Roman" w:hAnsi="Times New Roman" w:cs="Times New Roman"/>
          <w:b/>
          <w:bCs/>
          <w:sz w:val="24"/>
          <w:szCs w:val="24"/>
        </w:rPr>
        <w:t xml:space="preserve">Cláusula de gastos hipotecarios. Prescripción acción de restitución </w:t>
      </w:r>
    </w:p>
    <w:p w14:paraId="38355C6A" w14:textId="3A5C74C6" w:rsidR="0035555D" w:rsidRPr="0035555D" w:rsidRDefault="0035555D" w:rsidP="006B6B86">
      <w:pPr>
        <w:spacing w:after="240"/>
        <w:jc w:val="both"/>
      </w:pPr>
      <w:hyperlink r:id="rId34" w:history="1">
        <w:r w:rsidRPr="0035555D">
          <w:rPr>
            <w:rStyle w:val="Hipervnculo"/>
          </w:rPr>
          <w:t>STS, Sala Primera, 725/2025, de 12 de mayo de 2025</w:t>
        </w:r>
      </w:hyperlink>
      <w:r>
        <w:t>. “</w:t>
      </w:r>
      <w:r w:rsidRPr="0035555D">
        <w:t>Inicio del cómputo del plazo de prescripción de la acción de restitución de los gastos hipotecarios indebidamente abonados como consecuencia de una cláusula nula por abusiva en un contrato con consumidores. Allanamiento. Reiteración de jurisprudencia</w:t>
      </w:r>
      <w:r>
        <w:t xml:space="preserve">”. </w:t>
      </w:r>
    </w:p>
    <w:p w14:paraId="7499892A" w14:textId="3628328D" w:rsidR="00A716E7" w:rsidRDefault="0036702B" w:rsidP="009C3A9F">
      <w:pPr>
        <w:spacing w:after="240"/>
        <w:jc w:val="both"/>
      </w:pPr>
      <w:hyperlink r:id="rId35" w:history="1">
        <w:r w:rsidRPr="0036702B">
          <w:rPr>
            <w:rStyle w:val="Hipervnculo"/>
          </w:rPr>
          <w:t>STS, Sala Primera, 763/2025, de 14 de mayo de 2025</w:t>
        </w:r>
      </w:hyperlink>
      <w:r>
        <w:t>. “</w:t>
      </w:r>
      <w:r w:rsidRPr="0036702B">
        <w:t>Reiteración de jurisprudencia.</w:t>
      </w:r>
      <w:r>
        <w:t xml:space="preserve"> </w:t>
      </w:r>
      <w:r w:rsidRPr="0036702B">
        <w:t>Condiciones Generales de la contratación. Cláusula abusiva. Prescripción de la acción de restitución. Dies a quo de la acción de restitución de los gastos hipotecarios indebidamente abonados. Costas</w:t>
      </w:r>
      <w:r>
        <w:t xml:space="preserve">”. </w:t>
      </w:r>
    </w:p>
    <w:p w14:paraId="043183DF" w14:textId="22535A0F" w:rsidR="00FA5504" w:rsidRDefault="00FA5504" w:rsidP="009C3A9F">
      <w:pPr>
        <w:spacing w:after="240"/>
        <w:jc w:val="both"/>
      </w:pPr>
      <w:hyperlink r:id="rId36" w:history="1">
        <w:r w:rsidRPr="00FA5504">
          <w:rPr>
            <w:rStyle w:val="Hipervnculo"/>
          </w:rPr>
          <w:t>STS, Sala Primera, 1032/2025, de 30 de junio de 2025</w:t>
        </w:r>
      </w:hyperlink>
      <w:r>
        <w:t>. “</w:t>
      </w:r>
      <w:r w:rsidRPr="00FA5504">
        <w:t>Cláusula de gastos. Reclamación. Prescripción de la acción. Allanamiento de la entidad financiera, doctrina contenida en la sentencia 1090/2023, sobre el principio dispositivo (art. 21 LEC)</w:t>
      </w:r>
      <w:r>
        <w:t xml:space="preserve">”. </w:t>
      </w:r>
    </w:p>
    <w:p w14:paraId="7E31B5E0" w14:textId="77777777" w:rsidR="0036702B" w:rsidRDefault="0036702B" w:rsidP="009C3A9F">
      <w:pPr>
        <w:spacing w:after="240"/>
        <w:jc w:val="both"/>
        <w:rPr>
          <w:b/>
          <w:bCs/>
        </w:rPr>
      </w:pPr>
    </w:p>
    <w:p w14:paraId="35787DE4" w14:textId="2E4B414F" w:rsidR="0036702B" w:rsidRPr="009312D9" w:rsidRDefault="0036702B" w:rsidP="009312D9">
      <w:pPr>
        <w:pStyle w:val="Prrafodelista"/>
        <w:numPr>
          <w:ilvl w:val="0"/>
          <w:numId w:val="17"/>
        </w:numPr>
        <w:spacing w:after="240"/>
        <w:jc w:val="both"/>
        <w:rPr>
          <w:rFonts w:ascii="Times New Roman" w:hAnsi="Times New Roman" w:cs="Times New Roman"/>
          <w:b/>
          <w:bCs/>
          <w:sz w:val="24"/>
          <w:szCs w:val="24"/>
        </w:rPr>
      </w:pPr>
      <w:r w:rsidRPr="009312D9">
        <w:rPr>
          <w:rFonts w:ascii="Times New Roman" w:hAnsi="Times New Roman" w:cs="Times New Roman"/>
          <w:b/>
          <w:bCs/>
          <w:sz w:val="24"/>
          <w:szCs w:val="24"/>
        </w:rPr>
        <w:t>Cláusula de intereses moratorios</w:t>
      </w:r>
    </w:p>
    <w:p w14:paraId="2D55AFC4" w14:textId="69D7F1B0" w:rsidR="0036702B" w:rsidRDefault="0036702B" w:rsidP="009C3A9F">
      <w:pPr>
        <w:spacing w:after="240"/>
        <w:jc w:val="both"/>
      </w:pPr>
      <w:hyperlink r:id="rId37" w:history="1">
        <w:r w:rsidRPr="0035555D">
          <w:rPr>
            <w:rStyle w:val="Hipervnculo"/>
          </w:rPr>
          <w:t>STS, Sala Primera, 734/2025, de 13 de mayo de 2025</w:t>
        </w:r>
      </w:hyperlink>
      <w:r>
        <w:t>. “</w:t>
      </w:r>
      <w:r w:rsidRPr="0036702B">
        <w:t>Nulidad de cláusula de gastos con sus efectos restitutorios. Cómputo del plazo de prescripción de la acción de restitución. Consecuencias de la nulidad de la cláusula de intereses moratorios pactada en un préstamo hipotecario sobre la cuota del IAJD</w:t>
      </w:r>
      <w:r>
        <w:t xml:space="preserve">”. </w:t>
      </w:r>
    </w:p>
    <w:p w14:paraId="480CC14F" w14:textId="377CB090" w:rsidR="00FA5504" w:rsidRPr="0036702B" w:rsidRDefault="00FA5504" w:rsidP="009C3A9F">
      <w:pPr>
        <w:spacing w:after="240"/>
        <w:jc w:val="both"/>
      </w:pPr>
      <w:hyperlink r:id="rId38" w:history="1">
        <w:r w:rsidRPr="00FA5504">
          <w:rPr>
            <w:rStyle w:val="Hipervnculo"/>
          </w:rPr>
          <w:t>STS, Sala Primera, 979/2025, de 19 de junio de 2025</w:t>
        </w:r>
      </w:hyperlink>
      <w:r>
        <w:t>. “</w:t>
      </w:r>
      <w:r w:rsidRPr="00FA5504">
        <w:t>Nulidad de la cláusula de intereses moratorios contenida en el préstamo suscrito entre las partes. Requerimiento previo sin respuesta del banco. Reiteración de d</w:t>
      </w:r>
      <w:r>
        <w:t>o</w:t>
      </w:r>
      <w:r w:rsidRPr="00FA5504">
        <w:t>ctrina</w:t>
      </w:r>
      <w:r>
        <w:t xml:space="preserve">”. </w:t>
      </w:r>
    </w:p>
    <w:p w14:paraId="26D0B0A4" w14:textId="77777777" w:rsidR="0036702B" w:rsidRDefault="0036702B" w:rsidP="009C3A9F">
      <w:pPr>
        <w:spacing w:after="240"/>
        <w:jc w:val="both"/>
        <w:rPr>
          <w:b/>
          <w:bCs/>
        </w:rPr>
      </w:pPr>
    </w:p>
    <w:p w14:paraId="2BE3918D" w14:textId="382BFF0C" w:rsidR="003102CA" w:rsidRPr="009312D9" w:rsidRDefault="00FA5504" w:rsidP="009312D9">
      <w:pPr>
        <w:pStyle w:val="Prrafodelista"/>
        <w:numPr>
          <w:ilvl w:val="0"/>
          <w:numId w:val="17"/>
        </w:numPr>
        <w:spacing w:after="240"/>
        <w:jc w:val="both"/>
        <w:rPr>
          <w:rFonts w:ascii="Times New Roman" w:hAnsi="Times New Roman" w:cs="Times New Roman"/>
          <w:b/>
          <w:bCs/>
          <w:sz w:val="24"/>
          <w:szCs w:val="24"/>
        </w:rPr>
      </w:pPr>
      <w:r w:rsidRPr="009312D9">
        <w:rPr>
          <w:rFonts w:ascii="Times New Roman" w:hAnsi="Times New Roman" w:cs="Times New Roman"/>
          <w:b/>
          <w:bCs/>
          <w:sz w:val="24"/>
          <w:szCs w:val="24"/>
        </w:rPr>
        <w:t>Cláusula “multidivisa”</w:t>
      </w:r>
    </w:p>
    <w:p w14:paraId="2E5BFF59" w14:textId="57AAA8D2" w:rsidR="00FA5504" w:rsidRDefault="00FA5504" w:rsidP="009C3A9F">
      <w:pPr>
        <w:spacing w:after="240"/>
        <w:jc w:val="both"/>
      </w:pPr>
      <w:hyperlink r:id="rId39" w:history="1">
        <w:r w:rsidRPr="00FA5504">
          <w:rPr>
            <w:rStyle w:val="Hipervnculo"/>
          </w:rPr>
          <w:t>STS, Sala Primera, 984/2025, de 19 de junio de 2025</w:t>
        </w:r>
      </w:hyperlink>
      <w:r>
        <w:t>. “</w:t>
      </w:r>
      <w:r w:rsidRPr="00FA5504">
        <w:t>Préstamo multidivisa. Abusividad de las estipulaciones que permiten dar por vencido anticipadamente el préstamo, facultativo para el banco cuando el contravalor de la divisa en euros pueda ser superior al límite. Reiteración de jurisprudencia</w:t>
      </w:r>
      <w:r>
        <w:t xml:space="preserve">”. </w:t>
      </w:r>
    </w:p>
    <w:p w14:paraId="5626311A" w14:textId="77777777" w:rsidR="00213A15" w:rsidRPr="00213A15" w:rsidRDefault="00213A15" w:rsidP="009C3A9F">
      <w:pPr>
        <w:spacing w:after="240"/>
        <w:jc w:val="both"/>
        <w:rPr>
          <w:b/>
          <w:bCs/>
        </w:rPr>
      </w:pPr>
    </w:p>
    <w:p w14:paraId="522F1880" w14:textId="55ED806F" w:rsidR="00213A15" w:rsidRPr="009312D9" w:rsidRDefault="00213A15" w:rsidP="009312D9">
      <w:pPr>
        <w:pStyle w:val="Prrafodelista"/>
        <w:numPr>
          <w:ilvl w:val="0"/>
          <w:numId w:val="17"/>
        </w:numPr>
        <w:spacing w:after="240"/>
        <w:jc w:val="both"/>
        <w:rPr>
          <w:rFonts w:ascii="Times New Roman" w:hAnsi="Times New Roman" w:cs="Times New Roman"/>
          <w:b/>
          <w:bCs/>
          <w:sz w:val="24"/>
          <w:szCs w:val="24"/>
        </w:rPr>
      </w:pPr>
      <w:r w:rsidRPr="009312D9">
        <w:rPr>
          <w:rFonts w:ascii="Times New Roman" w:hAnsi="Times New Roman" w:cs="Times New Roman"/>
          <w:b/>
          <w:bCs/>
          <w:sz w:val="24"/>
          <w:szCs w:val="24"/>
        </w:rPr>
        <w:t>Comisión de apertura</w:t>
      </w:r>
    </w:p>
    <w:p w14:paraId="354A7351" w14:textId="42BDCA9C" w:rsidR="00213A15" w:rsidRDefault="00A91415" w:rsidP="009C3A9F">
      <w:pPr>
        <w:spacing w:after="240"/>
        <w:jc w:val="both"/>
      </w:pPr>
      <w:hyperlink r:id="rId40" w:history="1">
        <w:r w:rsidRPr="00A91415">
          <w:rPr>
            <w:rStyle w:val="Hipervnculo"/>
          </w:rPr>
          <w:t>STS, Sala Primera, 964/2025, de 17 de junio de 2025</w:t>
        </w:r>
      </w:hyperlink>
      <w:r>
        <w:t>. “</w:t>
      </w:r>
      <w:r w:rsidRPr="00A91415">
        <w:t>Comisión de apertura en contrato de préstamo con garantía hipotecaria celebrado con consumidores. Reiteración de la jurisprudencia de la sala, ratificada por las SSTJUE de 30 de abril de 2025 (C--699/23 y C-39/24)</w:t>
      </w:r>
      <w:r>
        <w:t xml:space="preserve">”. </w:t>
      </w:r>
    </w:p>
    <w:p w14:paraId="130B1F44" w14:textId="44F3CF50" w:rsidR="00A91415" w:rsidRPr="00FA5504" w:rsidRDefault="00A91415" w:rsidP="009C3A9F">
      <w:pPr>
        <w:spacing w:after="240"/>
        <w:jc w:val="both"/>
      </w:pPr>
      <w:hyperlink r:id="rId41" w:history="1">
        <w:r w:rsidRPr="00A91415">
          <w:rPr>
            <w:rStyle w:val="Hipervnculo"/>
          </w:rPr>
          <w:t>STS, Sala Primera, 965/2025, de 17 de junio de 2025</w:t>
        </w:r>
      </w:hyperlink>
      <w:r>
        <w:t>. “</w:t>
      </w:r>
      <w:r w:rsidRPr="00A91415">
        <w:t>Comisión de apertura. Transparencia y abusividad. Reafirmación de la doctrina jurisprudencial a la luz de las SSTJUE (Sala Octava) de 30 de abril de 2025. Efectos de la nulidad por abusiva de la cláusula de gastos. Reiteración de la doctrina</w:t>
      </w:r>
      <w:r>
        <w:t xml:space="preserve">”. </w:t>
      </w:r>
    </w:p>
    <w:p w14:paraId="5EDBB342" w14:textId="60F758F9" w:rsidR="00B3601D" w:rsidRPr="007727FF" w:rsidRDefault="0036702B" w:rsidP="0036702B">
      <w:pPr>
        <w:tabs>
          <w:tab w:val="left" w:pos="3593"/>
        </w:tabs>
        <w:spacing w:after="240"/>
        <w:jc w:val="both"/>
      </w:pPr>
      <w:r>
        <w:tab/>
      </w:r>
    </w:p>
    <w:p w14:paraId="0885B5F3" w14:textId="3A6850B9" w:rsidR="00CB39E0" w:rsidRDefault="00FD4C76" w:rsidP="009C3A9F">
      <w:pPr>
        <w:spacing w:after="240"/>
        <w:jc w:val="both"/>
        <w:rPr>
          <w:b/>
          <w:bCs/>
        </w:rPr>
      </w:pPr>
      <w:r>
        <w:rPr>
          <w:b/>
          <w:bCs/>
        </w:rPr>
        <w:t>Contratos de tarjeta</w:t>
      </w:r>
      <w:r w:rsidR="00585901">
        <w:rPr>
          <w:b/>
          <w:bCs/>
        </w:rPr>
        <w:t xml:space="preserve"> “revolving”</w:t>
      </w:r>
    </w:p>
    <w:p w14:paraId="07D8671A" w14:textId="43B77115" w:rsidR="00FA5504" w:rsidRDefault="00FA5504" w:rsidP="00B655CE">
      <w:pPr>
        <w:spacing w:after="240"/>
        <w:jc w:val="both"/>
      </w:pPr>
      <w:hyperlink r:id="rId42" w:history="1">
        <w:r w:rsidRPr="00FA5504">
          <w:rPr>
            <w:rStyle w:val="Hipervnculo"/>
          </w:rPr>
          <w:t>STS, Sala Primera, 993/2025, de 23 de junio de 2025</w:t>
        </w:r>
      </w:hyperlink>
      <w:r>
        <w:t>. “</w:t>
      </w:r>
      <w:r w:rsidRPr="00FA5504">
        <w:t>Nulidad del contrato de tarjeta de crédito que incluía la modalidad de pago de denominada «revolving». Allanamiento. Reiteración de jurisprudencia</w:t>
      </w:r>
      <w:r>
        <w:t xml:space="preserve">”. </w:t>
      </w:r>
    </w:p>
    <w:p w14:paraId="35A80703" w14:textId="77777777" w:rsidR="009312D9" w:rsidRDefault="009312D9" w:rsidP="00E3186C">
      <w:pPr>
        <w:tabs>
          <w:tab w:val="left" w:pos="4500"/>
        </w:tabs>
        <w:spacing w:after="240"/>
        <w:jc w:val="both"/>
        <w:rPr>
          <w:b/>
          <w:bCs/>
        </w:rPr>
      </w:pPr>
    </w:p>
    <w:p w14:paraId="4B6AA319" w14:textId="6F79FB3B" w:rsidR="00B3601D" w:rsidRDefault="00B3601D" w:rsidP="00E3186C">
      <w:pPr>
        <w:tabs>
          <w:tab w:val="left" w:pos="4500"/>
        </w:tabs>
        <w:spacing w:after="240"/>
        <w:jc w:val="both"/>
        <w:rPr>
          <w:b/>
          <w:bCs/>
        </w:rPr>
      </w:pPr>
      <w:r w:rsidRPr="00B3601D">
        <w:rPr>
          <w:b/>
          <w:bCs/>
        </w:rPr>
        <w:t>Contratación de productos financieros</w:t>
      </w:r>
      <w:r w:rsidR="00E3186C">
        <w:rPr>
          <w:b/>
          <w:bCs/>
        </w:rPr>
        <w:tab/>
      </w:r>
    </w:p>
    <w:p w14:paraId="00CEE02A" w14:textId="56070D1D" w:rsidR="003622A2" w:rsidRPr="003622A2" w:rsidRDefault="003622A2" w:rsidP="00E3186C">
      <w:pPr>
        <w:tabs>
          <w:tab w:val="left" w:pos="4500"/>
        </w:tabs>
        <w:spacing w:after="240"/>
        <w:jc w:val="both"/>
      </w:pPr>
      <w:hyperlink r:id="rId43" w:history="1">
        <w:r w:rsidRPr="003622A2">
          <w:rPr>
            <w:rStyle w:val="Hipervnculo"/>
          </w:rPr>
          <w:t>STS, Sala Primera, 518/2025, de 1 de abril de 2025</w:t>
        </w:r>
      </w:hyperlink>
      <w:r>
        <w:t>. “</w:t>
      </w:r>
      <w:r w:rsidRPr="003622A2">
        <w:t>Nulidad de swap y de adquisición de obligaciones necesariamente convertibles en acciones de Banco Popular. Comienzo del plazo de ejercicio de la acción de nulidad: desde su consumación. Reiteración de jurisprudencia</w:t>
      </w:r>
      <w:r>
        <w:t xml:space="preserve">”. </w:t>
      </w:r>
    </w:p>
    <w:p w14:paraId="6663B1A1" w14:textId="7D4B25A4" w:rsidR="003622A2" w:rsidRPr="003622A2" w:rsidRDefault="003622A2" w:rsidP="00E3186C">
      <w:pPr>
        <w:tabs>
          <w:tab w:val="left" w:pos="4500"/>
        </w:tabs>
        <w:spacing w:after="240"/>
        <w:jc w:val="both"/>
      </w:pPr>
      <w:hyperlink r:id="rId44" w:history="1">
        <w:r w:rsidRPr="003622A2">
          <w:rPr>
            <w:rStyle w:val="Hipervnculo"/>
          </w:rPr>
          <w:t>STS, Sala Primera, 532/2025, de 2 de abril de 2025</w:t>
        </w:r>
      </w:hyperlink>
      <w:r>
        <w:t>. “</w:t>
      </w:r>
      <w:r w:rsidRPr="003622A2">
        <w:t>Nulidad de dos productos estructurados Tridente. Plazo de caducidad de la acción de nulidad. Deberes de información del banco demandado</w:t>
      </w:r>
      <w:r>
        <w:t xml:space="preserve">”. </w:t>
      </w:r>
    </w:p>
    <w:p w14:paraId="08625051" w14:textId="1080F5B6" w:rsidR="00BB1609" w:rsidRPr="00BB1609" w:rsidRDefault="00BB1609" w:rsidP="00E3186C">
      <w:pPr>
        <w:tabs>
          <w:tab w:val="left" w:pos="4500"/>
        </w:tabs>
        <w:spacing w:after="240"/>
        <w:jc w:val="both"/>
      </w:pPr>
      <w:hyperlink r:id="rId45" w:history="1">
        <w:r w:rsidRPr="00BB1609">
          <w:rPr>
            <w:rStyle w:val="Hipervnculo"/>
          </w:rPr>
          <w:t>STS, Sala Primera, 605/2025, de 21 de abril de 2025</w:t>
        </w:r>
      </w:hyperlink>
      <w:r>
        <w:t>. “</w:t>
      </w:r>
      <w:r w:rsidRPr="00BB1609">
        <w:t>Adquisición de bonos estructurados. Legitimación de la Asociación de Consumidores Auge: aplicación de la STJUE de 16 de enero de 2025 (C-346/23). Normativa MiFID, reiteración de la jurisprudencia de la sala</w:t>
      </w:r>
      <w:r>
        <w:t xml:space="preserve">”. </w:t>
      </w:r>
    </w:p>
    <w:p w14:paraId="248FE6AE" w14:textId="713BD6BB" w:rsidR="00BB1609" w:rsidRDefault="00BB1609" w:rsidP="00E3186C">
      <w:pPr>
        <w:tabs>
          <w:tab w:val="left" w:pos="4500"/>
        </w:tabs>
        <w:spacing w:after="240"/>
        <w:jc w:val="both"/>
      </w:pPr>
      <w:hyperlink r:id="rId46" w:history="1">
        <w:r w:rsidRPr="00BB1609">
          <w:rPr>
            <w:rStyle w:val="Hipervnculo"/>
          </w:rPr>
          <w:t>STS, Sala Primera, 622/2025, de 23 de abril de 2025</w:t>
        </w:r>
      </w:hyperlink>
      <w:r>
        <w:t>. “</w:t>
      </w:r>
      <w:r w:rsidRPr="00BB1609">
        <w:t>Acción de nulidad por error vicio en el consentimiento de contratos de crédito para la financiación de inversiones y de permuta o sustitución de los productos financieros inicialmente adquiridos. Legitimación de asociaciones de consumidores</w:t>
      </w:r>
      <w:r>
        <w:t xml:space="preserve">”. </w:t>
      </w:r>
    </w:p>
    <w:p w14:paraId="4E6EC91E" w14:textId="297018DF" w:rsidR="00BB1609" w:rsidRPr="00BB1609" w:rsidRDefault="00BB1609" w:rsidP="00E3186C">
      <w:pPr>
        <w:tabs>
          <w:tab w:val="left" w:pos="4500"/>
        </w:tabs>
        <w:spacing w:after="240"/>
        <w:jc w:val="both"/>
      </w:pPr>
      <w:hyperlink r:id="rId47" w:history="1">
        <w:r w:rsidRPr="00BB1609">
          <w:rPr>
            <w:rStyle w:val="Hipervnculo"/>
          </w:rPr>
          <w:t>STS, Sala Primera, 623/2025, de 23 de abril de 2025</w:t>
        </w:r>
      </w:hyperlink>
      <w:r>
        <w:t>. “</w:t>
      </w:r>
      <w:r w:rsidRPr="00BB1609">
        <w:t>Legitimación activa de AUGE en defensa de los intereses de sus asociados por contratación de productos financieros complejos. Modificación de jurisprudencia para adecuarla a la doctrina fijada por el TJUE. Indemnización de perjuicios</w:t>
      </w:r>
      <w:r>
        <w:t xml:space="preserve">”. </w:t>
      </w:r>
    </w:p>
    <w:p w14:paraId="6F69F46A" w14:textId="798F0399" w:rsidR="00F018BF" w:rsidRPr="00F018BF" w:rsidRDefault="00F018BF" w:rsidP="00E3186C">
      <w:pPr>
        <w:tabs>
          <w:tab w:val="left" w:pos="4500"/>
        </w:tabs>
        <w:spacing w:after="240"/>
        <w:jc w:val="both"/>
      </w:pPr>
      <w:hyperlink r:id="rId48" w:history="1">
        <w:r w:rsidRPr="00F018BF">
          <w:rPr>
            <w:rStyle w:val="Hipervnculo"/>
          </w:rPr>
          <w:t>STS, Sala Primera, 667/2025, de 5 de mayo de 2025</w:t>
        </w:r>
      </w:hyperlink>
      <w:r>
        <w:t>. “</w:t>
      </w:r>
      <w:r w:rsidRPr="00F018BF">
        <w:t>Productos financieros. Certificados de depósito de Triodos Bank. Deber de información al cliente minorista por la entidad que presta servicios de asesoramiento. Información adecuada sobre los riesgos. El cambio se hizo en beneficio de los inversores</w:t>
      </w:r>
      <w:r>
        <w:t xml:space="preserve">”. </w:t>
      </w:r>
    </w:p>
    <w:p w14:paraId="48984819" w14:textId="27F1C51F" w:rsidR="00745AE9" w:rsidRDefault="00745AE9" w:rsidP="00E3186C">
      <w:pPr>
        <w:tabs>
          <w:tab w:val="left" w:pos="4500"/>
        </w:tabs>
        <w:spacing w:after="240"/>
        <w:jc w:val="both"/>
      </w:pPr>
      <w:hyperlink r:id="rId49" w:history="1">
        <w:r w:rsidRPr="00745AE9">
          <w:rPr>
            <w:rStyle w:val="Hipervnculo"/>
          </w:rPr>
          <w:t>STS, Sala Primera, 760/2025, de 14 de mayo de 2025</w:t>
        </w:r>
      </w:hyperlink>
      <w:r>
        <w:t>. “</w:t>
      </w:r>
      <w:r w:rsidRPr="00745AE9">
        <w:t>Bonos estructurados y Valores Santander. Prescripción de la acción de indemnización de daños y perjuicios. Obligaciones de asesoramiento que incumben al banco, previas a la contratación del producto financiero</w:t>
      </w:r>
      <w:r>
        <w:t xml:space="preserve">”. </w:t>
      </w:r>
    </w:p>
    <w:p w14:paraId="4063489F" w14:textId="140C9D58" w:rsidR="00625770" w:rsidRDefault="00625770" w:rsidP="00E3186C">
      <w:pPr>
        <w:tabs>
          <w:tab w:val="left" w:pos="4500"/>
        </w:tabs>
        <w:spacing w:after="240"/>
        <w:jc w:val="both"/>
      </w:pPr>
      <w:hyperlink r:id="rId50" w:history="1">
        <w:r w:rsidRPr="00625770">
          <w:rPr>
            <w:rStyle w:val="Hipervnculo"/>
          </w:rPr>
          <w:t>STS, Sala Primera, 910/2025, de 9 de junio de 2025</w:t>
        </w:r>
      </w:hyperlink>
      <w:r>
        <w:t>. “</w:t>
      </w:r>
      <w:r w:rsidRPr="00625770">
        <w:t>Dies a quo del plazo de caducidad de la acción de anulación de la orden de compra de participaciones preferentes u obligaciones de deuda subordinada objeto de un canje acordado por el FROB. Inexistencia de perjuicio. Reiteración de jurisprudencia</w:t>
      </w:r>
      <w:r>
        <w:t xml:space="preserve">”. </w:t>
      </w:r>
    </w:p>
    <w:p w14:paraId="3E73861E" w14:textId="77777777" w:rsidR="00BB1609" w:rsidRDefault="00BB1609" w:rsidP="00E3186C">
      <w:pPr>
        <w:tabs>
          <w:tab w:val="left" w:pos="4500"/>
        </w:tabs>
        <w:spacing w:after="240"/>
        <w:jc w:val="both"/>
      </w:pPr>
    </w:p>
    <w:p w14:paraId="4F311D74" w14:textId="08DA4153" w:rsidR="00BB1609" w:rsidRDefault="00BB1609" w:rsidP="00E3186C">
      <w:pPr>
        <w:tabs>
          <w:tab w:val="left" w:pos="4500"/>
        </w:tabs>
        <w:spacing w:after="240"/>
        <w:jc w:val="both"/>
        <w:rPr>
          <w:b/>
          <w:bCs/>
        </w:rPr>
      </w:pPr>
      <w:r>
        <w:rPr>
          <w:b/>
          <w:bCs/>
        </w:rPr>
        <w:t>Cláusula penal en contrato de arrendamiento financiero</w:t>
      </w:r>
    </w:p>
    <w:p w14:paraId="42B033B6" w14:textId="656DE761" w:rsidR="00BB1609" w:rsidRPr="00BB1609" w:rsidRDefault="00BB1609" w:rsidP="00E3186C">
      <w:pPr>
        <w:tabs>
          <w:tab w:val="left" w:pos="4500"/>
        </w:tabs>
        <w:spacing w:after="240"/>
        <w:jc w:val="both"/>
      </w:pPr>
      <w:hyperlink r:id="rId51" w:history="1">
        <w:r w:rsidRPr="00BB1609">
          <w:rPr>
            <w:rStyle w:val="Hipervnculo"/>
          </w:rPr>
          <w:t>STS, Sala Primera, 626/2025, de 28 de abril de 2025</w:t>
        </w:r>
      </w:hyperlink>
      <w:r w:rsidRPr="00BB1609">
        <w:t>. “Cláusula penal en contrato de arrendamiento financiero. Desproporción de la penalización. Carácter abusivo de la cláusula</w:t>
      </w:r>
      <w:r>
        <w:t xml:space="preserve">”. </w:t>
      </w:r>
    </w:p>
    <w:p w14:paraId="3266DC8D" w14:textId="77777777" w:rsidR="00B3601D" w:rsidRDefault="00B3601D" w:rsidP="00B655CE">
      <w:pPr>
        <w:spacing w:after="240"/>
        <w:jc w:val="both"/>
      </w:pPr>
    </w:p>
    <w:p w14:paraId="278C9151" w14:textId="53459EB2" w:rsidR="00DF2CD3" w:rsidRDefault="00DF2CD3" w:rsidP="00B655CE">
      <w:pPr>
        <w:spacing w:after="240"/>
        <w:jc w:val="both"/>
        <w:rPr>
          <w:b/>
          <w:bCs/>
        </w:rPr>
      </w:pPr>
      <w:r>
        <w:rPr>
          <w:b/>
          <w:bCs/>
        </w:rPr>
        <w:lastRenderedPageBreak/>
        <w:t>Contrato de banca electrónica</w:t>
      </w:r>
    </w:p>
    <w:p w14:paraId="0318BB39" w14:textId="19720569" w:rsidR="00DF2CD3" w:rsidRPr="00DF2CD3" w:rsidRDefault="00DF2CD3" w:rsidP="00B655CE">
      <w:pPr>
        <w:spacing w:after="240"/>
        <w:jc w:val="both"/>
      </w:pPr>
      <w:hyperlink r:id="rId52" w:history="1">
        <w:r w:rsidRPr="00DF2CD3">
          <w:rPr>
            <w:rStyle w:val="Hipervnculo"/>
          </w:rPr>
          <w:t>STS, Sala Primera, 571/2025, de 9 de abril de 2025</w:t>
        </w:r>
      </w:hyperlink>
      <w:r>
        <w:t>. “</w:t>
      </w:r>
      <w:r w:rsidRPr="00DF2CD3">
        <w:t>Acción de responsabilidad contractual frente a Ibercaja Banco S.A., en reclamación de los daños y perjuicios causados por el incumplimiento de las obligaciones asumidas por la demandada en el contrato de banca electrónica</w:t>
      </w:r>
      <w:r>
        <w:t xml:space="preserve">”. </w:t>
      </w:r>
    </w:p>
    <w:p w14:paraId="5061DFC3" w14:textId="77777777" w:rsidR="00DF2CD3" w:rsidRDefault="00DF2CD3" w:rsidP="00B655CE">
      <w:pPr>
        <w:spacing w:after="240"/>
        <w:jc w:val="both"/>
        <w:rPr>
          <w:b/>
          <w:bCs/>
        </w:rPr>
      </w:pPr>
    </w:p>
    <w:p w14:paraId="6CECBE2E" w14:textId="4737177A" w:rsidR="00A63F8A" w:rsidRDefault="00A63F8A" w:rsidP="00B655CE">
      <w:pPr>
        <w:spacing w:after="240"/>
        <w:jc w:val="both"/>
        <w:rPr>
          <w:b/>
          <w:bCs/>
        </w:rPr>
      </w:pPr>
      <w:r w:rsidRPr="00A63F8A">
        <w:rPr>
          <w:b/>
          <w:bCs/>
        </w:rPr>
        <w:t>Compraventa de viviendas. Devolución de anticipos</w:t>
      </w:r>
    </w:p>
    <w:p w14:paraId="18DC42BB" w14:textId="7A97291B" w:rsidR="003622A2" w:rsidRPr="003622A2" w:rsidRDefault="003622A2" w:rsidP="00B655CE">
      <w:pPr>
        <w:spacing w:after="240"/>
        <w:jc w:val="both"/>
      </w:pPr>
      <w:hyperlink r:id="rId53" w:history="1">
        <w:r w:rsidRPr="003622A2">
          <w:rPr>
            <w:rStyle w:val="Hipervnculo"/>
          </w:rPr>
          <w:t>STS, Sala Primera, 526/2025, de 1 de abril de 2025</w:t>
        </w:r>
      </w:hyperlink>
      <w:r>
        <w:t>. “</w:t>
      </w:r>
      <w:r w:rsidRPr="003622A2">
        <w:t>Restitución de cantidades anticipadas por los compradores de viviendas en construcción. Ámbito de aplicación del régimen de garantías de la Ley 57/1968 frente a la entidad bancaria avalista colectiva. Reiteración de jurisprudencia</w:t>
      </w:r>
      <w:r>
        <w:t xml:space="preserve">”. </w:t>
      </w:r>
    </w:p>
    <w:p w14:paraId="2816D151" w14:textId="7B51C224" w:rsidR="003622A2" w:rsidRPr="003622A2" w:rsidRDefault="003622A2" w:rsidP="00B655CE">
      <w:pPr>
        <w:spacing w:after="240"/>
        <w:jc w:val="both"/>
      </w:pPr>
      <w:hyperlink r:id="rId54" w:history="1">
        <w:r w:rsidRPr="003622A2">
          <w:rPr>
            <w:rStyle w:val="Hipervnculo"/>
          </w:rPr>
          <w:t>STS, Sala Primera, 528/2025, de 1 de abril de 2025</w:t>
        </w:r>
      </w:hyperlink>
      <w:r>
        <w:t>. “</w:t>
      </w:r>
      <w:r w:rsidRPr="003622A2">
        <w:t>Ley 57/1968. El aval garantiza la devolución de los anticipos porque es cosa juzgada, en virtud de sentencia firme dictada en el seno del concurso de la promotora, que el contrato se resolvió por incumplir la promotora su obligación de entrega efectiva</w:t>
      </w:r>
      <w:r>
        <w:t xml:space="preserve">”. </w:t>
      </w:r>
    </w:p>
    <w:p w14:paraId="7460CB95" w14:textId="5365307D" w:rsidR="003622A2" w:rsidRPr="003622A2" w:rsidRDefault="003622A2" w:rsidP="00B655CE">
      <w:pPr>
        <w:spacing w:after="240"/>
        <w:jc w:val="both"/>
      </w:pPr>
      <w:hyperlink r:id="rId55" w:history="1">
        <w:r w:rsidRPr="003622A2">
          <w:rPr>
            <w:rStyle w:val="Hipervnculo"/>
          </w:rPr>
          <w:t>STS, Sala Primera, 529/2025, de 1 de abril de 2025</w:t>
        </w:r>
      </w:hyperlink>
      <w:r>
        <w:t>. “</w:t>
      </w:r>
      <w:r w:rsidRPr="003622A2">
        <w:t>Ley 57/1968. Cantidades entregadas a cuenta: devengo del interés legal. Improcedencia de apreciar retraso desleal en el ejercicio de la acción para fijar el término final de su devengo en la fecha en que debieron entregarse las viviendas</w:t>
      </w:r>
      <w:r>
        <w:t xml:space="preserve">”. </w:t>
      </w:r>
    </w:p>
    <w:p w14:paraId="11AC9056" w14:textId="129B3DFD" w:rsidR="00F018BF" w:rsidRPr="00F018BF" w:rsidRDefault="00F018BF" w:rsidP="00B655CE">
      <w:pPr>
        <w:spacing w:after="240"/>
        <w:jc w:val="both"/>
      </w:pPr>
      <w:hyperlink r:id="rId56" w:history="1">
        <w:r w:rsidRPr="00F018BF">
          <w:rPr>
            <w:rStyle w:val="Hipervnculo"/>
          </w:rPr>
          <w:t>STS, Sala Primera, 672/2025, de 5 de mayo de 2025</w:t>
        </w:r>
      </w:hyperlink>
      <w:r>
        <w:t>. “</w:t>
      </w:r>
      <w:r w:rsidRPr="00F018BF">
        <w:t>Reiteración de jurisprudencia.</w:t>
      </w:r>
      <w:r>
        <w:t xml:space="preserve"> </w:t>
      </w:r>
      <w:r w:rsidRPr="00F018BF">
        <w:t>Ley 57/1968. Restitución de cantidades anticipadas por los compradores de viviendas en construcción</w:t>
      </w:r>
      <w:r>
        <w:t xml:space="preserve">”. </w:t>
      </w:r>
    </w:p>
    <w:p w14:paraId="595C86E1" w14:textId="77777777" w:rsidR="00DB3973" w:rsidRDefault="00DB3973" w:rsidP="00B655CE">
      <w:pPr>
        <w:spacing w:after="240"/>
        <w:jc w:val="both"/>
        <w:rPr>
          <w:b/>
          <w:bCs/>
        </w:rPr>
      </w:pPr>
    </w:p>
    <w:p w14:paraId="486877C5" w14:textId="77777777" w:rsidR="00AA0B0B" w:rsidRDefault="00AA0B0B" w:rsidP="00B655CE">
      <w:pPr>
        <w:spacing w:after="240"/>
        <w:jc w:val="both"/>
        <w:rPr>
          <w:b/>
          <w:bCs/>
        </w:rPr>
      </w:pPr>
    </w:p>
    <w:p w14:paraId="5E7E22BD" w14:textId="48C8DF4F" w:rsidR="00451AF4" w:rsidRPr="009A2B29" w:rsidRDefault="00000000" w:rsidP="009A2B29">
      <w:pPr>
        <w:spacing w:after="240"/>
        <w:jc w:val="center"/>
        <w:rPr>
          <w:b/>
          <w:bCs/>
          <w:sz w:val="28"/>
          <w:szCs w:val="28"/>
          <w:highlight w:val="yellow"/>
        </w:rPr>
      </w:pPr>
      <w:r>
        <w:rPr>
          <w:noProof/>
        </w:rPr>
        <w:pict w14:anchorId="26BA0E7D">
          <v:rect id="_x0000_i1028" alt="" style="width:425.2pt;height:.05pt;mso-width-percent:0;mso-height-percent:0;mso-width-percent:0;mso-height-percent:0" o:hralign="center" o:hrstd="t" o:hr="t" fillcolor="#a0a0a0" stroked="f"/>
        </w:pict>
      </w:r>
    </w:p>
    <w:p w14:paraId="46E7A2F4" w14:textId="1B655AFF" w:rsidR="004B3BE8" w:rsidRDefault="004B3BE8" w:rsidP="002C2DB9">
      <w:pPr>
        <w:ind w:right="-1"/>
        <w:jc w:val="both"/>
        <w:rPr>
          <w:bCs/>
          <w:color w:val="000000" w:themeColor="text1"/>
        </w:rPr>
      </w:pPr>
    </w:p>
    <w:p w14:paraId="1A60B6B7" w14:textId="0B4E484D" w:rsidR="00821C18" w:rsidRDefault="00821C18" w:rsidP="002C2DB9">
      <w:pPr>
        <w:ind w:right="-1"/>
        <w:jc w:val="both"/>
        <w:rPr>
          <w:bCs/>
          <w:color w:val="000000" w:themeColor="text1"/>
        </w:rPr>
      </w:pPr>
    </w:p>
    <w:p w14:paraId="55385FD4" w14:textId="77777777" w:rsidR="00821C18" w:rsidRDefault="00821C18" w:rsidP="002C2DB9">
      <w:pPr>
        <w:ind w:right="-1"/>
        <w:jc w:val="both"/>
        <w:rPr>
          <w:bCs/>
          <w:color w:val="000000" w:themeColor="text1"/>
        </w:rPr>
      </w:pPr>
    </w:p>
    <w:p w14:paraId="5C72696F" w14:textId="5004AE8B" w:rsidR="004B3BE8" w:rsidRDefault="004B3BE8" w:rsidP="004B3BE8">
      <w:pPr>
        <w:ind w:right="-1"/>
        <w:jc w:val="center"/>
        <w:rPr>
          <w:b/>
          <w:color w:val="000000" w:themeColor="text1"/>
          <w:sz w:val="28"/>
          <w:szCs w:val="28"/>
        </w:rPr>
      </w:pPr>
      <w:r>
        <w:rPr>
          <w:b/>
          <w:color w:val="000000" w:themeColor="text1"/>
          <w:sz w:val="28"/>
          <w:szCs w:val="28"/>
        </w:rPr>
        <w:t>DIRECCIÓN GENERAL DE SEGURIDAD JURÍDICA Y FE PÚBLICA</w:t>
      </w:r>
    </w:p>
    <w:p w14:paraId="5EA8D81F" w14:textId="77777777" w:rsidR="004C3B8A" w:rsidRDefault="004C3B8A" w:rsidP="004B3BE8">
      <w:pPr>
        <w:ind w:right="-1"/>
        <w:jc w:val="center"/>
        <w:rPr>
          <w:b/>
          <w:color w:val="000000" w:themeColor="text1"/>
          <w:sz w:val="28"/>
          <w:szCs w:val="28"/>
        </w:rPr>
      </w:pPr>
    </w:p>
    <w:p w14:paraId="3BDA244C" w14:textId="3AAF3AE5" w:rsidR="004B3BE8" w:rsidRDefault="004B3BE8" w:rsidP="004B3BE8">
      <w:pPr>
        <w:ind w:right="-1"/>
        <w:jc w:val="center"/>
        <w:rPr>
          <w:b/>
          <w:color w:val="000000" w:themeColor="text1"/>
          <w:sz w:val="28"/>
          <w:szCs w:val="28"/>
        </w:rPr>
      </w:pPr>
    </w:p>
    <w:p w14:paraId="7F5AA0A8" w14:textId="6CC52005" w:rsidR="009312D9" w:rsidRPr="009312D9" w:rsidRDefault="009312D9" w:rsidP="009312D9">
      <w:pPr>
        <w:ind w:right="-1"/>
        <w:jc w:val="both"/>
        <w:rPr>
          <w:bCs/>
          <w:color w:val="000000" w:themeColor="text1"/>
        </w:rPr>
      </w:pPr>
      <w:hyperlink r:id="rId57" w:history="1">
        <w:r w:rsidRPr="009312D9">
          <w:rPr>
            <w:rStyle w:val="Hipervnculo"/>
            <w:bCs/>
          </w:rPr>
          <w:t>Resolución de 13 de junio de 2025</w:t>
        </w:r>
      </w:hyperlink>
      <w:r>
        <w:rPr>
          <w:bCs/>
          <w:color w:val="000000" w:themeColor="text1"/>
        </w:rPr>
        <w:t xml:space="preserve">, </w:t>
      </w:r>
      <w:r w:rsidRPr="009312D9">
        <w:rPr>
          <w:bCs/>
          <w:color w:val="000000" w:themeColor="text1"/>
        </w:rPr>
        <w:t>de la Dirección General de Seguridad Jurídica y Fe Pública, en el recurso interpuesto contra la calificación de la registradora de la propiedad de Vitoria n.º 5, por la que se suspende parcialmente la inscripción de una escritura de préstamo hipotecario</w:t>
      </w:r>
      <w:r>
        <w:rPr>
          <w:bCs/>
          <w:color w:val="000000" w:themeColor="text1"/>
        </w:rPr>
        <w:t xml:space="preserve"> </w:t>
      </w:r>
      <w:r w:rsidRPr="009312D9">
        <w:rPr>
          <w:bCs/>
          <w:color w:val="000000" w:themeColor="text1"/>
        </w:rPr>
        <w:t xml:space="preserve">(en </w:t>
      </w:r>
      <w:hyperlink r:id="rId58" w:history="1">
        <w:r w:rsidRPr="00AA0B0B">
          <w:rPr>
            <w:rStyle w:val="Hipervnculo"/>
            <w:bCs/>
          </w:rPr>
          <w:t>web NN&amp;RR</w:t>
        </w:r>
      </w:hyperlink>
      <w:r w:rsidRPr="009312D9">
        <w:rPr>
          <w:bCs/>
          <w:color w:val="000000" w:themeColor="text1"/>
        </w:rPr>
        <w:t xml:space="preserve">). </w:t>
      </w:r>
    </w:p>
    <w:p w14:paraId="665A6607" w14:textId="77777777" w:rsidR="009312D9" w:rsidRDefault="009312D9" w:rsidP="004B3BE8">
      <w:pPr>
        <w:ind w:right="-1"/>
        <w:jc w:val="center"/>
        <w:rPr>
          <w:b/>
          <w:color w:val="000000" w:themeColor="text1"/>
          <w:sz w:val="28"/>
          <w:szCs w:val="28"/>
        </w:rPr>
      </w:pPr>
    </w:p>
    <w:p w14:paraId="4DA52B4F" w14:textId="1CF58BFE" w:rsidR="009312D9" w:rsidRPr="009312D9" w:rsidRDefault="009312D9" w:rsidP="009312D9">
      <w:pPr>
        <w:ind w:right="-1"/>
        <w:jc w:val="both"/>
        <w:rPr>
          <w:b/>
          <w:color w:val="000000" w:themeColor="text1"/>
        </w:rPr>
      </w:pPr>
    </w:p>
    <w:p w14:paraId="162DA0CE" w14:textId="77777777" w:rsidR="004C3B8A" w:rsidRDefault="004C3B8A" w:rsidP="004B3BE8">
      <w:pPr>
        <w:ind w:right="-1"/>
        <w:jc w:val="both"/>
        <w:rPr>
          <w:bCs/>
          <w:color w:val="000000" w:themeColor="text1"/>
        </w:rPr>
      </w:pPr>
    </w:p>
    <w:p w14:paraId="76F1BEB6" w14:textId="77777777" w:rsidR="004C3B8A" w:rsidRPr="004C3B8A" w:rsidRDefault="004C3B8A" w:rsidP="004B3BE8">
      <w:pPr>
        <w:ind w:right="-1"/>
        <w:jc w:val="both"/>
        <w:rPr>
          <w:bCs/>
          <w:color w:val="000000" w:themeColor="text1"/>
        </w:rPr>
      </w:pPr>
    </w:p>
    <w:p w14:paraId="250B8690" w14:textId="77777777" w:rsidR="00821C18" w:rsidRDefault="00821C18" w:rsidP="004B3BE8">
      <w:pPr>
        <w:ind w:right="-1"/>
        <w:jc w:val="both"/>
        <w:rPr>
          <w:bCs/>
          <w:color w:val="000000" w:themeColor="text1"/>
        </w:rPr>
      </w:pPr>
    </w:p>
    <w:p w14:paraId="73BFF145" w14:textId="0E9D9BFC" w:rsidR="00821C18" w:rsidRPr="004B3BE8" w:rsidRDefault="00821C18" w:rsidP="004B3BE8">
      <w:pPr>
        <w:ind w:right="-1"/>
        <w:jc w:val="both"/>
        <w:rPr>
          <w:bCs/>
          <w:color w:val="000000" w:themeColor="text1"/>
        </w:rPr>
      </w:pPr>
      <w:r>
        <w:rPr>
          <w:bCs/>
          <w:color w:val="000000" w:themeColor="text1"/>
        </w:rPr>
        <w:t xml:space="preserve"> </w:t>
      </w:r>
    </w:p>
    <w:sectPr w:rsidR="00821C18" w:rsidRPr="004B3BE8" w:rsidSect="008348BF">
      <w:footerReference w:type="default" r:id="rId59"/>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1A136" w14:textId="77777777" w:rsidR="004B1FD8" w:rsidRDefault="004B1FD8" w:rsidP="000562B1">
      <w:r>
        <w:separator/>
      </w:r>
    </w:p>
  </w:endnote>
  <w:endnote w:type="continuationSeparator" w:id="0">
    <w:p w14:paraId="19E03115" w14:textId="77777777" w:rsidR="004B1FD8" w:rsidRDefault="004B1FD8" w:rsidP="0005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D446A" w14:textId="77777777" w:rsidR="004B1FD8" w:rsidRDefault="004B1FD8" w:rsidP="000562B1">
      <w:r>
        <w:separator/>
      </w:r>
    </w:p>
  </w:footnote>
  <w:footnote w:type="continuationSeparator" w:id="0">
    <w:p w14:paraId="767DBC11" w14:textId="77777777" w:rsidR="004B1FD8" w:rsidRDefault="004B1FD8" w:rsidP="00056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2441CA"/>
    <w:multiLevelType w:val="hybridMultilevel"/>
    <w:tmpl w:val="7AC4537A"/>
    <w:lvl w:ilvl="0" w:tplc="471E95E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99F5071"/>
    <w:multiLevelType w:val="hybridMultilevel"/>
    <w:tmpl w:val="158C246C"/>
    <w:lvl w:ilvl="0" w:tplc="F3080ADC">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6D145F24"/>
    <w:multiLevelType w:val="hybridMultilevel"/>
    <w:tmpl w:val="D308732C"/>
    <w:lvl w:ilvl="0" w:tplc="643E15FC">
      <w:start w:val="1"/>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CBC1C0F"/>
    <w:multiLevelType w:val="hybridMultilevel"/>
    <w:tmpl w:val="8B8E37E0"/>
    <w:lvl w:ilvl="0" w:tplc="23560D96">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50885556">
    <w:abstractNumId w:val="15"/>
  </w:num>
  <w:num w:numId="2" w16cid:durableId="161898188">
    <w:abstractNumId w:val="0"/>
  </w:num>
  <w:num w:numId="3" w16cid:durableId="438574505">
    <w:abstractNumId w:val="13"/>
  </w:num>
  <w:num w:numId="4" w16cid:durableId="1700349985">
    <w:abstractNumId w:val="6"/>
  </w:num>
  <w:num w:numId="5" w16cid:durableId="726418586">
    <w:abstractNumId w:val="2"/>
  </w:num>
  <w:num w:numId="6" w16cid:durableId="2101562868">
    <w:abstractNumId w:val="4"/>
  </w:num>
  <w:num w:numId="7" w16cid:durableId="55979577">
    <w:abstractNumId w:val="1"/>
  </w:num>
  <w:num w:numId="8" w16cid:durableId="774132843">
    <w:abstractNumId w:val="3"/>
  </w:num>
  <w:num w:numId="9" w16cid:durableId="995571696">
    <w:abstractNumId w:val="8"/>
  </w:num>
  <w:num w:numId="10" w16cid:durableId="537862301">
    <w:abstractNumId w:val="10"/>
  </w:num>
  <w:num w:numId="11" w16cid:durableId="681246970">
    <w:abstractNumId w:val="14"/>
  </w:num>
  <w:num w:numId="12" w16cid:durableId="1900821912">
    <w:abstractNumId w:val="5"/>
  </w:num>
  <w:num w:numId="13" w16cid:durableId="1992513075">
    <w:abstractNumId w:val="11"/>
  </w:num>
  <w:num w:numId="14" w16cid:durableId="826017279">
    <w:abstractNumId w:val="12"/>
  </w:num>
  <w:num w:numId="15" w16cid:durableId="625966765">
    <w:abstractNumId w:val="16"/>
  </w:num>
  <w:num w:numId="16" w16cid:durableId="862860452">
    <w:abstractNumId w:val="7"/>
  </w:num>
  <w:num w:numId="17" w16cid:durableId="21308591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06585"/>
    <w:rsid w:val="0001261B"/>
    <w:rsid w:val="000132EC"/>
    <w:rsid w:val="000148EA"/>
    <w:rsid w:val="00020F4E"/>
    <w:rsid w:val="0002281F"/>
    <w:rsid w:val="00023371"/>
    <w:rsid w:val="00023D79"/>
    <w:rsid w:val="00025F28"/>
    <w:rsid w:val="000260EA"/>
    <w:rsid w:val="000261CD"/>
    <w:rsid w:val="00033A21"/>
    <w:rsid w:val="00033CB2"/>
    <w:rsid w:val="00036BBC"/>
    <w:rsid w:val="00036CB1"/>
    <w:rsid w:val="00037ECF"/>
    <w:rsid w:val="000428A8"/>
    <w:rsid w:val="0004481A"/>
    <w:rsid w:val="00045895"/>
    <w:rsid w:val="0004700D"/>
    <w:rsid w:val="00047917"/>
    <w:rsid w:val="000503EC"/>
    <w:rsid w:val="000516D8"/>
    <w:rsid w:val="000523A3"/>
    <w:rsid w:val="00054FB7"/>
    <w:rsid w:val="00055DCF"/>
    <w:rsid w:val="000562B1"/>
    <w:rsid w:val="00056D06"/>
    <w:rsid w:val="000630D2"/>
    <w:rsid w:val="00064ADC"/>
    <w:rsid w:val="0006715A"/>
    <w:rsid w:val="00080E3E"/>
    <w:rsid w:val="000842D0"/>
    <w:rsid w:val="00087618"/>
    <w:rsid w:val="00091C1F"/>
    <w:rsid w:val="00092150"/>
    <w:rsid w:val="00092F2B"/>
    <w:rsid w:val="000A28D2"/>
    <w:rsid w:val="000A66D1"/>
    <w:rsid w:val="000B0780"/>
    <w:rsid w:val="000B0A5D"/>
    <w:rsid w:val="000B5305"/>
    <w:rsid w:val="000C03B5"/>
    <w:rsid w:val="000C1C9A"/>
    <w:rsid w:val="000C29EB"/>
    <w:rsid w:val="000C5244"/>
    <w:rsid w:val="000D2B7E"/>
    <w:rsid w:val="000D30BF"/>
    <w:rsid w:val="000D7986"/>
    <w:rsid w:val="000E09B2"/>
    <w:rsid w:val="000E1594"/>
    <w:rsid w:val="000F1465"/>
    <w:rsid w:val="000F487E"/>
    <w:rsid w:val="000F7FE0"/>
    <w:rsid w:val="001003C3"/>
    <w:rsid w:val="00101146"/>
    <w:rsid w:val="001019C5"/>
    <w:rsid w:val="00101C22"/>
    <w:rsid w:val="00102EA3"/>
    <w:rsid w:val="00104F0A"/>
    <w:rsid w:val="001056D4"/>
    <w:rsid w:val="001175FF"/>
    <w:rsid w:val="00120D0B"/>
    <w:rsid w:val="0012310A"/>
    <w:rsid w:val="001243F0"/>
    <w:rsid w:val="0012496D"/>
    <w:rsid w:val="001269ED"/>
    <w:rsid w:val="001315E9"/>
    <w:rsid w:val="00133E4A"/>
    <w:rsid w:val="00134193"/>
    <w:rsid w:val="001342BF"/>
    <w:rsid w:val="001355D9"/>
    <w:rsid w:val="00137D74"/>
    <w:rsid w:val="00141E34"/>
    <w:rsid w:val="001426E9"/>
    <w:rsid w:val="001427D2"/>
    <w:rsid w:val="00146B56"/>
    <w:rsid w:val="0015251B"/>
    <w:rsid w:val="00152B3F"/>
    <w:rsid w:val="0016024A"/>
    <w:rsid w:val="00161DEB"/>
    <w:rsid w:val="001630E8"/>
    <w:rsid w:val="00165179"/>
    <w:rsid w:val="001661B9"/>
    <w:rsid w:val="0017035A"/>
    <w:rsid w:val="0017254F"/>
    <w:rsid w:val="00175C7E"/>
    <w:rsid w:val="00177205"/>
    <w:rsid w:val="00177AEC"/>
    <w:rsid w:val="00181687"/>
    <w:rsid w:val="001832F8"/>
    <w:rsid w:val="00193378"/>
    <w:rsid w:val="0019626A"/>
    <w:rsid w:val="00197F42"/>
    <w:rsid w:val="001A0218"/>
    <w:rsid w:val="001A34D0"/>
    <w:rsid w:val="001A4784"/>
    <w:rsid w:val="001A5CEC"/>
    <w:rsid w:val="001A65B0"/>
    <w:rsid w:val="001B39D6"/>
    <w:rsid w:val="001B66EC"/>
    <w:rsid w:val="001C29AF"/>
    <w:rsid w:val="001C6BB5"/>
    <w:rsid w:val="001C7752"/>
    <w:rsid w:val="001D2A5A"/>
    <w:rsid w:val="001D599B"/>
    <w:rsid w:val="001E467C"/>
    <w:rsid w:val="001E50D5"/>
    <w:rsid w:val="001E705B"/>
    <w:rsid w:val="00205FBC"/>
    <w:rsid w:val="00213A15"/>
    <w:rsid w:val="0021486E"/>
    <w:rsid w:val="00215B27"/>
    <w:rsid w:val="0022401C"/>
    <w:rsid w:val="00226C2F"/>
    <w:rsid w:val="002321F9"/>
    <w:rsid w:val="00234A10"/>
    <w:rsid w:val="00236E9B"/>
    <w:rsid w:val="0024550F"/>
    <w:rsid w:val="00250FE2"/>
    <w:rsid w:val="002523D3"/>
    <w:rsid w:val="00253626"/>
    <w:rsid w:val="00253F67"/>
    <w:rsid w:val="002578B0"/>
    <w:rsid w:val="002664A5"/>
    <w:rsid w:val="00274E63"/>
    <w:rsid w:val="00277E42"/>
    <w:rsid w:val="0028255D"/>
    <w:rsid w:val="00282C9D"/>
    <w:rsid w:val="002831C1"/>
    <w:rsid w:val="00291147"/>
    <w:rsid w:val="002920B4"/>
    <w:rsid w:val="0029296C"/>
    <w:rsid w:val="00293233"/>
    <w:rsid w:val="0029421E"/>
    <w:rsid w:val="0029550E"/>
    <w:rsid w:val="00295F80"/>
    <w:rsid w:val="002968D2"/>
    <w:rsid w:val="002A11EF"/>
    <w:rsid w:val="002A1C6A"/>
    <w:rsid w:val="002B1E17"/>
    <w:rsid w:val="002B2E72"/>
    <w:rsid w:val="002B3E1B"/>
    <w:rsid w:val="002B7051"/>
    <w:rsid w:val="002B7203"/>
    <w:rsid w:val="002C1D4A"/>
    <w:rsid w:val="002C2DB9"/>
    <w:rsid w:val="002C300B"/>
    <w:rsid w:val="002C3D5D"/>
    <w:rsid w:val="002D39CF"/>
    <w:rsid w:val="002E4D27"/>
    <w:rsid w:val="003102CA"/>
    <w:rsid w:val="00311C89"/>
    <w:rsid w:val="0031312C"/>
    <w:rsid w:val="00320972"/>
    <w:rsid w:val="0032124C"/>
    <w:rsid w:val="00324CCA"/>
    <w:rsid w:val="00326C94"/>
    <w:rsid w:val="00330ED4"/>
    <w:rsid w:val="00331A7A"/>
    <w:rsid w:val="00332EB9"/>
    <w:rsid w:val="00333940"/>
    <w:rsid w:val="00335937"/>
    <w:rsid w:val="00335C17"/>
    <w:rsid w:val="00344484"/>
    <w:rsid w:val="00350904"/>
    <w:rsid w:val="00354663"/>
    <w:rsid w:val="0035555D"/>
    <w:rsid w:val="00361AE5"/>
    <w:rsid w:val="00361DBD"/>
    <w:rsid w:val="003622A2"/>
    <w:rsid w:val="003662F8"/>
    <w:rsid w:val="00366A46"/>
    <w:rsid w:val="0036702B"/>
    <w:rsid w:val="00371B60"/>
    <w:rsid w:val="00374843"/>
    <w:rsid w:val="00375149"/>
    <w:rsid w:val="0038090B"/>
    <w:rsid w:val="003814E9"/>
    <w:rsid w:val="00382342"/>
    <w:rsid w:val="003871CA"/>
    <w:rsid w:val="00390B60"/>
    <w:rsid w:val="00394B3C"/>
    <w:rsid w:val="0039501D"/>
    <w:rsid w:val="003A053C"/>
    <w:rsid w:val="003A75CE"/>
    <w:rsid w:val="003A7DD6"/>
    <w:rsid w:val="003B18F4"/>
    <w:rsid w:val="003B1DBA"/>
    <w:rsid w:val="003B4B7D"/>
    <w:rsid w:val="003B5E26"/>
    <w:rsid w:val="003B64E6"/>
    <w:rsid w:val="003B6A79"/>
    <w:rsid w:val="003C10C7"/>
    <w:rsid w:val="003C3202"/>
    <w:rsid w:val="003C4F44"/>
    <w:rsid w:val="003C7E66"/>
    <w:rsid w:val="003D1215"/>
    <w:rsid w:val="003D146F"/>
    <w:rsid w:val="003D1768"/>
    <w:rsid w:val="003D2EB7"/>
    <w:rsid w:val="003D4582"/>
    <w:rsid w:val="003D575B"/>
    <w:rsid w:val="003D5808"/>
    <w:rsid w:val="003E0A54"/>
    <w:rsid w:val="003E0E19"/>
    <w:rsid w:val="003E66AA"/>
    <w:rsid w:val="003E79C6"/>
    <w:rsid w:val="003F3C4D"/>
    <w:rsid w:val="003F44BD"/>
    <w:rsid w:val="003F49BB"/>
    <w:rsid w:val="003F4BCA"/>
    <w:rsid w:val="003F5D08"/>
    <w:rsid w:val="003F5DB5"/>
    <w:rsid w:val="00401E34"/>
    <w:rsid w:val="00406207"/>
    <w:rsid w:val="00406C6B"/>
    <w:rsid w:val="00410FE1"/>
    <w:rsid w:val="004132F9"/>
    <w:rsid w:val="004154E4"/>
    <w:rsid w:val="004158D3"/>
    <w:rsid w:val="004165FA"/>
    <w:rsid w:val="00423257"/>
    <w:rsid w:val="00423FD0"/>
    <w:rsid w:val="00425F18"/>
    <w:rsid w:val="00426FB5"/>
    <w:rsid w:val="00427094"/>
    <w:rsid w:val="00432663"/>
    <w:rsid w:val="00440EC2"/>
    <w:rsid w:val="00445746"/>
    <w:rsid w:val="00445A7A"/>
    <w:rsid w:val="004501EC"/>
    <w:rsid w:val="00450241"/>
    <w:rsid w:val="00451AF4"/>
    <w:rsid w:val="0045575C"/>
    <w:rsid w:val="00460642"/>
    <w:rsid w:val="00460A2B"/>
    <w:rsid w:val="0046122C"/>
    <w:rsid w:val="0046521D"/>
    <w:rsid w:val="00466F15"/>
    <w:rsid w:val="00470BF9"/>
    <w:rsid w:val="00474518"/>
    <w:rsid w:val="00474CF6"/>
    <w:rsid w:val="00480480"/>
    <w:rsid w:val="0048273A"/>
    <w:rsid w:val="00493DA0"/>
    <w:rsid w:val="00495CD3"/>
    <w:rsid w:val="00495F36"/>
    <w:rsid w:val="004A1086"/>
    <w:rsid w:val="004A2D44"/>
    <w:rsid w:val="004A67EC"/>
    <w:rsid w:val="004B17F0"/>
    <w:rsid w:val="004B1FD8"/>
    <w:rsid w:val="004B2857"/>
    <w:rsid w:val="004B3BE8"/>
    <w:rsid w:val="004C11CD"/>
    <w:rsid w:val="004C3B8A"/>
    <w:rsid w:val="004C42FE"/>
    <w:rsid w:val="004C499E"/>
    <w:rsid w:val="004C7740"/>
    <w:rsid w:val="004D0941"/>
    <w:rsid w:val="004D3353"/>
    <w:rsid w:val="004D4FDA"/>
    <w:rsid w:val="004D794A"/>
    <w:rsid w:val="004E2966"/>
    <w:rsid w:val="004F09FF"/>
    <w:rsid w:val="004F1964"/>
    <w:rsid w:val="004F32B8"/>
    <w:rsid w:val="004F4ACF"/>
    <w:rsid w:val="004F749B"/>
    <w:rsid w:val="005054E9"/>
    <w:rsid w:val="005058C6"/>
    <w:rsid w:val="0051297C"/>
    <w:rsid w:val="00514DB2"/>
    <w:rsid w:val="00517B2D"/>
    <w:rsid w:val="0052180D"/>
    <w:rsid w:val="0052340C"/>
    <w:rsid w:val="00537598"/>
    <w:rsid w:val="0055001F"/>
    <w:rsid w:val="0055152E"/>
    <w:rsid w:val="005524C4"/>
    <w:rsid w:val="005527B0"/>
    <w:rsid w:val="005527D4"/>
    <w:rsid w:val="00552F70"/>
    <w:rsid w:val="0055648D"/>
    <w:rsid w:val="005575A8"/>
    <w:rsid w:val="00571521"/>
    <w:rsid w:val="00580AD6"/>
    <w:rsid w:val="00582008"/>
    <w:rsid w:val="00585901"/>
    <w:rsid w:val="005912A7"/>
    <w:rsid w:val="005939BE"/>
    <w:rsid w:val="00595041"/>
    <w:rsid w:val="005B57B6"/>
    <w:rsid w:val="005B7019"/>
    <w:rsid w:val="005C04C5"/>
    <w:rsid w:val="005C3EF5"/>
    <w:rsid w:val="005E322B"/>
    <w:rsid w:val="005E340F"/>
    <w:rsid w:val="005E3F4E"/>
    <w:rsid w:val="005F0DEC"/>
    <w:rsid w:val="005F1DFB"/>
    <w:rsid w:val="005F3600"/>
    <w:rsid w:val="005F3622"/>
    <w:rsid w:val="005F3752"/>
    <w:rsid w:val="005F49E5"/>
    <w:rsid w:val="005F54B3"/>
    <w:rsid w:val="005F7187"/>
    <w:rsid w:val="00610E3B"/>
    <w:rsid w:val="0061376A"/>
    <w:rsid w:val="00613A6D"/>
    <w:rsid w:val="00617D90"/>
    <w:rsid w:val="00621A2B"/>
    <w:rsid w:val="006240C0"/>
    <w:rsid w:val="00625298"/>
    <w:rsid w:val="00625770"/>
    <w:rsid w:val="00626300"/>
    <w:rsid w:val="00630753"/>
    <w:rsid w:val="00631205"/>
    <w:rsid w:val="00633110"/>
    <w:rsid w:val="00633D7E"/>
    <w:rsid w:val="006342AA"/>
    <w:rsid w:val="006355F8"/>
    <w:rsid w:val="006412B7"/>
    <w:rsid w:val="00652A96"/>
    <w:rsid w:val="00653C35"/>
    <w:rsid w:val="00656A1A"/>
    <w:rsid w:val="00656CF1"/>
    <w:rsid w:val="00666C3C"/>
    <w:rsid w:val="00666C7B"/>
    <w:rsid w:val="00671FC1"/>
    <w:rsid w:val="006732D5"/>
    <w:rsid w:val="00673A7C"/>
    <w:rsid w:val="00686929"/>
    <w:rsid w:val="006A016D"/>
    <w:rsid w:val="006A2909"/>
    <w:rsid w:val="006A52C5"/>
    <w:rsid w:val="006A68C8"/>
    <w:rsid w:val="006B09DF"/>
    <w:rsid w:val="006B172C"/>
    <w:rsid w:val="006B54FE"/>
    <w:rsid w:val="006B6B86"/>
    <w:rsid w:val="006C0A0E"/>
    <w:rsid w:val="006C3083"/>
    <w:rsid w:val="006D40FF"/>
    <w:rsid w:val="006D500E"/>
    <w:rsid w:val="006D64C6"/>
    <w:rsid w:val="006E2037"/>
    <w:rsid w:val="006E5262"/>
    <w:rsid w:val="006F0EA9"/>
    <w:rsid w:val="006F1548"/>
    <w:rsid w:val="006F1906"/>
    <w:rsid w:val="006F5993"/>
    <w:rsid w:val="006F5DF5"/>
    <w:rsid w:val="006F7400"/>
    <w:rsid w:val="007002AC"/>
    <w:rsid w:val="007027D5"/>
    <w:rsid w:val="00705FFE"/>
    <w:rsid w:val="00707164"/>
    <w:rsid w:val="00707BBB"/>
    <w:rsid w:val="00710790"/>
    <w:rsid w:val="00711297"/>
    <w:rsid w:val="00715756"/>
    <w:rsid w:val="00716BDF"/>
    <w:rsid w:val="00716C67"/>
    <w:rsid w:val="0071756E"/>
    <w:rsid w:val="00717DF7"/>
    <w:rsid w:val="00720DEF"/>
    <w:rsid w:val="0072347E"/>
    <w:rsid w:val="00723A17"/>
    <w:rsid w:val="007250AF"/>
    <w:rsid w:val="00726A56"/>
    <w:rsid w:val="00726EA9"/>
    <w:rsid w:val="0073215C"/>
    <w:rsid w:val="00743A28"/>
    <w:rsid w:val="00745159"/>
    <w:rsid w:val="00745AE9"/>
    <w:rsid w:val="00746864"/>
    <w:rsid w:val="00750159"/>
    <w:rsid w:val="00750189"/>
    <w:rsid w:val="00751E61"/>
    <w:rsid w:val="00766984"/>
    <w:rsid w:val="007727FF"/>
    <w:rsid w:val="00773D8D"/>
    <w:rsid w:val="007757FA"/>
    <w:rsid w:val="00777769"/>
    <w:rsid w:val="00777A36"/>
    <w:rsid w:val="00780846"/>
    <w:rsid w:val="00782E3C"/>
    <w:rsid w:val="007831A3"/>
    <w:rsid w:val="00784F6E"/>
    <w:rsid w:val="007876F2"/>
    <w:rsid w:val="00791B67"/>
    <w:rsid w:val="00792BD1"/>
    <w:rsid w:val="00796680"/>
    <w:rsid w:val="007A3A07"/>
    <w:rsid w:val="007A3FFB"/>
    <w:rsid w:val="007A7EB8"/>
    <w:rsid w:val="007B0C81"/>
    <w:rsid w:val="007B22DB"/>
    <w:rsid w:val="007B235C"/>
    <w:rsid w:val="007B5D7F"/>
    <w:rsid w:val="007C21CB"/>
    <w:rsid w:val="007C2FE3"/>
    <w:rsid w:val="007C6552"/>
    <w:rsid w:val="007C7222"/>
    <w:rsid w:val="007C7C81"/>
    <w:rsid w:val="007D6201"/>
    <w:rsid w:val="007D7C6E"/>
    <w:rsid w:val="007E0FAA"/>
    <w:rsid w:val="007F1BA6"/>
    <w:rsid w:val="00802718"/>
    <w:rsid w:val="008047D0"/>
    <w:rsid w:val="00805312"/>
    <w:rsid w:val="008059F7"/>
    <w:rsid w:val="00806B2B"/>
    <w:rsid w:val="00815A4D"/>
    <w:rsid w:val="0081601A"/>
    <w:rsid w:val="00821C18"/>
    <w:rsid w:val="00823AEA"/>
    <w:rsid w:val="008251E3"/>
    <w:rsid w:val="00825E3F"/>
    <w:rsid w:val="008269EF"/>
    <w:rsid w:val="00827C04"/>
    <w:rsid w:val="008348BF"/>
    <w:rsid w:val="00841943"/>
    <w:rsid w:val="00841B55"/>
    <w:rsid w:val="00846866"/>
    <w:rsid w:val="00847269"/>
    <w:rsid w:val="008502A5"/>
    <w:rsid w:val="00851A41"/>
    <w:rsid w:val="00852BC2"/>
    <w:rsid w:val="0085768E"/>
    <w:rsid w:val="008613A0"/>
    <w:rsid w:val="00861C62"/>
    <w:rsid w:val="00862FE9"/>
    <w:rsid w:val="00864A76"/>
    <w:rsid w:val="00864B11"/>
    <w:rsid w:val="00880188"/>
    <w:rsid w:val="008866B3"/>
    <w:rsid w:val="00891EF7"/>
    <w:rsid w:val="00892A47"/>
    <w:rsid w:val="00896B39"/>
    <w:rsid w:val="008A254E"/>
    <w:rsid w:val="008B032C"/>
    <w:rsid w:val="008B05FC"/>
    <w:rsid w:val="008B3BC5"/>
    <w:rsid w:val="008B5F7C"/>
    <w:rsid w:val="008C279F"/>
    <w:rsid w:val="008C42B1"/>
    <w:rsid w:val="008D2AC3"/>
    <w:rsid w:val="008D369D"/>
    <w:rsid w:val="008D423F"/>
    <w:rsid w:val="008D4ACD"/>
    <w:rsid w:val="008D6849"/>
    <w:rsid w:val="008E1C3A"/>
    <w:rsid w:val="008E2974"/>
    <w:rsid w:val="008E6492"/>
    <w:rsid w:val="008E7FE1"/>
    <w:rsid w:val="008F0C15"/>
    <w:rsid w:val="008F2744"/>
    <w:rsid w:val="008F2A25"/>
    <w:rsid w:val="008F3712"/>
    <w:rsid w:val="008F5D80"/>
    <w:rsid w:val="008F7E17"/>
    <w:rsid w:val="0090408B"/>
    <w:rsid w:val="00904AD1"/>
    <w:rsid w:val="009059BB"/>
    <w:rsid w:val="0090638A"/>
    <w:rsid w:val="00913265"/>
    <w:rsid w:val="00914F9E"/>
    <w:rsid w:val="00916F83"/>
    <w:rsid w:val="009226D2"/>
    <w:rsid w:val="00923CBC"/>
    <w:rsid w:val="00927005"/>
    <w:rsid w:val="00930248"/>
    <w:rsid w:val="009312D9"/>
    <w:rsid w:val="00931802"/>
    <w:rsid w:val="0093649B"/>
    <w:rsid w:val="00942F1E"/>
    <w:rsid w:val="009432D4"/>
    <w:rsid w:val="009443FB"/>
    <w:rsid w:val="00944EC3"/>
    <w:rsid w:val="009479F9"/>
    <w:rsid w:val="00952BF5"/>
    <w:rsid w:val="00964889"/>
    <w:rsid w:val="009728E7"/>
    <w:rsid w:val="00974521"/>
    <w:rsid w:val="00974842"/>
    <w:rsid w:val="00982BD1"/>
    <w:rsid w:val="009868A9"/>
    <w:rsid w:val="00992538"/>
    <w:rsid w:val="00992FE4"/>
    <w:rsid w:val="0099684C"/>
    <w:rsid w:val="0099775E"/>
    <w:rsid w:val="009A0FDF"/>
    <w:rsid w:val="009A2B29"/>
    <w:rsid w:val="009A3417"/>
    <w:rsid w:val="009A4659"/>
    <w:rsid w:val="009A4EB9"/>
    <w:rsid w:val="009B102D"/>
    <w:rsid w:val="009B105B"/>
    <w:rsid w:val="009B2012"/>
    <w:rsid w:val="009B29A8"/>
    <w:rsid w:val="009B2F45"/>
    <w:rsid w:val="009B7B00"/>
    <w:rsid w:val="009B7D1C"/>
    <w:rsid w:val="009C21C2"/>
    <w:rsid w:val="009C3A9F"/>
    <w:rsid w:val="009C6AF6"/>
    <w:rsid w:val="009D0E82"/>
    <w:rsid w:val="009D7CA7"/>
    <w:rsid w:val="009E6308"/>
    <w:rsid w:val="009E7373"/>
    <w:rsid w:val="009E7932"/>
    <w:rsid w:val="009E7F1B"/>
    <w:rsid w:val="009F6D54"/>
    <w:rsid w:val="009F7D57"/>
    <w:rsid w:val="00A00862"/>
    <w:rsid w:val="00A02EDB"/>
    <w:rsid w:val="00A0441B"/>
    <w:rsid w:val="00A178D6"/>
    <w:rsid w:val="00A21DDE"/>
    <w:rsid w:val="00A3618A"/>
    <w:rsid w:val="00A41E9E"/>
    <w:rsid w:val="00A4338E"/>
    <w:rsid w:val="00A535EC"/>
    <w:rsid w:val="00A5491D"/>
    <w:rsid w:val="00A54BAF"/>
    <w:rsid w:val="00A61FD1"/>
    <w:rsid w:val="00A63896"/>
    <w:rsid w:val="00A63F8A"/>
    <w:rsid w:val="00A66B5E"/>
    <w:rsid w:val="00A716E7"/>
    <w:rsid w:val="00A74B3B"/>
    <w:rsid w:val="00A7569C"/>
    <w:rsid w:val="00A76061"/>
    <w:rsid w:val="00A8324B"/>
    <w:rsid w:val="00A91415"/>
    <w:rsid w:val="00A91B03"/>
    <w:rsid w:val="00A95CE0"/>
    <w:rsid w:val="00A970C5"/>
    <w:rsid w:val="00AA0B0B"/>
    <w:rsid w:val="00AA150A"/>
    <w:rsid w:val="00AA4CA8"/>
    <w:rsid w:val="00AB31D0"/>
    <w:rsid w:val="00AC6F75"/>
    <w:rsid w:val="00AD11D1"/>
    <w:rsid w:val="00AD5FB9"/>
    <w:rsid w:val="00AE25E5"/>
    <w:rsid w:val="00AE39AA"/>
    <w:rsid w:val="00AF138B"/>
    <w:rsid w:val="00AF371A"/>
    <w:rsid w:val="00AF4237"/>
    <w:rsid w:val="00AF4B65"/>
    <w:rsid w:val="00B00158"/>
    <w:rsid w:val="00B003A6"/>
    <w:rsid w:val="00B01124"/>
    <w:rsid w:val="00B03532"/>
    <w:rsid w:val="00B0403C"/>
    <w:rsid w:val="00B065EF"/>
    <w:rsid w:val="00B100A1"/>
    <w:rsid w:val="00B102CE"/>
    <w:rsid w:val="00B10541"/>
    <w:rsid w:val="00B1119A"/>
    <w:rsid w:val="00B14838"/>
    <w:rsid w:val="00B25732"/>
    <w:rsid w:val="00B2676E"/>
    <w:rsid w:val="00B270D8"/>
    <w:rsid w:val="00B32AD3"/>
    <w:rsid w:val="00B3342E"/>
    <w:rsid w:val="00B355FC"/>
    <w:rsid w:val="00B3601D"/>
    <w:rsid w:val="00B40032"/>
    <w:rsid w:val="00B41377"/>
    <w:rsid w:val="00B41899"/>
    <w:rsid w:val="00B42623"/>
    <w:rsid w:val="00B44604"/>
    <w:rsid w:val="00B46ED6"/>
    <w:rsid w:val="00B51238"/>
    <w:rsid w:val="00B532F6"/>
    <w:rsid w:val="00B55B74"/>
    <w:rsid w:val="00B56F8B"/>
    <w:rsid w:val="00B60EA5"/>
    <w:rsid w:val="00B655CE"/>
    <w:rsid w:val="00B670BA"/>
    <w:rsid w:val="00B71B6E"/>
    <w:rsid w:val="00B74082"/>
    <w:rsid w:val="00B74839"/>
    <w:rsid w:val="00B778A0"/>
    <w:rsid w:val="00B917BF"/>
    <w:rsid w:val="00B94B24"/>
    <w:rsid w:val="00BA563E"/>
    <w:rsid w:val="00BA5D21"/>
    <w:rsid w:val="00BB1609"/>
    <w:rsid w:val="00BB262E"/>
    <w:rsid w:val="00BC455E"/>
    <w:rsid w:val="00BC48D6"/>
    <w:rsid w:val="00BC7926"/>
    <w:rsid w:val="00BD092B"/>
    <w:rsid w:val="00BD0FDC"/>
    <w:rsid w:val="00BD3643"/>
    <w:rsid w:val="00BD53FF"/>
    <w:rsid w:val="00BD73B0"/>
    <w:rsid w:val="00BE313B"/>
    <w:rsid w:val="00BE3615"/>
    <w:rsid w:val="00BE5D7E"/>
    <w:rsid w:val="00BE5DD5"/>
    <w:rsid w:val="00BE706F"/>
    <w:rsid w:val="00BF1769"/>
    <w:rsid w:val="00BF4969"/>
    <w:rsid w:val="00BF6852"/>
    <w:rsid w:val="00C03537"/>
    <w:rsid w:val="00C07046"/>
    <w:rsid w:val="00C076BB"/>
    <w:rsid w:val="00C078C5"/>
    <w:rsid w:val="00C12370"/>
    <w:rsid w:val="00C14C20"/>
    <w:rsid w:val="00C16506"/>
    <w:rsid w:val="00C172A2"/>
    <w:rsid w:val="00C2237F"/>
    <w:rsid w:val="00C23D6B"/>
    <w:rsid w:val="00C26685"/>
    <w:rsid w:val="00C275BB"/>
    <w:rsid w:val="00C32AE8"/>
    <w:rsid w:val="00C37702"/>
    <w:rsid w:val="00C37DE5"/>
    <w:rsid w:val="00C418AB"/>
    <w:rsid w:val="00C41A52"/>
    <w:rsid w:val="00C426D9"/>
    <w:rsid w:val="00C44259"/>
    <w:rsid w:val="00C44460"/>
    <w:rsid w:val="00C455E0"/>
    <w:rsid w:val="00C45C39"/>
    <w:rsid w:val="00C476C0"/>
    <w:rsid w:val="00C47765"/>
    <w:rsid w:val="00C51E9F"/>
    <w:rsid w:val="00C5425C"/>
    <w:rsid w:val="00C5496E"/>
    <w:rsid w:val="00C57D67"/>
    <w:rsid w:val="00C6473C"/>
    <w:rsid w:val="00C6535E"/>
    <w:rsid w:val="00C660D0"/>
    <w:rsid w:val="00C67BF4"/>
    <w:rsid w:val="00C70151"/>
    <w:rsid w:val="00C7021A"/>
    <w:rsid w:val="00C70BDE"/>
    <w:rsid w:val="00C73F06"/>
    <w:rsid w:val="00C755BB"/>
    <w:rsid w:val="00C76461"/>
    <w:rsid w:val="00C77C3C"/>
    <w:rsid w:val="00C84680"/>
    <w:rsid w:val="00C850E3"/>
    <w:rsid w:val="00C85983"/>
    <w:rsid w:val="00C87AA6"/>
    <w:rsid w:val="00C943B2"/>
    <w:rsid w:val="00C96435"/>
    <w:rsid w:val="00C967BA"/>
    <w:rsid w:val="00C972C4"/>
    <w:rsid w:val="00C97402"/>
    <w:rsid w:val="00C97832"/>
    <w:rsid w:val="00CA2167"/>
    <w:rsid w:val="00CA6B57"/>
    <w:rsid w:val="00CA73CC"/>
    <w:rsid w:val="00CA7C2A"/>
    <w:rsid w:val="00CB0586"/>
    <w:rsid w:val="00CB1A93"/>
    <w:rsid w:val="00CB39E0"/>
    <w:rsid w:val="00CB6624"/>
    <w:rsid w:val="00CB6B3B"/>
    <w:rsid w:val="00CB7F0D"/>
    <w:rsid w:val="00CC503E"/>
    <w:rsid w:val="00CC7512"/>
    <w:rsid w:val="00CD3213"/>
    <w:rsid w:val="00CD66C6"/>
    <w:rsid w:val="00CE63DC"/>
    <w:rsid w:val="00CE70D4"/>
    <w:rsid w:val="00CF3866"/>
    <w:rsid w:val="00D03066"/>
    <w:rsid w:val="00D04B7B"/>
    <w:rsid w:val="00D10448"/>
    <w:rsid w:val="00D15501"/>
    <w:rsid w:val="00D22E2A"/>
    <w:rsid w:val="00D26B86"/>
    <w:rsid w:val="00D33275"/>
    <w:rsid w:val="00D332A9"/>
    <w:rsid w:val="00D34672"/>
    <w:rsid w:val="00D35C4A"/>
    <w:rsid w:val="00D364FB"/>
    <w:rsid w:val="00D36C84"/>
    <w:rsid w:val="00D37249"/>
    <w:rsid w:val="00D41835"/>
    <w:rsid w:val="00D42581"/>
    <w:rsid w:val="00D42EAD"/>
    <w:rsid w:val="00D43ECE"/>
    <w:rsid w:val="00D464E6"/>
    <w:rsid w:val="00D46DF1"/>
    <w:rsid w:val="00D47695"/>
    <w:rsid w:val="00D51BFF"/>
    <w:rsid w:val="00D51C35"/>
    <w:rsid w:val="00D637F0"/>
    <w:rsid w:val="00D65C32"/>
    <w:rsid w:val="00D730B6"/>
    <w:rsid w:val="00D74241"/>
    <w:rsid w:val="00D825DF"/>
    <w:rsid w:val="00D827B7"/>
    <w:rsid w:val="00D82DD4"/>
    <w:rsid w:val="00D835ED"/>
    <w:rsid w:val="00D838BF"/>
    <w:rsid w:val="00D864C6"/>
    <w:rsid w:val="00D86C9D"/>
    <w:rsid w:val="00D90A21"/>
    <w:rsid w:val="00DA30E6"/>
    <w:rsid w:val="00DA4C0E"/>
    <w:rsid w:val="00DA793D"/>
    <w:rsid w:val="00DB24F9"/>
    <w:rsid w:val="00DB3973"/>
    <w:rsid w:val="00DC14E7"/>
    <w:rsid w:val="00DC326F"/>
    <w:rsid w:val="00DD5D6D"/>
    <w:rsid w:val="00DD73EB"/>
    <w:rsid w:val="00DD7428"/>
    <w:rsid w:val="00DE6AA5"/>
    <w:rsid w:val="00DF2CD3"/>
    <w:rsid w:val="00DF5469"/>
    <w:rsid w:val="00E01210"/>
    <w:rsid w:val="00E017A7"/>
    <w:rsid w:val="00E1167D"/>
    <w:rsid w:val="00E14F4D"/>
    <w:rsid w:val="00E26FAD"/>
    <w:rsid w:val="00E3031C"/>
    <w:rsid w:val="00E3186C"/>
    <w:rsid w:val="00E34339"/>
    <w:rsid w:val="00E35225"/>
    <w:rsid w:val="00E37172"/>
    <w:rsid w:val="00E417BF"/>
    <w:rsid w:val="00E41CFF"/>
    <w:rsid w:val="00E42D53"/>
    <w:rsid w:val="00E500AF"/>
    <w:rsid w:val="00E570EA"/>
    <w:rsid w:val="00E612C0"/>
    <w:rsid w:val="00E614AF"/>
    <w:rsid w:val="00E618E3"/>
    <w:rsid w:val="00E64E0E"/>
    <w:rsid w:val="00E66B8F"/>
    <w:rsid w:val="00E67C54"/>
    <w:rsid w:val="00E733D8"/>
    <w:rsid w:val="00E73D4B"/>
    <w:rsid w:val="00E743C1"/>
    <w:rsid w:val="00E74AD9"/>
    <w:rsid w:val="00E750F2"/>
    <w:rsid w:val="00E7533D"/>
    <w:rsid w:val="00E75818"/>
    <w:rsid w:val="00E76D1E"/>
    <w:rsid w:val="00E77B8A"/>
    <w:rsid w:val="00E80417"/>
    <w:rsid w:val="00E82D08"/>
    <w:rsid w:val="00E843AB"/>
    <w:rsid w:val="00E84781"/>
    <w:rsid w:val="00E86324"/>
    <w:rsid w:val="00E93BC5"/>
    <w:rsid w:val="00E947D1"/>
    <w:rsid w:val="00EA30BA"/>
    <w:rsid w:val="00EB2590"/>
    <w:rsid w:val="00EC0375"/>
    <w:rsid w:val="00EC1131"/>
    <w:rsid w:val="00EC25EC"/>
    <w:rsid w:val="00EC2CA3"/>
    <w:rsid w:val="00ED0DDE"/>
    <w:rsid w:val="00ED1B85"/>
    <w:rsid w:val="00ED414B"/>
    <w:rsid w:val="00ED63FB"/>
    <w:rsid w:val="00EE05FD"/>
    <w:rsid w:val="00EE3418"/>
    <w:rsid w:val="00EE78CA"/>
    <w:rsid w:val="00EF0B8C"/>
    <w:rsid w:val="00EF0F88"/>
    <w:rsid w:val="00EF1BE0"/>
    <w:rsid w:val="00F018BF"/>
    <w:rsid w:val="00F01CAD"/>
    <w:rsid w:val="00F1056F"/>
    <w:rsid w:val="00F12096"/>
    <w:rsid w:val="00F2000E"/>
    <w:rsid w:val="00F2361C"/>
    <w:rsid w:val="00F267FE"/>
    <w:rsid w:val="00F314D1"/>
    <w:rsid w:val="00F334A1"/>
    <w:rsid w:val="00F51004"/>
    <w:rsid w:val="00F53917"/>
    <w:rsid w:val="00F5658C"/>
    <w:rsid w:val="00F60701"/>
    <w:rsid w:val="00F63687"/>
    <w:rsid w:val="00F706AC"/>
    <w:rsid w:val="00F7142B"/>
    <w:rsid w:val="00F722CD"/>
    <w:rsid w:val="00F732B7"/>
    <w:rsid w:val="00F767C8"/>
    <w:rsid w:val="00F817A4"/>
    <w:rsid w:val="00F827FD"/>
    <w:rsid w:val="00F864A8"/>
    <w:rsid w:val="00F90AAE"/>
    <w:rsid w:val="00F9146F"/>
    <w:rsid w:val="00F94598"/>
    <w:rsid w:val="00F9647C"/>
    <w:rsid w:val="00F9663B"/>
    <w:rsid w:val="00F96DCE"/>
    <w:rsid w:val="00FA1428"/>
    <w:rsid w:val="00FA31BA"/>
    <w:rsid w:val="00FA3DA2"/>
    <w:rsid w:val="00FA5504"/>
    <w:rsid w:val="00FA5B37"/>
    <w:rsid w:val="00FA6A80"/>
    <w:rsid w:val="00FA6DED"/>
    <w:rsid w:val="00FB58B2"/>
    <w:rsid w:val="00FC1DFB"/>
    <w:rsid w:val="00FC250F"/>
    <w:rsid w:val="00FD27A5"/>
    <w:rsid w:val="00FD2D7E"/>
    <w:rsid w:val="00FD3527"/>
    <w:rsid w:val="00FD4C76"/>
    <w:rsid w:val="00FD62D1"/>
    <w:rsid w:val="00FD6383"/>
    <w:rsid w:val="00FE1C16"/>
    <w:rsid w:val="00FE1D5C"/>
    <w:rsid w:val="00FE5F96"/>
    <w:rsid w:val="00FF006E"/>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5ED"/>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semiHidden/>
    <w:unhideWhenUsed/>
    <w:qFormat/>
    <w:rsid w:val="00E017A7"/>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660D0"/>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198">
      <w:bodyDiv w:val="1"/>
      <w:marLeft w:val="0"/>
      <w:marRight w:val="0"/>
      <w:marTop w:val="0"/>
      <w:marBottom w:val="0"/>
      <w:divBdr>
        <w:top w:val="none" w:sz="0" w:space="0" w:color="auto"/>
        <w:left w:val="none" w:sz="0" w:space="0" w:color="auto"/>
        <w:bottom w:val="none" w:sz="0" w:space="0" w:color="auto"/>
        <w:right w:val="none" w:sz="0" w:space="0" w:color="auto"/>
      </w:divBdr>
    </w:div>
    <w:div w:id="12079837">
      <w:bodyDiv w:val="1"/>
      <w:marLeft w:val="0"/>
      <w:marRight w:val="0"/>
      <w:marTop w:val="0"/>
      <w:marBottom w:val="0"/>
      <w:divBdr>
        <w:top w:val="none" w:sz="0" w:space="0" w:color="auto"/>
        <w:left w:val="none" w:sz="0" w:space="0" w:color="auto"/>
        <w:bottom w:val="none" w:sz="0" w:space="0" w:color="auto"/>
        <w:right w:val="none" w:sz="0" w:space="0" w:color="auto"/>
      </w:divBdr>
    </w:div>
    <w:div w:id="23865775">
      <w:bodyDiv w:val="1"/>
      <w:marLeft w:val="0"/>
      <w:marRight w:val="0"/>
      <w:marTop w:val="0"/>
      <w:marBottom w:val="0"/>
      <w:divBdr>
        <w:top w:val="none" w:sz="0" w:space="0" w:color="auto"/>
        <w:left w:val="none" w:sz="0" w:space="0" w:color="auto"/>
        <w:bottom w:val="none" w:sz="0" w:space="0" w:color="auto"/>
        <w:right w:val="none" w:sz="0" w:space="0" w:color="auto"/>
      </w:divBdr>
    </w:div>
    <w:div w:id="25059497">
      <w:bodyDiv w:val="1"/>
      <w:marLeft w:val="0"/>
      <w:marRight w:val="0"/>
      <w:marTop w:val="0"/>
      <w:marBottom w:val="0"/>
      <w:divBdr>
        <w:top w:val="none" w:sz="0" w:space="0" w:color="auto"/>
        <w:left w:val="none" w:sz="0" w:space="0" w:color="auto"/>
        <w:bottom w:val="none" w:sz="0" w:space="0" w:color="auto"/>
        <w:right w:val="none" w:sz="0" w:space="0" w:color="auto"/>
      </w:divBdr>
    </w:div>
    <w:div w:id="29691072">
      <w:bodyDiv w:val="1"/>
      <w:marLeft w:val="0"/>
      <w:marRight w:val="0"/>
      <w:marTop w:val="0"/>
      <w:marBottom w:val="0"/>
      <w:divBdr>
        <w:top w:val="none" w:sz="0" w:space="0" w:color="auto"/>
        <w:left w:val="none" w:sz="0" w:space="0" w:color="auto"/>
        <w:bottom w:val="none" w:sz="0" w:space="0" w:color="auto"/>
        <w:right w:val="none" w:sz="0" w:space="0" w:color="auto"/>
      </w:divBdr>
    </w:div>
    <w:div w:id="35013825">
      <w:bodyDiv w:val="1"/>
      <w:marLeft w:val="0"/>
      <w:marRight w:val="0"/>
      <w:marTop w:val="0"/>
      <w:marBottom w:val="0"/>
      <w:divBdr>
        <w:top w:val="none" w:sz="0" w:space="0" w:color="auto"/>
        <w:left w:val="none" w:sz="0" w:space="0" w:color="auto"/>
        <w:bottom w:val="none" w:sz="0" w:space="0" w:color="auto"/>
        <w:right w:val="none" w:sz="0" w:space="0" w:color="auto"/>
      </w:divBdr>
    </w:div>
    <w:div w:id="41099239">
      <w:bodyDiv w:val="1"/>
      <w:marLeft w:val="0"/>
      <w:marRight w:val="0"/>
      <w:marTop w:val="0"/>
      <w:marBottom w:val="0"/>
      <w:divBdr>
        <w:top w:val="none" w:sz="0" w:space="0" w:color="auto"/>
        <w:left w:val="none" w:sz="0" w:space="0" w:color="auto"/>
        <w:bottom w:val="none" w:sz="0" w:space="0" w:color="auto"/>
        <w:right w:val="none" w:sz="0" w:space="0" w:color="auto"/>
      </w:divBdr>
    </w:div>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50154982">
      <w:bodyDiv w:val="1"/>
      <w:marLeft w:val="0"/>
      <w:marRight w:val="0"/>
      <w:marTop w:val="0"/>
      <w:marBottom w:val="0"/>
      <w:divBdr>
        <w:top w:val="none" w:sz="0" w:space="0" w:color="auto"/>
        <w:left w:val="none" w:sz="0" w:space="0" w:color="auto"/>
        <w:bottom w:val="none" w:sz="0" w:space="0" w:color="auto"/>
        <w:right w:val="none" w:sz="0" w:space="0" w:color="auto"/>
      </w:divBdr>
    </w:div>
    <w:div w:id="53894008">
      <w:bodyDiv w:val="1"/>
      <w:marLeft w:val="0"/>
      <w:marRight w:val="0"/>
      <w:marTop w:val="0"/>
      <w:marBottom w:val="0"/>
      <w:divBdr>
        <w:top w:val="none" w:sz="0" w:space="0" w:color="auto"/>
        <w:left w:val="none" w:sz="0" w:space="0" w:color="auto"/>
        <w:bottom w:val="none" w:sz="0" w:space="0" w:color="auto"/>
        <w:right w:val="none" w:sz="0" w:space="0" w:color="auto"/>
      </w:divBdr>
      <w:divsChild>
        <w:div w:id="747382009">
          <w:marLeft w:val="0"/>
          <w:marRight w:val="0"/>
          <w:marTop w:val="0"/>
          <w:marBottom w:val="0"/>
          <w:divBdr>
            <w:top w:val="none" w:sz="0" w:space="0" w:color="auto"/>
            <w:left w:val="none" w:sz="0" w:space="0" w:color="auto"/>
            <w:bottom w:val="none" w:sz="0" w:space="0" w:color="auto"/>
            <w:right w:val="none" w:sz="0" w:space="0" w:color="auto"/>
          </w:divBdr>
        </w:div>
      </w:divsChild>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66651212">
      <w:bodyDiv w:val="1"/>
      <w:marLeft w:val="0"/>
      <w:marRight w:val="0"/>
      <w:marTop w:val="0"/>
      <w:marBottom w:val="0"/>
      <w:divBdr>
        <w:top w:val="none" w:sz="0" w:space="0" w:color="auto"/>
        <w:left w:val="none" w:sz="0" w:space="0" w:color="auto"/>
        <w:bottom w:val="none" w:sz="0" w:space="0" w:color="auto"/>
        <w:right w:val="none" w:sz="0" w:space="0" w:color="auto"/>
      </w:divBdr>
    </w:div>
    <w:div w:id="73403755">
      <w:bodyDiv w:val="1"/>
      <w:marLeft w:val="0"/>
      <w:marRight w:val="0"/>
      <w:marTop w:val="0"/>
      <w:marBottom w:val="0"/>
      <w:divBdr>
        <w:top w:val="none" w:sz="0" w:space="0" w:color="auto"/>
        <w:left w:val="none" w:sz="0" w:space="0" w:color="auto"/>
        <w:bottom w:val="none" w:sz="0" w:space="0" w:color="auto"/>
        <w:right w:val="none" w:sz="0" w:space="0" w:color="auto"/>
      </w:divBdr>
    </w:div>
    <w:div w:id="76289904">
      <w:bodyDiv w:val="1"/>
      <w:marLeft w:val="0"/>
      <w:marRight w:val="0"/>
      <w:marTop w:val="0"/>
      <w:marBottom w:val="0"/>
      <w:divBdr>
        <w:top w:val="none" w:sz="0" w:space="0" w:color="auto"/>
        <w:left w:val="none" w:sz="0" w:space="0" w:color="auto"/>
        <w:bottom w:val="none" w:sz="0" w:space="0" w:color="auto"/>
        <w:right w:val="none" w:sz="0" w:space="0" w:color="auto"/>
      </w:divBdr>
    </w:div>
    <w:div w:id="93940625">
      <w:bodyDiv w:val="1"/>
      <w:marLeft w:val="0"/>
      <w:marRight w:val="0"/>
      <w:marTop w:val="0"/>
      <w:marBottom w:val="0"/>
      <w:divBdr>
        <w:top w:val="none" w:sz="0" w:space="0" w:color="auto"/>
        <w:left w:val="none" w:sz="0" w:space="0" w:color="auto"/>
        <w:bottom w:val="none" w:sz="0" w:space="0" w:color="auto"/>
        <w:right w:val="none" w:sz="0" w:space="0" w:color="auto"/>
      </w:divBdr>
      <w:divsChild>
        <w:div w:id="1430078842">
          <w:marLeft w:val="0"/>
          <w:marRight w:val="0"/>
          <w:marTop w:val="0"/>
          <w:marBottom w:val="0"/>
          <w:divBdr>
            <w:top w:val="none" w:sz="0" w:space="0" w:color="auto"/>
            <w:left w:val="none" w:sz="0" w:space="0" w:color="auto"/>
            <w:bottom w:val="none" w:sz="0" w:space="0" w:color="auto"/>
            <w:right w:val="none" w:sz="0" w:space="0" w:color="auto"/>
          </w:divBdr>
          <w:divsChild>
            <w:div w:id="65299148">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06824522">
      <w:bodyDiv w:val="1"/>
      <w:marLeft w:val="0"/>
      <w:marRight w:val="0"/>
      <w:marTop w:val="0"/>
      <w:marBottom w:val="0"/>
      <w:divBdr>
        <w:top w:val="none" w:sz="0" w:space="0" w:color="auto"/>
        <w:left w:val="none" w:sz="0" w:space="0" w:color="auto"/>
        <w:bottom w:val="none" w:sz="0" w:space="0" w:color="auto"/>
        <w:right w:val="none" w:sz="0" w:space="0" w:color="auto"/>
      </w:divBdr>
    </w:div>
    <w:div w:id="111287261">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28398917">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156462706">
      <w:bodyDiv w:val="1"/>
      <w:marLeft w:val="0"/>
      <w:marRight w:val="0"/>
      <w:marTop w:val="0"/>
      <w:marBottom w:val="0"/>
      <w:divBdr>
        <w:top w:val="none" w:sz="0" w:space="0" w:color="auto"/>
        <w:left w:val="none" w:sz="0" w:space="0" w:color="auto"/>
        <w:bottom w:val="none" w:sz="0" w:space="0" w:color="auto"/>
        <w:right w:val="none" w:sz="0" w:space="0" w:color="auto"/>
      </w:divBdr>
    </w:div>
    <w:div w:id="183905336">
      <w:bodyDiv w:val="1"/>
      <w:marLeft w:val="0"/>
      <w:marRight w:val="0"/>
      <w:marTop w:val="0"/>
      <w:marBottom w:val="0"/>
      <w:divBdr>
        <w:top w:val="none" w:sz="0" w:space="0" w:color="auto"/>
        <w:left w:val="none" w:sz="0" w:space="0" w:color="auto"/>
        <w:bottom w:val="none" w:sz="0" w:space="0" w:color="auto"/>
        <w:right w:val="none" w:sz="0" w:space="0" w:color="auto"/>
      </w:divBdr>
    </w:div>
    <w:div w:id="185752207">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01137454">
      <w:bodyDiv w:val="1"/>
      <w:marLeft w:val="0"/>
      <w:marRight w:val="0"/>
      <w:marTop w:val="0"/>
      <w:marBottom w:val="0"/>
      <w:divBdr>
        <w:top w:val="none" w:sz="0" w:space="0" w:color="auto"/>
        <w:left w:val="none" w:sz="0" w:space="0" w:color="auto"/>
        <w:bottom w:val="none" w:sz="0" w:space="0" w:color="auto"/>
        <w:right w:val="none" w:sz="0" w:space="0" w:color="auto"/>
      </w:divBdr>
    </w:div>
    <w:div w:id="203367826">
      <w:bodyDiv w:val="1"/>
      <w:marLeft w:val="0"/>
      <w:marRight w:val="0"/>
      <w:marTop w:val="0"/>
      <w:marBottom w:val="0"/>
      <w:divBdr>
        <w:top w:val="none" w:sz="0" w:space="0" w:color="auto"/>
        <w:left w:val="none" w:sz="0" w:space="0" w:color="auto"/>
        <w:bottom w:val="none" w:sz="0" w:space="0" w:color="auto"/>
        <w:right w:val="none" w:sz="0" w:space="0" w:color="auto"/>
      </w:divBdr>
    </w:div>
    <w:div w:id="208344502">
      <w:bodyDiv w:val="1"/>
      <w:marLeft w:val="0"/>
      <w:marRight w:val="0"/>
      <w:marTop w:val="0"/>
      <w:marBottom w:val="0"/>
      <w:divBdr>
        <w:top w:val="none" w:sz="0" w:space="0" w:color="auto"/>
        <w:left w:val="none" w:sz="0" w:space="0" w:color="auto"/>
        <w:bottom w:val="none" w:sz="0" w:space="0" w:color="auto"/>
        <w:right w:val="none" w:sz="0" w:space="0" w:color="auto"/>
      </w:divBdr>
    </w:div>
    <w:div w:id="210269313">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17129846">
      <w:bodyDiv w:val="1"/>
      <w:marLeft w:val="0"/>
      <w:marRight w:val="0"/>
      <w:marTop w:val="0"/>
      <w:marBottom w:val="0"/>
      <w:divBdr>
        <w:top w:val="none" w:sz="0" w:space="0" w:color="auto"/>
        <w:left w:val="none" w:sz="0" w:space="0" w:color="auto"/>
        <w:bottom w:val="none" w:sz="0" w:space="0" w:color="auto"/>
        <w:right w:val="none" w:sz="0" w:space="0" w:color="auto"/>
      </w:divBdr>
    </w:div>
    <w:div w:id="222638825">
      <w:bodyDiv w:val="1"/>
      <w:marLeft w:val="0"/>
      <w:marRight w:val="0"/>
      <w:marTop w:val="0"/>
      <w:marBottom w:val="0"/>
      <w:divBdr>
        <w:top w:val="none" w:sz="0" w:space="0" w:color="auto"/>
        <w:left w:val="none" w:sz="0" w:space="0" w:color="auto"/>
        <w:bottom w:val="none" w:sz="0" w:space="0" w:color="auto"/>
        <w:right w:val="none" w:sz="0" w:space="0" w:color="auto"/>
      </w:divBdr>
    </w:div>
    <w:div w:id="227495142">
      <w:bodyDiv w:val="1"/>
      <w:marLeft w:val="0"/>
      <w:marRight w:val="0"/>
      <w:marTop w:val="0"/>
      <w:marBottom w:val="0"/>
      <w:divBdr>
        <w:top w:val="none" w:sz="0" w:space="0" w:color="auto"/>
        <w:left w:val="none" w:sz="0" w:space="0" w:color="auto"/>
        <w:bottom w:val="none" w:sz="0" w:space="0" w:color="auto"/>
        <w:right w:val="none" w:sz="0" w:space="0" w:color="auto"/>
      </w:divBdr>
    </w:div>
    <w:div w:id="234780553">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237640859">
      <w:bodyDiv w:val="1"/>
      <w:marLeft w:val="0"/>
      <w:marRight w:val="0"/>
      <w:marTop w:val="0"/>
      <w:marBottom w:val="0"/>
      <w:divBdr>
        <w:top w:val="none" w:sz="0" w:space="0" w:color="auto"/>
        <w:left w:val="none" w:sz="0" w:space="0" w:color="auto"/>
        <w:bottom w:val="none" w:sz="0" w:space="0" w:color="auto"/>
        <w:right w:val="none" w:sz="0" w:space="0" w:color="auto"/>
      </w:divBdr>
    </w:div>
    <w:div w:id="246695220">
      <w:bodyDiv w:val="1"/>
      <w:marLeft w:val="0"/>
      <w:marRight w:val="0"/>
      <w:marTop w:val="0"/>
      <w:marBottom w:val="0"/>
      <w:divBdr>
        <w:top w:val="none" w:sz="0" w:space="0" w:color="auto"/>
        <w:left w:val="none" w:sz="0" w:space="0" w:color="auto"/>
        <w:bottom w:val="none" w:sz="0" w:space="0" w:color="auto"/>
        <w:right w:val="none" w:sz="0" w:space="0" w:color="auto"/>
      </w:divBdr>
    </w:div>
    <w:div w:id="250630130">
      <w:bodyDiv w:val="1"/>
      <w:marLeft w:val="0"/>
      <w:marRight w:val="0"/>
      <w:marTop w:val="0"/>
      <w:marBottom w:val="0"/>
      <w:divBdr>
        <w:top w:val="none" w:sz="0" w:space="0" w:color="auto"/>
        <w:left w:val="none" w:sz="0" w:space="0" w:color="auto"/>
        <w:bottom w:val="none" w:sz="0" w:space="0" w:color="auto"/>
        <w:right w:val="none" w:sz="0" w:space="0" w:color="auto"/>
      </w:divBdr>
    </w:div>
    <w:div w:id="261190098">
      <w:bodyDiv w:val="1"/>
      <w:marLeft w:val="0"/>
      <w:marRight w:val="0"/>
      <w:marTop w:val="0"/>
      <w:marBottom w:val="0"/>
      <w:divBdr>
        <w:top w:val="none" w:sz="0" w:space="0" w:color="auto"/>
        <w:left w:val="none" w:sz="0" w:space="0" w:color="auto"/>
        <w:bottom w:val="none" w:sz="0" w:space="0" w:color="auto"/>
        <w:right w:val="none" w:sz="0" w:space="0" w:color="auto"/>
      </w:divBdr>
    </w:div>
    <w:div w:id="269287930">
      <w:bodyDiv w:val="1"/>
      <w:marLeft w:val="0"/>
      <w:marRight w:val="0"/>
      <w:marTop w:val="0"/>
      <w:marBottom w:val="0"/>
      <w:divBdr>
        <w:top w:val="none" w:sz="0" w:space="0" w:color="auto"/>
        <w:left w:val="none" w:sz="0" w:space="0" w:color="auto"/>
        <w:bottom w:val="none" w:sz="0" w:space="0" w:color="auto"/>
        <w:right w:val="none" w:sz="0" w:space="0" w:color="auto"/>
      </w:divBdr>
    </w:div>
    <w:div w:id="272640276">
      <w:bodyDiv w:val="1"/>
      <w:marLeft w:val="0"/>
      <w:marRight w:val="0"/>
      <w:marTop w:val="0"/>
      <w:marBottom w:val="0"/>
      <w:divBdr>
        <w:top w:val="none" w:sz="0" w:space="0" w:color="auto"/>
        <w:left w:val="none" w:sz="0" w:space="0" w:color="auto"/>
        <w:bottom w:val="none" w:sz="0" w:space="0" w:color="auto"/>
        <w:right w:val="none" w:sz="0" w:space="0" w:color="auto"/>
      </w:divBdr>
    </w:div>
    <w:div w:id="284360772">
      <w:bodyDiv w:val="1"/>
      <w:marLeft w:val="0"/>
      <w:marRight w:val="0"/>
      <w:marTop w:val="0"/>
      <w:marBottom w:val="0"/>
      <w:divBdr>
        <w:top w:val="none" w:sz="0" w:space="0" w:color="auto"/>
        <w:left w:val="none" w:sz="0" w:space="0" w:color="auto"/>
        <w:bottom w:val="none" w:sz="0" w:space="0" w:color="auto"/>
        <w:right w:val="none" w:sz="0" w:space="0" w:color="auto"/>
      </w:divBdr>
    </w:div>
    <w:div w:id="286546241">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05939843">
      <w:bodyDiv w:val="1"/>
      <w:marLeft w:val="0"/>
      <w:marRight w:val="0"/>
      <w:marTop w:val="0"/>
      <w:marBottom w:val="0"/>
      <w:divBdr>
        <w:top w:val="none" w:sz="0" w:space="0" w:color="auto"/>
        <w:left w:val="none" w:sz="0" w:space="0" w:color="auto"/>
        <w:bottom w:val="none" w:sz="0" w:space="0" w:color="auto"/>
        <w:right w:val="none" w:sz="0" w:space="0" w:color="auto"/>
      </w:divBdr>
    </w:div>
    <w:div w:id="312680325">
      <w:bodyDiv w:val="1"/>
      <w:marLeft w:val="0"/>
      <w:marRight w:val="0"/>
      <w:marTop w:val="0"/>
      <w:marBottom w:val="0"/>
      <w:divBdr>
        <w:top w:val="none" w:sz="0" w:space="0" w:color="auto"/>
        <w:left w:val="none" w:sz="0" w:space="0" w:color="auto"/>
        <w:bottom w:val="none" w:sz="0" w:space="0" w:color="auto"/>
        <w:right w:val="none" w:sz="0" w:space="0" w:color="auto"/>
      </w:divBdr>
    </w:div>
    <w:div w:id="314333705">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48407526">
      <w:bodyDiv w:val="1"/>
      <w:marLeft w:val="0"/>
      <w:marRight w:val="0"/>
      <w:marTop w:val="0"/>
      <w:marBottom w:val="0"/>
      <w:divBdr>
        <w:top w:val="none" w:sz="0" w:space="0" w:color="auto"/>
        <w:left w:val="none" w:sz="0" w:space="0" w:color="auto"/>
        <w:bottom w:val="none" w:sz="0" w:space="0" w:color="auto"/>
        <w:right w:val="none" w:sz="0" w:space="0" w:color="auto"/>
      </w:divBdr>
    </w:div>
    <w:div w:id="352345229">
      <w:bodyDiv w:val="1"/>
      <w:marLeft w:val="0"/>
      <w:marRight w:val="0"/>
      <w:marTop w:val="0"/>
      <w:marBottom w:val="0"/>
      <w:divBdr>
        <w:top w:val="none" w:sz="0" w:space="0" w:color="auto"/>
        <w:left w:val="none" w:sz="0" w:space="0" w:color="auto"/>
        <w:bottom w:val="none" w:sz="0" w:space="0" w:color="auto"/>
        <w:right w:val="none" w:sz="0" w:space="0" w:color="auto"/>
      </w:divBdr>
    </w:div>
    <w:div w:id="354042945">
      <w:bodyDiv w:val="1"/>
      <w:marLeft w:val="0"/>
      <w:marRight w:val="0"/>
      <w:marTop w:val="0"/>
      <w:marBottom w:val="0"/>
      <w:divBdr>
        <w:top w:val="none" w:sz="0" w:space="0" w:color="auto"/>
        <w:left w:val="none" w:sz="0" w:space="0" w:color="auto"/>
        <w:bottom w:val="none" w:sz="0" w:space="0" w:color="auto"/>
        <w:right w:val="none" w:sz="0" w:space="0" w:color="auto"/>
      </w:divBdr>
    </w:div>
    <w:div w:id="357924753">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80515919">
      <w:bodyDiv w:val="1"/>
      <w:marLeft w:val="0"/>
      <w:marRight w:val="0"/>
      <w:marTop w:val="0"/>
      <w:marBottom w:val="0"/>
      <w:divBdr>
        <w:top w:val="none" w:sz="0" w:space="0" w:color="auto"/>
        <w:left w:val="none" w:sz="0" w:space="0" w:color="auto"/>
        <w:bottom w:val="none" w:sz="0" w:space="0" w:color="auto"/>
        <w:right w:val="none" w:sz="0" w:space="0" w:color="auto"/>
      </w:divBdr>
    </w:div>
    <w:div w:id="388770568">
      <w:bodyDiv w:val="1"/>
      <w:marLeft w:val="0"/>
      <w:marRight w:val="0"/>
      <w:marTop w:val="0"/>
      <w:marBottom w:val="0"/>
      <w:divBdr>
        <w:top w:val="none" w:sz="0" w:space="0" w:color="auto"/>
        <w:left w:val="none" w:sz="0" w:space="0" w:color="auto"/>
        <w:bottom w:val="none" w:sz="0" w:space="0" w:color="auto"/>
        <w:right w:val="none" w:sz="0" w:space="0" w:color="auto"/>
      </w:divBdr>
    </w:div>
    <w:div w:id="394554175">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399913643">
      <w:bodyDiv w:val="1"/>
      <w:marLeft w:val="0"/>
      <w:marRight w:val="0"/>
      <w:marTop w:val="0"/>
      <w:marBottom w:val="0"/>
      <w:divBdr>
        <w:top w:val="none" w:sz="0" w:space="0" w:color="auto"/>
        <w:left w:val="none" w:sz="0" w:space="0" w:color="auto"/>
        <w:bottom w:val="none" w:sz="0" w:space="0" w:color="auto"/>
        <w:right w:val="none" w:sz="0" w:space="0" w:color="auto"/>
      </w:divBdr>
    </w:div>
    <w:div w:id="402529793">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79494">
      <w:bodyDiv w:val="1"/>
      <w:marLeft w:val="0"/>
      <w:marRight w:val="0"/>
      <w:marTop w:val="0"/>
      <w:marBottom w:val="0"/>
      <w:divBdr>
        <w:top w:val="none" w:sz="0" w:space="0" w:color="auto"/>
        <w:left w:val="none" w:sz="0" w:space="0" w:color="auto"/>
        <w:bottom w:val="none" w:sz="0" w:space="0" w:color="auto"/>
        <w:right w:val="none" w:sz="0" w:space="0" w:color="auto"/>
      </w:divBdr>
    </w:div>
    <w:div w:id="406271662">
      <w:bodyDiv w:val="1"/>
      <w:marLeft w:val="0"/>
      <w:marRight w:val="0"/>
      <w:marTop w:val="0"/>
      <w:marBottom w:val="0"/>
      <w:divBdr>
        <w:top w:val="none" w:sz="0" w:space="0" w:color="auto"/>
        <w:left w:val="none" w:sz="0" w:space="0" w:color="auto"/>
        <w:bottom w:val="none" w:sz="0" w:space="0" w:color="auto"/>
        <w:right w:val="none" w:sz="0" w:space="0" w:color="auto"/>
      </w:divBdr>
    </w:div>
    <w:div w:id="417486542">
      <w:bodyDiv w:val="1"/>
      <w:marLeft w:val="0"/>
      <w:marRight w:val="0"/>
      <w:marTop w:val="0"/>
      <w:marBottom w:val="0"/>
      <w:divBdr>
        <w:top w:val="none" w:sz="0" w:space="0" w:color="auto"/>
        <w:left w:val="none" w:sz="0" w:space="0" w:color="auto"/>
        <w:bottom w:val="none" w:sz="0" w:space="0" w:color="auto"/>
        <w:right w:val="none" w:sz="0" w:space="0" w:color="auto"/>
      </w:divBdr>
    </w:div>
    <w:div w:id="421149651">
      <w:bodyDiv w:val="1"/>
      <w:marLeft w:val="0"/>
      <w:marRight w:val="0"/>
      <w:marTop w:val="0"/>
      <w:marBottom w:val="0"/>
      <w:divBdr>
        <w:top w:val="none" w:sz="0" w:space="0" w:color="auto"/>
        <w:left w:val="none" w:sz="0" w:space="0" w:color="auto"/>
        <w:bottom w:val="none" w:sz="0" w:space="0" w:color="auto"/>
        <w:right w:val="none" w:sz="0" w:space="0" w:color="auto"/>
      </w:divBdr>
    </w:div>
    <w:div w:id="432288424">
      <w:bodyDiv w:val="1"/>
      <w:marLeft w:val="0"/>
      <w:marRight w:val="0"/>
      <w:marTop w:val="0"/>
      <w:marBottom w:val="0"/>
      <w:divBdr>
        <w:top w:val="none" w:sz="0" w:space="0" w:color="auto"/>
        <w:left w:val="none" w:sz="0" w:space="0" w:color="auto"/>
        <w:bottom w:val="none" w:sz="0" w:space="0" w:color="auto"/>
        <w:right w:val="none" w:sz="0" w:space="0" w:color="auto"/>
      </w:divBdr>
    </w:div>
    <w:div w:id="432867576">
      <w:bodyDiv w:val="1"/>
      <w:marLeft w:val="0"/>
      <w:marRight w:val="0"/>
      <w:marTop w:val="0"/>
      <w:marBottom w:val="0"/>
      <w:divBdr>
        <w:top w:val="none" w:sz="0" w:space="0" w:color="auto"/>
        <w:left w:val="none" w:sz="0" w:space="0" w:color="auto"/>
        <w:bottom w:val="none" w:sz="0" w:space="0" w:color="auto"/>
        <w:right w:val="none" w:sz="0" w:space="0" w:color="auto"/>
      </w:divBdr>
    </w:div>
    <w:div w:id="436289654">
      <w:bodyDiv w:val="1"/>
      <w:marLeft w:val="0"/>
      <w:marRight w:val="0"/>
      <w:marTop w:val="0"/>
      <w:marBottom w:val="0"/>
      <w:divBdr>
        <w:top w:val="none" w:sz="0" w:space="0" w:color="auto"/>
        <w:left w:val="none" w:sz="0" w:space="0" w:color="auto"/>
        <w:bottom w:val="none" w:sz="0" w:space="0" w:color="auto"/>
        <w:right w:val="none" w:sz="0" w:space="0" w:color="auto"/>
      </w:divBdr>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45462243">
      <w:bodyDiv w:val="1"/>
      <w:marLeft w:val="0"/>
      <w:marRight w:val="0"/>
      <w:marTop w:val="0"/>
      <w:marBottom w:val="0"/>
      <w:divBdr>
        <w:top w:val="none" w:sz="0" w:space="0" w:color="auto"/>
        <w:left w:val="none" w:sz="0" w:space="0" w:color="auto"/>
        <w:bottom w:val="none" w:sz="0" w:space="0" w:color="auto"/>
        <w:right w:val="none" w:sz="0" w:space="0" w:color="auto"/>
      </w:divBdr>
    </w:div>
    <w:div w:id="446126681">
      <w:bodyDiv w:val="1"/>
      <w:marLeft w:val="0"/>
      <w:marRight w:val="0"/>
      <w:marTop w:val="0"/>
      <w:marBottom w:val="0"/>
      <w:divBdr>
        <w:top w:val="none" w:sz="0" w:space="0" w:color="auto"/>
        <w:left w:val="none" w:sz="0" w:space="0" w:color="auto"/>
        <w:bottom w:val="none" w:sz="0" w:space="0" w:color="auto"/>
        <w:right w:val="none" w:sz="0" w:space="0" w:color="auto"/>
      </w:divBdr>
    </w:div>
    <w:div w:id="451367197">
      <w:bodyDiv w:val="1"/>
      <w:marLeft w:val="0"/>
      <w:marRight w:val="0"/>
      <w:marTop w:val="0"/>
      <w:marBottom w:val="0"/>
      <w:divBdr>
        <w:top w:val="none" w:sz="0" w:space="0" w:color="auto"/>
        <w:left w:val="none" w:sz="0" w:space="0" w:color="auto"/>
        <w:bottom w:val="none" w:sz="0" w:space="0" w:color="auto"/>
        <w:right w:val="none" w:sz="0" w:space="0" w:color="auto"/>
      </w:divBdr>
    </w:div>
    <w:div w:id="456487093">
      <w:bodyDiv w:val="1"/>
      <w:marLeft w:val="0"/>
      <w:marRight w:val="0"/>
      <w:marTop w:val="0"/>
      <w:marBottom w:val="0"/>
      <w:divBdr>
        <w:top w:val="none" w:sz="0" w:space="0" w:color="auto"/>
        <w:left w:val="none" w:sz="0" w:space="0" w:color="auto"/>
        <w:bottom w:val="none" w:sz="0" w:space="0" w:color="auto"/>
        <w:right w:val="none" w:sz="0" w:space="0" w:color="auto"/>
      </w:divBdr>
    </w:div>
    <w:div w:id="469909500">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78503992">
      <w:bodyDiv w:val="1"/>
      <w:marLeft w:val="0"/>
      <w:marRight w:val="0"/>
      <w:marTop w:val="0"/>
      <w:marBottom w:val="0"/>
      <w:divBdr>
        <w:top w:val="none" w:sz="0" w:space="0" w:color="auto"/>
        <w:left w:val="none" w:sz="0" w:space="0" w:color="auto"/>
        <w:bottom w:val="none" w:sz="0" w:space="0" w:color="auto"/>
        <w:right w:val="none" w:sz="0" w:space="0" w:color="auto"/>
      </w:divBdr>
    </w:div>
    <w:div w:id="481629083">
      <w:bodyDiv w:val="1"/>
      <w:marLeft w:val="0"/>
      <w:marRight w:val="0"/>
      <w:marTop w:val="0"/>
      <w:marBottom w:val="0"/>
      <w:divBdr>
        <w:top w:val="none" w:sz="0" w:space="0" w:color="auto"/>
        <w:left w:val="none" w:sz="0" w:space="0" w:color="auto"/>
        <w:bottom w:val="none" w:sz="0" w:space="0" w:color="auto"/>
        <w:right w:val="none" w:sz="0" w:space="0" w:color="auto"/>
      </w:divBdr>
    </w:div>
    <w:div w:id="482550431">
      <w:bodyDiv w:val="1"/>
      <w:marLeft w:val="0"/>
      <w:marRight w:val="0"/>
      <w:marTop w:val="0"/>
      <w:marBottom w:val="0"/>
      <w:divBdr>
        <w:top w:val="none" w:sz="0" w:space="0" w:color="auto"/>
        <w:left w:val="none" w:sz="0" w:space="0" w:color="auto"/>
        <w:bottom w:val="none" w:sz="0" w:space="0" w:color="auto"/>
        <w:right w:val="none" w:sz="0" w:space="0" w:color="auto"/>
      </w:divBdr>
    </w:div>
    <w:div w:id="484855922">
      <w:bodyDiv w:val="1"/>
      <w:marLeft w:val="0"/>
      <w:marRight w:val="0"/>
      <w:marTop w:val="0"/>
      <w:marBottom w:val="0"/>
      <w:divBdr>
        <w:top w:val="none" w:sz="0" w:space="0" w:color="auto"/>
        <w:left w:val="none" w:sz="0" w:space="0" w:color="auto"/>
        <w:bottom w:val="none" w:sz="0" w:space="0" w:color="auto"/>
        <w:right w:val="none" w:sz="0" w:space="0" w:color="auto"/>
      </w:divBdr>
    </w:div>
    <w:div w:id="491800406">
      <w:bodyDiv w:val="1"/>
      <w:marLeft w:val="0"/>
      <w:marRight w:val="0"/>
      <w:marTop w:val="0"/>
      <w:marBottom w:val="0"/>
      <w:divBdr>
        <w:top w:val="none" w:sz="0" w:space="0" w:color="auto"/>
        <w:left w:val="none" w:sz="0" w:space="0" w:color="auto"/>
        <w:bottom w:val="none" w:sz="0" w:space="0" w:color="auto"/>
        <w:right w:val="none" w:sz="0" w:space="0" w:color="auto"/>
      </w:divBdr>
      <w:divsChild>
        <w:div w:id="834998801">
          <w:marLeft w:val="0"/>
          <w:marRight w:val="0"/>
          <w:marTop w:val="0"/>
          <w:marBottom w:val="0"/>
          <w:divBdr>
            <w:top w:val="none" w:sz="0" w:space="0" w:color="auto"/>
            <w:left w:val="none" w:sz="0" w:space="0" w:color="auto"/>
            <w:bottom w:val="none" w:sz="0" w:space="0" w:color="auto"/>
            <w:right w:val="none" w:sz="0" w:space="0" w:color="auto"/>
          </w:divBdr>
          <w:divsChild>
            <w:div w:id="1284267062">
              <w:marLeft w:val="0"/>
              <w:marRight w:val="0"/>
              <w:marTop w:val="0"/>
              <w:marBottom w:val="0"/>
              <w:divBdr>
                <w:top w:val="none" w:sz="0" w:space="0" w:color="auto"/>
                <w:left w:val="none" w:sz="0" w:space="0" w:color="auto"/>
                <w:bottom w:val="none" w:sz="0" w:space="0" w:color="auto"/>
                <w:right w:val="none" w:sz="0" w:space="0" w:color="auto"/>
              </w:divBdr>
              <w:divsChild>
                <w:div w:id="724530917">
                  <w:marLeft w:val="0"/>
                  <w:marRight w:val="0"/>
                  <w:marTop w:val="0"/>
                  <w:marBottom w:val="0"/>
                  <w:divBdr>
                    <w:top w:val="none" w:sz="0" w:space="0" w:color="auto"/>
                    <w:left w:val="none" w:sz="0" w:space="0" w:color="auto"/>
                    <w:bottom w:val="none" w:sz="0" w:space="0" w:color="auto"/>
                    <w:right w:val="none" w:sz="0" w:space="0" w:color="auto"/>
                  </w:divBdr>
                  <w:divsChild>
                    <w:div w:id="9676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05168926">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15654472">
      <w:bodyDiv w:val="1"/>
      <w:marLeft w:val="0"/>
      <w:marRight w:val="0"/>
      <w:marTop w:val="0"/>
      <w:marBottom w:val="0"/>
      <w:divBdr>
        <w:top w:val="none" w:sz="0" w:space="0" w:color="auto"/>
        <w:left w:val="none" w:sz="0" w:space="0" w:color="auto"/>
        <w:bottom w:val="none" w:sz="0" w:space="0" w:color="auto"/>
        <w:right w:val="none" w:sz="0" w:space="0" w:color="auto"/>
      </w:divBdr>
    </w:div>
    <w:div w:id="518204045">
      <w:bodyDiv w:val="1"/>
      <w:marLeft w:val="0"/>
      <w:marRight w:val="0"/>
      <w:marTop w:val="0"/>
      <w:marBottom w:val="0"/>
      <w:divBdr>
        <w:top w:val="none" w:sz="0" w:space="0" w:color="auto"/>
        <w:left w:val="none" w:sz="0" w:space="0" w:color="auto"/>
        <w:bottom w:val="none" w:sz="0" w:space="0" w:color="auto"/>
        <w:right w:val="none" w:sz="0" w:space="0" w:color="auto"/>
      </w:divBdr>
    </w:div>
    <w:div w:id="523707939">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535191511">
      <w:bodyDiv w:val="1"/>
      <w:marLeft w:val="0"/>
      <w:marRight w:val="0"/>
      <w:marTop w:val="0"/>
      <w:marBottom w:val="0"/>
      <w:divBdr>
        <w:top w:val="none" w:sz="0" w:space="0" w:color="auto"/>
        <w:left w:val="none" w:sz="0" w:space="0" w:color="auto"/>
        <w:bottom w:val="none" w:sz="0" w:space="0" w:color="auto"/>
        <w:right w:val="none" w:sz="0" w:space="0" w:color="auto"/>
      </w:divBdr>
    </w:div>
    <w:div w:id="543371918">
      <w:bodyDiv w:val="1"/>
      <w:marLeft w:val="0"/>
      <w:marRight w:val="0"/>
      <w:marTop w:val="0"/>
      <w:marBottom w:val="0"/>
      <w:divBdr>
        <w:top w:val="none" w:sz="0" w:space="0" w:color="auto"/>
        <w:left w:val="none" w:sz="0" w:space="0" w:color="auto"/>
        <w:bottom w:val="none" w:sz="0" w:space="0" w:color="auto"/>
        <w:right w:val="none" w:sz="0" w:space="0" w:color="auto"/>
      </w:divBdr>
      <w:divsChild>
        <w:div w:id="785395499">
          <w:marLeft w:val="0"/>
          <w:marRight w:val="0"/>
          <w:marTop w:val="0"/>
          <w:marBottom w:val="0"/>
          <w:divBdr>
            <w:top w:val="none" w:sz="0" w:space="0" w:color="auto"/>
            <w:left w:val="none" w:sz="0" w:space="0" w:color="auto"/>
            <w:bottom w:val="none" w:sz="0" w:space="0" w:color="auto"/>
            <w:right w:val="none" w:sz="0" w:space="0" w:color="auto"/>
          </w:divBdr>
          <w:divsChild>
            <w:div w:id="502932964">
              <w:marLeft w:val="0"/>
              <w:marRight w:val="0"/>
              <w:marTop w:val="0"/>
              <w:marBottom w:val="0"/>
              <w:divBdr>
                <w:top w:val="none" w:sz="0" w:space="0" w:color="auto"/>
                <w:left w:val="none" w:sz="0" w:space="0" w:color="auto"/>
                <w:bottom w:val="none" w:sz="0" w:space="0" w:color="auto"/>
                <w:right w:val="none" w:sz="0" w:space="0" w:color="auto"/>
              </w:divBdr>
              <w:divsChild>
                <w:div w:id="1906643423">
                  <w:marLeft w:val="0"/>
                  <w:marRight w:val="0"/>
                  <w:marTop w:val="0"/>
                  <w:marBottom w:val="0"/>
                  <w:divBdr>
                    <w:top w:val="none" w:sz="0" w:space="0" w:color="auto"/>
                    <w:left w:val="none" w:sz="0" w:space="0" w:color="auto"/>
                    <w:bottom w:val="none" w:sz="0" w:space="0" w:color="auto"/>
                    <w:right w:val="none" w:sz="0" w:space="0" w:color="auto"/>
                  </w:divBdr>
                  <w:divsChild>
                    <w:div w:id="542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271">
      <w:bodyDiv w:val="1"/>
      <w:marLeft w:val="0"/>
      <w:marRight w:val="0"/>
      <w:marTop w:val="0"/>
      <w:marBottom w:val="0"/>
      <w:divBdr>
        <w:top w:val="none" w:sz="0" w:space="0" w:color="auto"/>
        <w:left w:val="none" w:sz="0" w:space="0" w:color="auto"/>
        <w:bottom w:val="none" w:sz="0" w:space="0" w:color="auto"/>
        <w:right w:val="none" w:sz="0" w:space="0" w:color="auto"/>
      </w:divBdr>
    </w:div>
    <w:div w:id="572200099">
      <w:bodyDiv w:val="1"/>
      <w:marLeft w:val="0"/>
      <w:marRight w:val="0"/>
      <w:marTop w:val="0"/>
      <w:marBottom w:val="0"/>
      <w:divBdr>
        <w:top w:val="none" w:sz="0" w:space="0" w:color="auto"/>
        <w:left w:val="none" w:sz="0" w:space="0" w:color="auto"/>
        <w:bottom w:val="none" w:sz="0" w:space="0" w:color="auto"/>
        <w:right w:val="none" w:sz="0" w:space="0" w:color="auto"/>
      </w:divBdr>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0804454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20723816">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37564252">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56806369">
      <w:bodyDiv w:val="1"/>
      <w:marLeft w:val="0"/>
      <w:marRight w:val="0"/>
      <w:marTop w:val="0"/>
      <w:marBottom w:val="0"/>
      <w:divBdr>
        <w:top w:val="none" w:sz="0" w:space="0" w:color="auto"/>
        <w:left w:val="none" w:sz="0" w:space="0" w:color="auto"/>
        <w:bottom w:val="none" w:sz="0" w:space="0" w:color="auto"/>
        <w:right w:val="none" w:sz="0" w:space="0" w:color="auto"/>
      </w:divBdr>
    </w:div>
    <w:div w:id="657997314">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4212286">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7267133">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0162731">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7369596">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697580672">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28772329">
      <w:bodyDiv w:val="1"/>
      <w:marLeft w:val="0"/>
      <w:marRight w:val="0"/>
      <w:marTop w:val="0"/>
      <w:marBottom w:val="0"/>
      <w:divBdr>
        <w:top w:val="none" w:sz="0" w:space="0" w:color="auto"/>
        <w:left w:val="none" w:sz="0" w:space="0" w:color="auto"/>
        <w:bottom w:val="none" w:sz="0" w:space="0" w:color="auto"/>
        <w:right w:val="none" w:sz="0" w:space="0" w:color="auto"/>
      </w:divBdr>
    </w:div>
    <w:div w:id="756444600">
      <w:bodyDiv w:val="1"/>
      <w:marLeft w:val="0"/>
      <w:marRight w:val="0"/>
      <w:marTop w:val="0"/>
      <w:marBottom w:val="0"/>
      <w:divBdr>
        <w:top w:val="none" w:sz="0" w:space="0" w:color="auto"/>
        <w:left w:val="none" w:sz="0" w:space="0" w:color="auto"/>
        <w:bottom w:val="none" w:sz="0" w:space="0" w:color="auto"/>
        <w:right w:val="none" w:sz="0" w:space="0" w:color="auto"/>
      </w:divBdr>
    </w:div>
    <w:div w:id="772358527">
      <w:bodyDiv w:val="1"/>
      <w:marLeft w:val="0"/>
      <w:marRight w:val="0"/>
      <w:marTop w:val="0"/>
      <w:marBottom w:val="0"/>
      <w:divBdr>
        <w:top w:val="none" w:sz="0" w:space="0" w:color="auto"/>
        <w:left w:val="none" w:sz="0" w:space="0" w:color="auto"/>
        <w:bottom w:val="none" w:sz="0" w:space="0" w:color="auto"/>
        <w:right w:val="none" w:sz="0" w:space="0" w:color="auto"/>
      </w:divBdr>
    </w:div>
    <w:div w:id="775177054">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117">
      <w:bodyDiv w:val="1"/>
      <w:marLeft w:val="0"/>
      <w:marRight w:val="0"/>
      <w:marTop w:val="0"/>
      <w:marBottom w:val="0"/>
      <w:divBdr>
        <w:top w:val="none" w:sz="0" w:space="0" w:color="auto"/>
        <w:left w:val="none" w:sz="0" w:space="0" w:color="auto"/>
        <w:bottom w:val="none" w:sz="0" w:space="0" w:color="auto"/>
        <w:right w:val="none" w:sz="0" w:space="0" w:color="auto"/>
      </w:divBdr>
    </w:div>
    <w:div w:id="809136290">
      <w:bodyDiv w:val="1"/>
      <w:marLeft w:val="0"/>
      <w:marRight w:val="0"/>
      <w:marTop w:val="0"/>
      <w:marBottom w:val="0"/>
      <w:divBdr>
        <w:top w:val="none" w:sz="0" w:space="0" w:color="auto"/>
        <w:left w:val="none" w:sz="0" w:space="0" w:color="auto"/>
        <w:bottom w:val="none" w:sz="0" w:space="0" w:color="auto"/>
        <w:right w:val="none" w:sz="0" w:space="0" w:color="auto"/>
      </w:divBdr>
    </w:div>
    <w:div w:id="821503360">
      <w:bodyDiv w:val="1"/>
      <w:marLeft w:val="0"/>
      <w:marRight w:val="0"/>
      <w:marTop w:val="0"/>
      <w:marBottom w:val="0"/>
      <w:divBdr>
        <w:top w:val="none" w:sz="0" w:space="0" w:color="auto"/>
        <w:left w:val="none" w:sz="0" w:space="0" w:color="auto"/>
        <w:bottom w:val="none" w:sz="0" w:space="0" w:color="auto"/>
        <w:right w:val="none" w:sz="0" w:space="0" w:color="auto"/>
      </w:divBdr>
    </w:div>
    <w:div w:id="825514701">
      <w:bodyDiv w:val="1"/>
      <w:marLeft w:val="0"/>
      <w:marRight w:val="0"/>
      <w:marTop w:val="0"/>
      <w:marBottom w:val="0"/>
      <w:divBdr>
        <w:top w:val="none" w:sz="0" w:space="0" w:color="auto"/>
        <w:left w:val="none" w:sz="0" w:space="0" w:color="auto"/>
        <w:bottom w:val="none" w:sz="0" w:space="0" w:color="auto"/>
        <w:right w:val="none" w:sz="0" w:space="0" w:color="auto"/>
      </w:divBdr>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3302173">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58007963">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0462502">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79127346">
      <w:bodyDiv w:val="1"/>
      <w:marLeft w:val="0"/>
      <w:marRight w:val="0"/>
      <w:marTop w:val="0"/>
      <w:marBottom w:val="0"/>
      <w:divBdr>
        <w:top w:val="none" w:sz="0" w:space="0" w:color="auto"/>
        <w:left w:val="none" w:sz="0" w:space="0" w:color="auto"/>
        <w:bottom w:val="none" w:sz="0" w:space="0" w:color="auto"/>
        <w:right w:val="none" w:sz="0" w:space="0" w:color="auto"/>
      </w:divBdr>
      <w:divsChild>
        <w:div w:id="664088597">
          <w:marLeft w:val="0"/>
          <w:marRight w:val="0"/>
          <w:marTop w:val="0"/>
          <w:marBottom w:val="0"/>
          <w:divBdr>
            <w:top w:val="none" w:sz="0" w:space="0" w:color="auto"/>
            <w:left w:val="none" w:sz="0" w:space="0" w:color="auto"/>
            <w:bottom w:val="none" w:sz="0" w:space="0" w:color="auto"/>
            <w:right w:val="none" w:sz="0" w:space="0" w:color="auto"/>
          </w:divBdr>
          <w:divsChild>
            <w:div w:id="2050759966">
              <w:marLeft w:val="0"/>
              <w:marRight w:val="0"/>
              <w:marTop w:val="0"/>
              <w:marBottom w:val="0"/>
              <w:divBdr>
                <w:top w:val="none" w:sz="0" w:space="0" w:color="auto"/>
                <w:left w:val="none" w:sz="0" w:space="0" w:color="auto"/>
                <w:bottom w:val="none" w:sz="0" w:space="0" w:color="auto"/>
                <w:right w:val="none" w:sz="0" w:space="0" w:color="auto"/>
              </w:divBdr>
              <w:divsChild>
                <w:div w:id="1985770354">
                  <w:marLeft w:val="0"/>
                  <w:marRight w:val="0"/>
                  <w:marTop w:val="0"/>
                  <w:marBottom w:val="0"/>
                  <w:divBdr>
                    <w:top w:val="none" w:sz="0" w:space="0" w:color="auto"/>
                    <w:left w:val="none" w:sz="0" w:space="0" w:color="auto"/>
                    <w:bottom w:val="none" w:sz="0" w:space="0" w:color="auto"/>
                    <w:right w:val="none" w:sz="0" w:space="0" w:color="auto"/>
                  </w:divBdr>
                  <w:divsChild>
                    <w:div w:id="19438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6950">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887423886">
      <w:bodyDiv w:val="1"/>
      <w:marLeft w:val="0"/>
      <w:marRight w:val="0"/>
      <w:marTop w:val="0"/>
      <w:marBottom w:val="0"/>
      <w:divBdr>
        <w:top w:val="none" w:sz="0" w:space="0" w:color="auto"/>
        <w:left w:val="none" w:sz="0" w:space="0" w:color="auto"/>
        <w:bottom w:val="none" w:sz="0" w:space="0" w:color="auto"/>
        <w:right w:val="none" w:sz="0" w:space="0" w:color="auto"/>
      </w:divBdr>
    </w:div>
    <w:div w:id="899906257">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19144008">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29117287">
      <w:bodyDiv w:val="1"/>
      <w:marLeft w:val="0"/>
      <w:marRight w:val="0"/>
      <w:marTop w:val="0"/>
      <w:marBottom w:val="0"/>
      <w:divBdr>
        <w:top w:val="none" w:sz="0" w:space="0" w:color="auto"/>
        <w:left w:val="none" w:sz="0" w:space="0" w:color="auto"/>
        <w:bottom w:val="none" w:sz="0" w:space="0" w:color="auto"/>
        <w:right w:val="none" w:sz="0" w:space="0" w:color="auto"/>
      </w:divBdr>
    </w:div>
    <w:div w:id="930965978">
      <w:bodyDiv w:val="1"/>
      <w:marLeft w:val="0"/>
      <w:marRight w:val="0"/>
      <w:marTop w:val="0"/>
      <w:marBottom w:val="0"/>
      <w:divBdr>
        <w:top w:val="none" w:sz="0" w:space="0" w:color="auto"/>
        <w:left w:val="none" w:sz="0" w:space="0" w:color="auto"/>
        <w:bottom w:val="none" w:sz="0" w:space="0" w:color="auto"/>
        <w:right w:val="none" w:sz="0" w:space="0" w:color="auto"/>
      </w:divBdr>
    </w:div>
    <w:div w:id="938176807">
      <w:bodyDiv w:val="1"/>
      <w:marLeft w:val="0"/>
      <w:marRight w:val="0"/>
      <w:marTop w:val="0"/>
      <w:marBottom w:val="0"/>
      <w:divBdr>
        <w:top w:val="none" w:sz="0" w:space="0" w:color="auto"/>
        <w:left w:val="none" w:sz="0" w:space="0" w:color="auto"/>
        <w:bottom w:val="none" w:sz="0" w:space="0" w:color="auto"/>
        <w:right w:val="none" w:sz="0" w:space="0" w:color="auto"/>
      </w:divBdr>
    </w:div>
    <w:div w:id="943345415">
      <w:bodyDiv w:val="1"/>
      <w:marLeft w:val="0"/>
      <w:marRight w:val="0"/>
      <w:marTop w:val="0"/>
      <w:marBottom w:val="0"/>
      <w:divBdr>
        <w:top w:val="none" w:sz="0" w:space="0" w:color="auto"/>
        <w:left w:val="none" w:sz="0" w:space="0" w:color="auto"/>
        <w:bottom w:val="none" w:sz="0" w:space="0" w:color="auto"/>
        <w:right w:val="none" w:sz="0" w:space="0" w:color="auto"/>
      </w:divBdr>
      <w:divsChild>
        <w:div w:id="642345372">
          <w:marLeft w:val="0"/>
          <w:marRight w:val="0"/>
          <w:marTop w:val="0"/>
          <w:marBottom w:val="0"/>
          <w:divBdr>
            <w:top w:val="none" w:sz="0" w:space="0" w:color="auto"/>
            <w:left w:val="none" w:sz="0" w:space="0" w:color="auto"/>
            <w:bottom w:val="none" w:sz="0" w:space="0" w:color="auto"/>
            <w:right w:val="none" w:sz="0" w:space="0" w:color="auto"/>
          </w:divBdr>
          <w:divsChild>
            <w:div w:id="1739471240">
              <w:marLeft w:val="0"/>
              <w:marRight w:val="0"/>
              <w:marTop w:val="0"/>
              <w:marBottom w:val="0"/>
              <w:divBdr>
                <w:top w:val="none" w:sz="0" w:space="0" w:color="auto"/>
                <w:left w:val="none" w:sz="0" w:space="0" w:color="auto"/>
                <w:bottom w:val="none" w:sz="0" w:space="0" w:color="auto"/>
                <w:right w:val="none" w:sz="0" w:space="0" w:color="auto"/>
              </w:divBdr>
              <w:divsChild>
                <w:div w:id="929704872">
                  <w:marLeft w:val="0"/>
                  <w:marRight w:val="0"/>
                  <w:marTop w:val="0"/>
                  <w:marBottom w:val="0"/>
                  <w:divBdr>
                    <w:top w:val="none" w:sz="0" w:space="0" w:color="auto"/>
                    <w:left w:val="none" w:sz="0" w:space="0" w:color="auto"/>
                    <w:bottom w:val="none" w:sz="0" w:space="0" w:color="auto"/>
                    <w:right w:val="none" w:sz="0" w:space="0" w:color="auto"/>
                  </w:divBdr>
                  <w:divsChild>
                    <w:div w:id="5942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970014358">
      <w:bodyDiv w:val="1"/>
      <w:marLeft w:val="0"/>
      <w:marRight w:val="0"/>
      <w:marTop w:val="0"/>
      <w:marBottom w:val="0"/>
      <w:divBdr>
        <w:top w:val="none" w:sz="0" w:space="0" w:color="auto"/>
        <w:left w:val="none" w:sz="0" w:space="0" w:color="auto"/>
        <w:bottom w:val="none" w:sz="0" w:space="0" w:color="auto"/>
        <w:right w:val="none" w:sz="0" w:space="0" w:color="auto"/>
      </w:divBdr>
    </w:div>
    <w:div w:id="994457279">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5885189">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039861769">
      <w:bodyDiv w:val="1"/>
      <w:marLeft w:val="0"/>
      <w:marRight w:val="0"/>
      <w:marTop w:val="0"/>
      <w:marBottom w:val="0"/>
      <w:divBdr>
        <w:top w:val="none" w:sz="0" w:space="0" w:color="auto"/>
        <w:left w:val="none" w:sz="0" w:space="0" w:color="auto"/>
        <w:bottom w:val="none" w:sz="0" w:space="0" w:color="auto"/>
        <w:right w:val="none" w:sz="0" w:space="0" w:color="auto"/>
      </w:divBdr>
    </w:div>
    <w:div w:id="1046178930">
      <w:bodyDiv w:val="1"/>
      <w:marLeft w:val="0"/>
      <w:marRight w:val="0"/>
      <w:marTop w:val="0"/>
      <w:marBottom w:val="0"/>
      <w:divBdr>
        <w:top w:val="none" w:sz="0" w:space="0" w:color="auto"/>
        <w:left w:val="none" w:sz="0" w:space="0" w:color="auto"/>
        <w:bottom w:val="none" w:sz="0" w:space="0" w:color="auto"/>
        <w:right w:val="none" w:sz="0" w:space="0" w:color="auto"/>
      </w:divBdr>
    </w:div>
    <w:div w:id="1054233110">
      <w:bodyDiv w:val="1"/>
      <w:marLeft w:val="0"/>
      <w:marRight w:val="0"/>
      <w:marTop w:val="0"/>
      <w:marBottom w:val="0"/>
      <w:divBdr>
        <w:top w:val="none" w:sz="0" w:space="0" w:color="auto"/>
        <w:left w:val="none" w:sz="0" w:space="0" w:color="auto"/>
        <w:bottom w:val="none" w:sz="0" w:space="0" w:color="auto"/>
        <w:right w:val="none" w:sz="0" w:space="0" w:color="auto"/>
      </w:divBdr>
    </w:div>
    <w:div w:id="1055618988">
      <w:bodyDiv w:val="1"/>
      <w:marLeft w:val="0"/>
      <w:marRight w:val="0"/>
      <w:marTop w:val="0"/>
      <w:marBottom w:val="0"/>
      <w:divBdr>
        <w:top w:val="none" w:sz="0" w:space="0" w:color="auto"/>
        <w:left w:val="none" w:sz="0" w:space="0" w:color="auto"/>
        <w:bottom w:val="none" w:sz="0" w:space="0" w:color="auto"/>
        <w:right w:val="none" w:sz="0" w:space="0" w:color="auto"/>
      </w:divBdr>
    </w:div>
    <w:div w:id="1058750833">
      <w:bodyDiv w:val="1"/>
      <w:marLeft w:val="0"/>
      <w:marRight w:val="0"/>
      <w:marTop w:val="0"/>
      <w:marBottom w:val="0"/>
      <w:divBdr>
        <w:top w:val="none" w:sz="0" w:space="0" w:color="auto"/>
        <w:left w:val="none" w:sz="0" w:space="0" w:color="auto"/>
        <w:bottom w:val="none" w:sz="0" w:space="0" w:color="auto"/>
        <w:right w:val="none" w:sz="0" w:space="0" w:color="auto"/>
      </w:divBdr>
    </w:div>
    <w:div w:id="1065567681">
      <w:bodyDiv w:val="1"/>
      <w:marLeft w:val="0"/>
      <w:marRight w:val="0"/>
      <w:marTop w:val="0"/>
      <w:marBottom w:val="0"/>
      <w:divBdr>
        <w:top w:val="none" w:sz="0" w:space="0" w:color="auto"/>
        <w:left w:val="none" w:sz="0" w:space="0" w:color="auto"/>
        <w:bottom w:val="none" w:sz="0" w:space="0" w:color="auto"/>
        <w:right w:val="none" w:sz="0" w:space="0" w:color="auto"/>
      </w:divBdr>
    </w:div>
    <w:div w:id="1069353061">
      <w:bodyDiv w:val="1"/>
      <w:marLeft w:val="0"/>
      <w:marRight w:val="0"/>
      <w:marTop w:val="0"/>
      <w:marBottom w:val="0"/>
      <w:divBdr>
        <w:top w:val="none" w:sz="0" w:space="0" w:color="auto"/>
        <w:left w:val="none" w:sz="0" w:space="0" w:color="auto"/>
        <w:bottom w:val="none" w:sz="0" w:space="0" w:color="auto"/>
        <w:right w:val="none" w:sz="0" w:space="0" w:color="auto"/>
      </w:divBdr>
    </w:div>
    <w:div w:id="1076823701">
      <w:bodyDiv w:val="1"/>
      <w:marLeft w:val="0"/>
      <w:marRight w:val="0"/>
      <w:marTop w:val="0"/>
      <w:marBottom w:val="0"/>
      <w:divBdr>
        <w:top w:val="none" w:sz="0" w:space="0" w:color="auto"/>
        <w:left w:val="none" w:sz="0" w:space="0" w:color="auto"/>
        <w:bottom w:val="none" w:sz="0" w:space="0" w:color="auto"/>
        <w:right w:val="none" w:sz="0" w:space="0" w:color="auto"/>
      </w:divBdr>
    </w:div>
    <w:div w:id="1077246502">
      <w:bodyDiv w:val="1"/>
      <w:marLeft w:val="0"/>
      <w:marRight w:val="0"/>
      <w:marTop w:val="0"/>
      <w:marBottom w:val="0"/>
      <w:divBdr>
        <w:top w:val="none" w:sz="0" w:space="0" w:color="auto"/>
        <w:left w:val="none" w:sz="0" w:space="0" w:color="auto"/>
        <w:bottom w:val="none" w:sz="0" w:space="0" w:color="auto"/>
        <w:right w:val="none" w:sz="0" w:space="0" w:color="auto"/>
      </w:divBdr>
    </w:div>
    <w:div w:id="1077937806">
      <w:bodyDiv w:val="1"/>
      <w:marLeft w:val="0"/>
      <w:marRight w:val="0"/>
      <w:marTop w:val="0"/>
      <w:marBottom w:val="0"/>
      <w:divBdr>
        <w:top w:val="none" w:sz="0" w:space="0" w:color="auto"/>
        <w:left w:val="none" w:sz="0" w:space="0" w:color="auto"/>
        <w:bottom w:val="none" w:sz="0" w:space="0" w:color="auto"/>
        <w:right w:val="none" w:sz="0" w:space="0" w:color="auto"/>
      </w:divBdr>
    </w:div>
    <w:div w:id="1089352561">
      <w:bodyDiv w:val="1"/>
      <w:marLeft w:val="0"/>
      <w:marRight w:val="0"/>
      <w:marTop w:val="0"/>
      <w:marBottom w:val="0"/>
      <w:divBdr>
        <w:top w:val="none" w:sz="0" w:space="0" w:color="auto"/>
        <w:left w:val="none" w:sz="0" w:space="0" w:color="auto"/>
        <w:bottom w:val="none" w:sz="0" w:space="0" w:color="auto"/>
        <w:right w:val="none" w:sz="0" w:space="0" w:color="auto"/>
      </w:divBdr>
    </w:div>
    <w:div w:id="1099058703">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03573638">
      <w:bodyDiv w:val="1"/>
      <w:marLeft w:val="0"/>
      <w:marRight w:val="0"/>
      <w:marTop w:val="0"/>
      <w:marBottom w:val="0"/>
      <w:divBdr>
        <w:top w:val="none" w:sz="0" w:space="0" w:color="auto"/>
        <w:left w:val="none" w:sz="0" w:space="0" w:color="auto"/>
        <w:bottom w:val="none" w:sz="0" w:space="0" w:color="auto"/>
        <w:right w:val="none" w:sz="0" w:space="0" w:color="auto"/>
      </w:divBdr>
    </w:div>
    <w:div w:id="1114711119">
      <w:bodyDiv w:val="1"/>
      <w:marLeft w:val="0"/>
      <w:marRight w:val="0"/>
      <w:marTop w:val="0"/>
      <w:marBottom w:val="0"/>
      <w:divBdr>
        <w:top w:val="none" w:sz="0" w:space="0" w:color="auto"/>
        <w:left w:val="none" w:sz="0" w:space="0" w:color="auto"/>
        <w:bottom w:val="none" w:sz="0" w:space="0" w:color="auto"/>
        <w:right w:val="none" w:sz="0" w:space="0" w:color="auto"/>
      </w:divBdr>
    </w:div>
    <w:div w:id="1121415981">
      <w:bodyDiv w:val="1"/>
      <w:marLeft w:val="0"/>
      <w:marRight w:val="0"/>
      <w:marTop w:val="0"/>
      <w:marBottom w:val="0"/>
      <w:divBdr>
        <w:top w:val="none" w:sz="0" w:space="0" w:color="auto"/>
        <w:left w:val="none" w:sz="0" w:space="0" w:color="auto"/>
        <w:bottom w:val="none" w:sz="0" w:space="0" w:color="auto"/>
        <w:right w:val="none" w:sz="0" w:space="0" w:color="auto"/>
      </w:divBdr>
    </w:div>
    <w:div w:id="1121806894">
      <w:bodyDiv w:val="1"/>
      <w:marLeft w:val="0"/>
      <w:marRight w:val="0"/>
      <w:marTop w:val="0"/>
      <w:marBottom w:val="0"/>
      <w:divBdr>
        <w:top w:val="none" w:sz="0" w:space="0" w:color="auto"/>
        <w:left w:val="none" w:sz="0" w:space="0" w:color="auto"/>
        <w:bottom w:val="none" w:sz="0" w:space="0" w:color="auto"/>
        <w:right w:val="none" w:sz="0" w:space="0" w:color="auto"/>
      </w:divBdr>
    </w:div>
    <w:div w:id="1126773612">
      <w:bodyDiv w:val="1"/>
      <w:marLeft w:val="0"/>
      <w:marRight w:val="0"/>
      <w:marTop w:val="0"/>
      <w:marBottom w:val="0"/>
      <w:divBdr>
        <w:top w:val="none" w:sz="0" w:space="0" w:color="auto"/>
        <w:left w:val="none" w:sz="0" w:space="0" w:color="auto"/>
        <w:bottom w:val="none" w:sz="0" w:space="0" w:color="auto"/>
        <w:right w:val="none" w:sz="0" w:space="0" w:color="auto"/>
      </w:divBdr>
    </w:div>
    <w:div w:id="1130126172">
      <w:bodyDiv w:val="1"/>
      <w:marLeft w:val="0"/>
      <w:marRight w:val="0"/>
      <w:marTop w:val="0"/>
      <w:marBottom w:val="0"/>
      <w:divBdr>
        <w:top w:val="none" w:sz="0" w:space="0" w:color="auto"/>
        <w:left w:val="none" w:sz="0" w:space="0" w:color="auto"/>
        <w:bottom w:val="none" w:sz="0" w:space="0" w:color="auto"/>
        <w:right w:val="none" w:sz="0" w:space="0" w:color="auto"/>
      </w:divBdr>
    </w:div>
    <w:div w:id="1132289593">
      <w:bodyDiv w:val="1"/>
      <w:marLeft w:val="0"/>
      <w:marRight w:val="0"/>
      <w:marTop w:val="0"/>
      <w:marBottom w:val="0"/>
      <w:divBdr>
        <w:top w:val="none" w:sz="0" w:space="0" w:color="auto"/>
        <w:left w:val="none" w:sz="0" w:space="0" w:color="auto"/>
        <w:bottom w:val="none" w:sz="0" w:space="0" w:color="auto"/>
        <w:right w:val="none" w:sz="0" w:space="0" w:color="auto"/>
      </w:divBdr>
    </w:div>
    <w:div w:id="1137917246">
      <w:bodyDiv w:val="1"/>
      <w:marLeft w:val="0"/>
      <w:marRight w:val="0"/>
      <w:marTop w:val="0"/>
      <w:marBottom w:val="0"/>
      <w:divBdr>
        <w:top w:val="none" w:sz="0" w:space="0" w:color="auto"/>
        <w:left w:val="none" w:sz="0" w:space="0" w:color="auto"/>
        <w:bottom w:val="none" w:sz="0" w:space="0" w:color="auto"/>
        <w:right w:val="none" w:sz="0" w:space="0" w:color="auto"/>
      </w:divBdr>
    </w:div>
    <w:div w:id="1147822395">
      <w:bodyDiv w:val="1"/>
      <w:marLeft w:val="0"/>
      <w:marRight w:val="0"/>
      <w:marTop w:val="0"/>
      <w:marBottom w:val="0"/>
      <w:divBdr>
        <w:top w:val="none" w:sz="0" w:space="0" w:color="auto"/>
        <w:left w:val="none" w:sz="0" w:space="0" w:color="auto"/>
        <w:bottom w:val="none" w:sz="0" w:space="0" w:color="auto"/>
        <w:right w:val="none" w:sz="0" w:space="0" w:color="auto"/>
      </w:divBdr>
    </w:div>
    <w:div w:id="1155030934">
      <w:bodyDiv w:val="1"/>
      <w:marLeft w:val="0"/>
      <w:marRight w:val="0"/>
      <w:marTop w:val="0"/>
      <w:marBottom w:val="0"/>
      <w:divBdr>
        <w:top w:val="none" w:sz="0" w:space="0" w:color="auto"/>
        <w:left w:val="none" w:sz="0" w:space="0" w:color="auto"/>
        <w:bottom w:val="none" w:sz="0" w:space="0" w:color="auto"/>
        <w:right w:val="none" w:sz="0" w:space="0" w:color="auto"/>
      </w:divBdr>
    </w:div>
    <w:div w:id="1157380783">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164780808">
      <w:bodyDiv w:val="1"/>
      <w:marLeft w:val="0"/>
      <w:marRight w:val="0"/>
      <w:marTop w:val="0"/>
      <w:marBottom w:val="0"/>
      <w:divBdr>
        <w:top w:val="none" w:sz="0" w:space="0" w:color="auto"/>
        <w:left w:val="none" w:sz="0" w:space="0" w:color="auto"/>
        <w:bottom w:val="none" w:sz="0" w:space="0" w:color="auto"/>
        <w:right w:val="none" w:sz="0" w:space="0" w:color="auto"/>
      </w:divBdr>
    </w:div>
    <w:div w:id="1174764169">
      <w:bodyDiv w:val="1"/>
      <w:marLeft w:val="0"/>
      <w:marRight w:val="0"/>
      <w:marTop w:val="0"/>
      <w:marBottom w:val="0"/>
      <w:divBdr>
        <w:top w:val="none" w:sz="0" w:space="0" w:color="auto"/>
        <w:left w:val="none" w:sz="0" w:space="0" w:color="auto"/>
        <w:bottom w:val="none" w:sz="0" w:space="0" w:color="auto"/>
        <w:right w:val="none" w:sz="0" w:space="0" w:color="auto"/>
      </w:divBdr>
    </w:div>
    <w:div w:id="1191921318">
      <w:bodyDiv w:val="1"/>
      <w:marLeft w:val="0"/>
      <w:marRight w:val="0"/>
      <w:marTop w:val="0"/>
      <w:marBottom w:val="0"/>
      <w:divBdr>
        <w:top w:val="none" w:sz="0" w:space="0" w:color="auto"/>
        <w:left w:val="none" w:sz="0" w:space="0" w:color="auto"/>
        <w:bottom w:val="none" w:sz="0" w:space="0" w:color="auto"/>
        <w:right w:val="none" w:sz="0" w:space="0" w:color="auto"/>
      </w:divBdr>
    </w:div>
    <w:div w:id="1194342004">
      <w:bodyDiv w:val="1"/>
      <w:marLeft w:val="0"/>
      <w:marRight w:val="0"/>
      <w:marTop w:val="0"/>
      <w:marBottom w:val="0"/>
      <w:divBdr>
        <w:top w:val="none" w:sz="0" w:space="0" w:color="auto"/>
        <w:left w:val="none" w:sz="0" w:space="0" w:color="auto"/>
        <w:bottom w:val="none" w:sz="0" w:space="0" w:color="auto"/>
        <w:right w:val="none" w:sz="0" w:space="0" w:color="auto"/>
      </w:divBdr>
    </w:div>
    <w:div w:id="1196239057">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15963709">
      <w:bodyDiv w:val="1"/>
      <w:marLeft w:val="0"/>
      <w:marRight w:val="0"/>
      <w:marTop w:val="0"/>
      <w:marBottom w:val="0"/>
      <w:divBdr>
        <w:top w:val="none" w:sz="0" w:space="0" w:color="auto"/>
        <w:left w:val="none" w:sz="0" w:space="0" w:color="auto"/>
        <w:bottom w:val="none" w:sz="0" w:space="0" w:color="auto"/>
        <w:right w:val="none" w:sz="0" w:space="0" w:color="auto"/>
      </w:divBdr>
    </w:div>
    <w:div w:id="1217089543">
      <w:bodyDiv w:val="1"/>
      <w:marLeft w:val="0"/>
      <w:marRight w:val="0"/>
      <w:marTop w:val="0"/>
      <w:marBottom w:val="0"/>
      <w:divBdr>
        <w:top w:val="none" w:sz="0" w:space="0" w:color="auto"/>
        <w:left w:val="none" w:sz="0" w:space="0" w:color="auto"/>
        <w:bottom w:val="none" w:sz="0" w:space="0" w:color="auto"/>
        <w:right w:val="none" w:sz="0" w:space="0" w:color="auto"/>
      </w:divBdr>
    </w:div>
    <w:div w:id="1221985055">
      <w:bodyDiv w:val="1"/>
      <w:marLeft w:val="0"/>
      <w:marRight w:val="0"/>
      <w:marTop w:val="0"/>
      <w:marBottom w:val="0"/>
      <w:divBdr>
        <w:top w:val="none" w:sz="0" w:space="0" w:color="auto"/>
        <w:left w:val="none" w:sz="0" w:space="0" w:color="auto"/>
        <w:bottom w:val="none" w:sz="0" w:space="0" w:color="auto"/>
        <w:right w:val="none" w:sz="0" w:space="0" w:color="auto"/>
      </w:divBdr>
    </w:div>
    <w:div w:id="1229730221">
      <w:bodyDiv w:val="1"/>
      <w:marLeft w:val="0"/>
      <w:marRight w:val="0"/>
      <w:marTop w:val="0"/>
      <w:marBottom w:val="0"/>
      <w:divBdr>
        <w:top w:val="none" w:sz="0" w:space="0" w:color="auto"/>
        <w:left w:val="none" w:sz="0" w:space="0" w:color="auto"/>
        <w:bottom w:val="none" w:sz="0" w:space="0" w:color="auto"/>
        <w:right w:val="none" w:sz="0" w:space="0" w:color="auto"/>
      </w:divBdr>
    </w:div>
    <w:div w:id="1230921079">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43831594">
      <w:bodyDiv w:val="1"/>
      <w:marLeft w:val="0"/>
      <w:marRight w:val="0"/>
      <w:marTop w:val="0"/>
      <w:marBottom w:val="0"/>
      <w:divBdr>
        <w:top w:val="none" w:sz="0" w:space="0" w:color="auto"/>
        <w:left w:val="none" w:sz="0" w:space="0" w:color="auto"/>
        <w:bottom w:val="none" w:sz="0" w:space="0" w:color="auto"/>
        <w:right w:val="none" w:sz="0" w:space="0" w:color="auto"/>
      </w:divBdr>
    </w:div>
    <w:div w:id="124899876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74484604">
      <w:bodyDiv w:val="1"/>
      <w:marLeft w:val="0"/>
      <w:marRight w:val="0"/>
      <w:marTop w:val="0"/>
      <w:marBottom w:val="0"/>
      <w:divBdr>
        <w:top w:val="none" w:sz="0" w:space="0" w:color="auto"/>
        <w:left w:val="none" w:sz="0" w:space="0" w:color="auto"/>
        <w:bottom w:val="none" w:sz="0" w:space="0" w:color="auto"/>
        <w:right w:val="none" w:sz="0" w:space="0" w:color="auto"/>
      </w:divBdr>
    </w:div>
    <w:div w:id="1281455188">
      <w:bodyDiv w:val="1"/>
      <w:marLeft w:val="0"/>
      <w:marRight w:val="0"/>
      <w:marTop w:val="0"/>
      <w:marBottom w:val="0"/>
      <w:divBdr>
        <w:top w:val="none" w:sz="0" w:space="0" w:color="auto"/>
        <w:left w:val="none" w:sz="0" w:space="0" w:color="auto"/>
        <w:bottom w:val="none" w:sz="0" w:space="0" w:color="auto"/>
        <w:right w:val="none" w:sz="0" w:space="0" w:color="auto"/>
      </w:divBdr>
    </w:div>
    <w:div w:id="1282762833">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04236699">
      <w:bodyDiv w:val="1"/>
      <w:marLeft w:val="0"/>
      <w:marRight w:val="0"/>
      <w:marTop w:val="0"/>
      <w:marBottom w:val="0"/>
      <w:divBdr>
        <w:top w:val="none" w:sz="0" w:space="0" w:color="auto"/>
        <w:left w:val="none" w:sz="0" w:space="0" w:color="auto"/>
        <w:bottom w:val="none" w:sz="0" w:space="0" w:color="auto"/>
        <w:right w:val="none" w:sz="0" w:space="0" w:color="auto"/>
      </w:divBdr>
      <w:divsChild>
        <w:div w:id="1695183091">
          <w:marLeft w:val="0"/>
          <w:marRight w:val="0"/>
          <w:marTop w:val="0"/>
          <w:marBottom w:val="0"/>
          <w:divBdr>
            <w:top w:val="none" w:sz="0" w:space="0" w:color="auto"/>
            <w:left w:val="none" w:sz="0" w:space="0" w:color="auto"/>
            <w:bottom w:val="none" w:sz="0" w:space="0" w:color="auto"/>
            <w:right w:val="none" w:sz="0" w:space="0" w:color="auto"/>
          </w:divBdr>
          <w:divsChild>
            <w:div w:id="1890149335">
              <w:marLeft w:val="0"/>
              <w:marRight w:val="0"/>
              <w:marTop w:val="0"/>
              <w:marBottom w:val="0"/>
              <w:divBdr>
                <w:top w:val="none" w:sz="0" w:space="0" w:color="auto"/>
                <w:left w:val="none" w:sz="0" w:space="0" w:color="auto"/>
                <w:bottom w:val="none" w:sz="0" w:space="0" w:color="auto"/>
                <w:right w:val="none" w:sz="0" w:space="0" w:color="auto"/>
              </w:divBdr>
              <w:divsChild>
                <w:div w:id="1513639984">
                  <w:marLeft w:val="0"/>
                  <w:marRight w:val="0"/>
                  <w:marTop w:val="0"/>
                  <w:marBottom w:val="0"/>
                  <w:divBdr>
                    <w:top w:val="none" w:sz="0" w:space="0" w:color="auto"/>
                    <w:left w:val="none" w:sz="0" w:space="0" w:color="auto"/>
                    <w:bottom w:val="none" w:sz="0" w:space="0" w:color="auto"/>
                    <w:right w:val="none" w:sz="0" w:space="0" w:color="auto"/>
                  </w:divBdr>
                  <w:divsChild>
                    <w:div w:id="19980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27397998">
      <w:bodyDiv w:val="1"/>
      <w:marLeft w:val="0"/>
      <w:marRight w:val="0"/>
      <w:marTop w:val="0"/>
      <w:marBottom w:val="0"/>
      <w:divBdr>
        <w:top w:val="none" w:sz="0" w:space="0" w:color="auto"/>
        <w:left w:val="none" w:sz="0" w:space="0" w:color="auto"/>
        <w:bottom w:val="none" w:sz="0" w:space="0" w:color="auto"/>
        <w:right w:val="none" w:sz="0" w:space="0" w:color="auto"/>
      </w:divBdr>
    </w:div>
    <w:div w:id="1329139382">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341666338">
      <w:bodyDiv w:val="1"/>
      <w:marLeft w:val="0"/>
      <w:marRight w:val="0"/>
      <w:marTop w:val="0"/>
      <w:marBottom w:val="0"/>
      <w:divBdr>
        <w:top w:val="none" w:sz="0" w:space="0" w:color="auto"/>
        <w:left w:val="none" w:sz="0" w:space="0" w:color="auto"/>
        <w:bottom w:val="none" w:sz="0" w:space="0" w:color="auto"/>
        <w:right w:val="none" w:sz="0" w:space="0" w:color="auto"/>
      </w:divBdr>
    </w:div>
    <w:div w:id="1352296047">
      <w:bodyDiv w:val="1"/>
      <w:marLeft w:val="0"/>
      <w:marRight w:val="0"/>
      <w:marTop w:val="0"/>
      <w:marBottom w:val="0"/>
      <w:divBdr>
        <w:top w:val="none" w:sz="0" w:space="0" w:color="auto"/>
        <w:left w:val="none" w:sz="0" w:space="0" w:color="auto"/>
        <w:bottom w:val="none" w:sz="0" w:space="0" w:color="auto"/>
        <w:right w:val="none" w:sz="0" w:space="0" w:color="auto"/>
      </w:divBdr>
    </w:div>
    <w:div w:id="1356731070">
      <w:bodyDiv w:val="1"/>
      <w:marLeft w:val="0"/>
      <w:marRight w:val="0"/>
      <w:marTop w:val="0"/>
      <w:marBottom w:val="0"/>
      <w:divBdr>
        <w:top w:val="none" w:sz="0" w:space="0" w:color="auto"/>
        <w:left w:val="none" w:sz="0" w:space="0" w:color="auto"/>
        <w:bottom w:val="none" w:sz="0" w:space="0" w:color="auto"/>
        <w:right w:val="none" w:sz="0" w:space="0" w:color="auto"/>
      </w:divBdr>
    </w:div>
    <w:div w:id="1373310999">
      <w:bodyDiv w:val="1"/>
      <w:marLeft w:val="0"/>
      <w:marRight w:val="0"/>
      <w:marTop w:val="0"/>
      <w:marBottom w:val="0"/>
      <w:divBdr>
        <w:top w:val="none" w:sz="0" w:space="0" w:color="auto"/>
        <w:left w:val="none" w:sz="0" w:space="0" w:color="auto"/>
        <w:bottom w:val="none" w:sz="0" w:space="0" w:color="auto"/>
        <w:right w:val="none" w:sz="0" w:space="0" w:color="auto"/>
      </w:divBdr>
    </w:div>
    <w:div w:id="1377386777">
      <w:bodyDiv w:val="1"/>
      <w:marLeft w:val="0"/>
      <w:marRight w:val="0"/>
      <w:marTop w:val="0"/>
      <w:marBottom w:val="0"/>
      <w:divBdr>
        <w:top w:val="none" w:sz="0" w:space="0" w:color="auto"/>
        <w:left w:val="none" w:sz="0" w:space="0" w:color="auto"/>
        <w:bottom w:val="none" w:sz="0" w:space="0" w:color="auto"/>
        <w:right w:val="none" w:sz="0" w:space="0" w:color="auto"/>
      </w:divBdr>
    </w:div>
    <w:div w:id="1381830611">
      <w:bodyDiv w:val="1"/>
      <w:marLeft w:val="0"/>
      <w:marRight w:val="0"/>
      <w:marTop w:val="0"/>
      <w:marBottom w:val="0"/>
      <w:divBdr>
        <w:top w:val="none" w:sz="0" w:space="0" w:color="auto"/>
        <w:left w:val="none" w:sz="0" w:space="0" w:color="auto"/>
        <w:bottom w:val="none" w:sz="0" w:space="0" w:color="auto"/>
        <w:right w:val="none" w:sz="0" w:space="0" w:color="auto"/>
      </w:divBdr>
    </w:div>
    <w:div w:id="1410809887">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19911301">
      <w:bodyDiv w:val="1"/>
      <w:marLeft w:val="0"/>
      <w:marRight w:val="0"/>
      <w:marTop w:val="0"/>
      <w:marBottom w:val="0"/>
      <w:divBdr>
        <w:top w:val="none" w:sz="0" w:space="0" w:color="auto"/>
        <w:left w:val="none" w:sz="0" w:space="0" w:color="auto"/>
        <w:bottom w:val="none" w:sz="0" w:space="0" w:color="auto"/>
        <w:right w:val="none" w:sz="0" w:space="0" w:color="auto"/>
      </w:divBdr>
    </w:div>
    <w:div w:id="1427994734">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36369384">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469590252">
      <w:bodyDiv w:val="1"/>
      <w:marLeft w:val="0"/>
      <w:marRight w:val="0"/>
      <w:marTop w:val="0"/>
      <w:marBottom w:val="0"/>
      <w:divBdr>
        <w:top w:val="none" w:sz="0" w:space="0" w:color="auto"/>
        <w:left w:val="none" w:sz="0" w:space="0" w:color="auto"/>
        <w:bottom w:val="none" w:sz="0" w:space="0" w:color="auto"/>
        <w:right w:val="none" w:sz="0" w:space="0" w:color="auto"/>
      </w:divBdr>
    </w:div>
    <w:div w:id="1473644321">
      <w:bodyDiv w:val="1"/>
      <w:marLeft w:val="0"/>
      <w:marRight w:val="0"/>
      <w:marTop w:val="0"/>
      <w:marBottom w:val="0"/>
      <w:divBdr>
        <w:top w:val="none" w:sz="0" w:space="0" w:color="auto"/>
        <w:left w:val="none" w:sz="0" w:space="0" w:color="auto"/>
        <w:bottom w:val="none" w:sz="0" w:space="0" w:color="auto"/>
        <w:right w:val="none" w:sz="0" w:space="0" w:color="auto"/>
      </w:divBdr>
    </w:div>
    <w:div w:id="1500543136">
      <w:bodyDiv w:val="1"/>
      <w:marLeft w:val="0"/>
      <w:marRight w:val="0"/>
      <w:marTop w:val="0"/>
      <w:marBottom w:val="0"/>
      <w:divBdr>
        <w:top w:val="none" w:sz="0" w:space="0" w:color="auto"/>
        <w:left w:val="none" w:sz="0" w:space="0" w:color="auto"/>
        <w:bottom w:val="none" w:sz="0" w:space="0" w:color="auto"/>
        <w:right w:val="none" w:sz="0" w:space="0" w:color="auto"/>
      </w:divBdr>
    </w:div>
    <w:div w:id="1503280325">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1872877">
      <w:bodyDiv w:val="1"/>
      <w:marLeft w:val="0"/>
      <w:marRight w:val="0"/>
      <w:marTop w:val="0"/>
      <w:marBottom w:val="0"/>
      <w:divBdr>
        <w:top w:val="none" w:sz="0" w:space="0" w:color="auto"/>
        <w:left w:val="none" w:sz="0" w:space="0" w:color="auto"/>
        <w:bottom w:val="none" w:sz="0" w:space="0" w:color="auto"/>
        <w:right w:val="none" w:sz="0" w:space="0" w:color="auto"/>
      </w:divBdr>
    </w:div>
    <w:div w:id="1513642219">
      <w:bodyDiv w:val="1"/>
      <w:marLeft w:val="0"/>
      <w:marRight w:val="0"/>
      <w:marTop w:val="0"/>
      <w:marBottom w:val="0"/>
      <w:divBdr>
        <w:top w:val="none" w:sz="0" w:space="0" w:color="auto"/>
        <w:left w:val="none" w:sz="0" w:space="0" w:color="auto"/>
        <w:bottom w:val="none" w:sz="0" w:space="0" w:color="auto"/>
        <w:right w:val="none" w:sz="0" w:space="0" w:color="auto"/>
      </w:divBdr>
    </w:div>
    <w:div w:id="1514565948">
      <w:bodyDiv w:val="1"/>
      <w:marLeft w:val="0"/>
      <w:marRight w:val="0"/>
      <w:marTop w:val="0"/>
      <w:marBottom w:val="0"/>
      <w:divBdr>
        <w:top w:val="none" w:sz="0" w:space="0" w:color="auto"/>
        <w:left w:val="none" w:sz="0" w:space="0" w:color="auto"/>
        <w:bottom w:val="none" w:sz="0" w:space="0" w:color="auto"/>
        <w:right w:val="none" w:sz="0" w:space="0" w:color="auto"/>
      </w:divBdr>
    </w:div>
    <w:div w:id="1517452987">
      <w:bodyDiv w:val="1"/>
      <w:marLeft w:val="0"/>
      <w:marRight w:val="0"/>
      <w:marTop w:val="0"/>
      <w:marBottom w:val="0"/>
      <w:divBdr>
        <w:top w:val="none" w:sz="0" w:space="0" w:color="auto"/>
        <w:left w:val="none" w:sz="0" w:space="0" w:color="auto"/>
        <w:bottom w:val="none" w:sz="0" w:space="0" w:color="auto"/>
        <w:right w:val="none" w:sz="0" w:space="0" w:color="auto"/>
      </w:divBdr>
    </w:div>
    <w:div w:id="1519388663">
      <w:bodyDiv w:val="1"/>
      <w:marLeft w:val="0"/>
      <w:marRight w:val="0"/>
      <w:marTop w:val="0"/>
      <w:marBottom w:val="0"/>
      <w:divBdr>
        <w:top w:val="none" w:sz="0" w:space="0" w:color="auto"/>
        <w:left w:val="none" w:sz="0" w:space="0" w:color="auto"/>
        <w:bottom w:val="none" w:sz="0" w:space="0" w:color="auto"/>
        <w:right w:val="none" w:sz="0" w:space="0" w:color="auto"/>
      </w:divBdr>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38276455">
      <w:bodyDiv w:val="1"/>
      <w:marLeft w:val="0"/>
      <w:marRight w:val="0"/>
      <w:marTop w:val="0"/>
      <w:marBottom w:val="0"/>
      <w:divBdr>
        <w:top w:val="none" w:sz="0" w:space="0" w:color="auto"/>
        <w:left w:val="none" w:sz="0" w:space="0" w:color="auto"/>
        <w:bottom w:val="none" w:sz="0" w:space="0" w:color="auto"/>
        <w:right w:val="none" w:sz="0" w:space="0" w:color="auto"/>
      </w:divBdr>
    </w:div>
    <w:div w:id="1540631696">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2306876">
      <w:bodyDiv w:val="1"/>
      <w:marLeft w:val="0"/>
      <w:marRight w:val="0"/>
      <w:marTop w:val="0"/>
      <w:marBottom w:val="0"/>
      <w:divBdr>
        <w:top w:val="none" w:sz="0" w:space="0" w:color="auto"/>
        <w:left w:val="none" w:sz="0" w:space="0" w:color="auto"/>
        <w:bottom w:val="none" w:sz="0" w:space="0" w:color="auto"/>
        <w:right w:val="none" w:sz="0" w:space="0" w:color="auto"/>
      </w:divBdr>
    </w:div>
    <w:div w:id="1555235318">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557011119">
      <w:bodyDiv w:val="1"/>
      <w:marLeft w:val="0"/>
      <w:marRight w:val="0"/>
      <w:marTop w:val="0"/>
      <w:marBottom w:val="0"/>
      <w:divBdr>
        <w:top w:val="none" w:sz="0" w:space="0" w:color="auto"/>
        <w:left w:val="none" w:sz="0" w:space="0" w:color="auto"/>
        <w:bottom w:val="none" w:sz="0" w:space="0" w:color="auto"/>
        <w:right w:val="none" w:sz="0" w:space="0" w:color="auto"/>
      </w:divBdr>
    </w:div>
    <w:div w:id="1563324880">
      <w:bodyDiv w:val="1"/>
      <w:marLeft w:val="0"/>
      <w:marRight w:val="0"/>
      <w:marTop w:val="0"/>
      <w:marBottom w:val="0"/>
      <w:divBdr>
        <w:top w:val="none" w:sz="0" w:space="0" w:color="auto"/>
        <w:left w:val="none" w:sz="0" w:space="0" w:color="auto"/>
        <w:bottom w:val="none" w:sz="0" w:space="0" w:color="auto"/>
        <w:right w:val="none" w:sz="0" w:space="0" w:color="auto"/>
      </w:divBdr>
    </w:div>
    <w:div w:id="1565336614">
      <w:bodyDiv w:val="1"/>
      <w:marLeft w:val="0"/>
      <w:marRight w:val="0"/>
      <w:marTop w:val="0"/>
      <w:marBottom w:val="0"/>
      <w:divBdr>
        <w:top w:val="none" w:sz="0" w:space="0" w:color="auto"/>
        <w:left w:val="none" w:sz="0" w:space="0" w:color="auto"/>
        <w:bottom w:val="none" w:sz="0" w:space="0" w:color="auto"/>
        <w:right w:val="none" w:sz="0" w:space="0" w:color="auto"/>
      </w:divBdr>
    </w:div>
    <w:div w:id="1572883911">
      <w:bodyDiv w:val="1"/>
      <w:marLeft w:val="0"/>
      <w:marRight w:val="0"/>
      <w:marTop w:val="0"/>
      <w:marBottom w:val="0"/>
      <w:divBdr>
        <w:top w:val="none" w:sz="0" w:space="0" w:color="auto"/>
        <w:left w:val="none" w:sz="0" w:space="0" w:color="auto"/>
        <w:bottom w:val="none" w:sz="0" w:space="0" w:color="auto"/>
        <w:right w:val="none" w:sz="0" w:space="0" w:color="auto"/>
      </w:divBdr>
    </w:div>
    <w:div w:id="1578203165">
      <w:bodyDiv w:val="1"/>
      <w:marLeft w:val="0"/>
      <w:marRight w:val="0"/>
      <w:marTop w:val="0"/>
      <w:marBottom w:val="0"/>
      <w:divBdr>
        <w:top w:val="none" w:sz="0" w:space="0" w:color="auto"/>
        <w:left w:val="none" w:sz="0" w:space="0" w:color="auto"/>
        <w:bottom w:val="none" w:sz="0" w:space="0" w:color="auto"/>
        <w:right w:val="none" w:sz="0" w:space="0" w:color="auto"/>
      </w:divBdr>
    </w:div>
    <w:div w:id="1599286394">
      <w:bodyDiv w:val="1"/>
      <w:marLeft w:val="0"/>
      <w:marRight w:val="0"/>
      <w:marTop w:val="0"/>
      <w:marBottom w:val="0"/>
      <w:divBdr>
        <w:top w:val="none" w:sz="0" w:space="0" w:color="auto"/>
        <w:left w:val="none" w:sz="0" w:space="0" w:color="auto"/>
        <w:bottom w:val="none" w:sz="0" w:space="0" w:color="auto"/>
        <w:right w:val="none" w:sz="0" w:space="0" w:color="auto"/>
      </w:divBdr>
    </w:div>
    <w:div w:id="1601644927">
      <w:bodyDiv w:val="1"/>
      <w:marLeft w:val="0"/>
      <w:marRight w:val="0"/>
      <w:marTop w:val="0"/>
      <w:marBottom w:val="0"/>
      <w:divBdr>
        <w:top w:val="none" w:sz="0" w:space="0" w:color="auto"/>
        <w:left w:val="none" w:sz="0" w:space="0" w:color="auto"/>
        <w:bottom w:val="none" w:sz="0" w:space="0" w:color="auto"/>
        <w:right w:val="none" w:sz="0" w:space="0" w:color="auto"/>
      </w:divBdr>
      <w:divsChild>
        <w:div w:id="576794299">
          <w:marLeft w:val="0"/>
          <w:marRight w:val="0"/>
          <w:marTop w:val="0"/>
          <w:marBottom w:val="0"/>
          <w:divBdr>
            <w:top w:val="none" w:sz="0" w:space="0" w:color="auto"/>
            <w:left w:val="none" w:sz="0" w:space="0" w:color="auto"/>
            <w:bottom w:val="none" w:sz="0" w:space="0" w:color="auto"/>
            <w:right w:val="none" w:sz="0" w:space="0" w:color="auto"/>
          </w:divBdr>
          <w:divsChild>
            <w:div w:id="1429813750">
              <w:marLeft w:val="0"/>
              <w:marRight w:val="0"/>
              <w:marTop w:val="0"/>
              <w:marBottom w:val="0"/>
              <w:divBdr>
                <w:top w:val="none" w:sz="0" w:space="0" w:color="auto"/>
                <w:left w:val="none" w:sz="0" w:space="0" w:color="auto"/>
                <w:bottom w:val="none" w:sz="0" w:space="0" w:color="auto"/>
                <w:right w:val="none" w:sz="0" w:space="0" w:color="auto"/>
              </w:divBdr>
              <w:divsChild>
                <w:div w:id="1015615358">
                  <w:marLeft w:val="0"/>
                  <w:marRight w:val="0"/>
                  <w:marTop w:val="0"/>
                  <w:marBottom w:val="0"/>
                  <w:divBdr>
                    <w:top w:val="none" w:sz="0" w:space="0" w:color="auto"/>
                    <w:left w:val="none" w:sz="0" w:space="0" w:color="auto"/>
                    <w:bottom w:val="none" w:sz="0" w:space="0" w:color="auto"/>
                    <w:right w:val="none" w:sz="0" w:space="0" w:color="auto"/>
                  </w:divBdr>
                  <w:divsChild>
                    <w:div w:id="151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1609">
      <w:bodyDiv w:val="1"/>
      <w:marLeft w:val="0"/>
      <w:marRight w:val="0"/>
      <w:marTop w:val="0"/>
      <w:marBottom w:val="0"/>
      <w:divBdr>
        <w:top w:val="none" w:sz="0" w:space="0" w:color="auto"/>
        <w:left w:val="none" w:sz="0" w:space="0" w:color="auto"/>
        <w:bottom w:val="none" w:sz="0" w:space="0" w:color="auto"/>
        <w:right w:val="none" w:sz="0" w:space="0" w:color="auto"/>
      </w:divBdr>
    </w:div>
    <w:div w:id="1625884236">
      <w:bodyDiv w:val="1"/>
      <w:marLeft w:val="0"/>
      <w:marRight w:val="0"/>
      <w:marTop w:val="0"/>
      <w:marBottom w:val="0"/>
      <w:divBdr>
        <w:top w:val="none" w:sz="0" w:space="0" w:color="auto"/>
        <w:left w:val="none" w:sz="0" w:space="0" w:color="auto"/>
        <w:bottom w:val="none" w:sz="0" w:space="0" w:color="auto"/>
        <w:right w:val="none" w:sz="0" w:space="0" w:color="auto"/>
      </w:divBdr>
    </w:div>
    <w:div w:id="1645506784">
      <w:bodyDiv w:val="1"/>
      <w:marLeft w:val="0"/>
      <w:marRight w:val="0"/>
      <w:marTop w:val="0"/>
      <w:marBottom w:val="0"/>
      <w:divBdr>
        <w:top w:val="none" w:sz="0" w:space="0" w:color="auto"/>
        <w:left w:val="none" w:sz="0" w:space="0" w:color="auto"/>
        <w:bottom w:val="none" w:sz="0" w:space="0" w:color="auto"/>
        <w:right w:val="none" w:sz="0" w:space="0" w:color="auto"/>
      </w:divBdr>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0257502">
      <w:bodyDiv w:val="1"/>
      <w:marLeft w:val="0"/>
      <w:marRight w:val="0"/>
      <w:marTop w:val="0"/>
      <w:marBottom w:val="0"/>
      <w:divBdr>
        <w:top w:val="none" w:sz="0" w:space="0" w:color="auto"/>
        <w:left w:val="none" w:sz="0" w:space="0" w:color="auto"/>
        <w:bottom w:val="none" w:sz="0" w:space="0" w:color="auto"/>
        <w:right w:val="none" w:sz="0" w:space="0" w:color="auto"/>
      </w:divBdr>
      <w:divsChild>
        <w:div w:id="6493121">
          <w:marLeft w:val="0"/>
          <w:marRight w:val="0"/>
          <w:marTop w:val="0"/>
          <w:marBottom w:val="0"/>
          <w:divBdr>
            <w:top w:val="none" w:sz="0" w:space="0" w:color="auto"/>
            <w:left w:val="none" w:sz="0" w:space="0" w:color="auto"/>
            <w:bottom w:val="none" w:sz="0" w:space="0" w:color="auto"/>
            <w:right w:val="none" w:sz="0" w:space="0" w:color="auto"/>
          </w:divBdr>
          <w:divsChild>
            <w:div w:id="953905844">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698967355">
      <w:bodyDiv w:val="1"/>
      <w:marLeft w:val="0"/>
      <w:marRight w:val="0"/>
      <w:marTop w:val="0"/>
      <w:marBottom w:val="0"/>
      <w:divBdr>
        <w:top w:val="none" w:sz="0" w:space="0" w:color="auto"/>
        <w:left w:val="none" w:sz="0" w:space="0" w:color="auto"/>
        <w:bottom w:val="none" w:sz="0" w:space="0" w:color="auto"/>
        <w:right w:val="none" w:sz="0" w:space="0" w:color="auto"/>
      </w:divBdr>
    </w:div>
    <w:div w:id="1708413477">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28413277">
      <w:bodyDiv w:val="1"/>
      <w:marLeft w:val="0"/>
      <w:marRight w:val="0"/>
      <w:marTop w:val="0"/>
      <w:marBottom w:val="0"/>
      <w:divBdr>
        <w:top w:val="none" w:sz="0" w:space="0" w:color="auto"/>
        <w:left w:val="none" w:sz="0" w:space="0" w:color="auto"/>
        <w:bottom w:val="none" w:sz="0" w:space="0" w:color="auto"/>
        <w:right w:val="none" w:sz="0" w:space="0" w:color="auto"/>
      </w:divBdr>
    </w:div>
    <w:div w:id="1729182073">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51809050">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770613759">
      <w:bodyDiv w:val="1"/>
      <w:marLeft w:val="0"/>
      <w:marRight w:val="0"/>
      <w:marTop w:val="0"/>
      <w:marBottom w:val="0"/>
      <w:divBdr>
        <w:top w:val="none" w:sz="0" w:space="0" w:color="auto"/>
        <w:left w:val="none" w:sz="0" w:space="0" w:color="auto"/>
        <w:bottom w:val="none" w:sz="0" w:space="0" w:color="auto"/>
        <w:right w:val="none" w:sz="0" w:space="0" w:color="auto"/>
      </w:divBdr>
    </w:div>
    <w:div w:id="1782646529">
      <w:bodyDiv w:val="1"/>
      <w:marLeft w:val="0"/>
      <w:marRight w:val="0"/>
      <w:marTop w:val="0"/>
      <w:marBottom w:val="0"/>
      <w:divBdr>
        <w:top w:val="none" w:sz="0" w:space="0" w:color="auto"/>
        <w:left w:val="none" w:sz="0" w:space="0" w:color="auto"/>
        <w:bottom w:val="none" w:sz="0" w:space="0" w:color="auto"/>
        <w:right w:val="none" w:sz="0" w:space="0" w:color="auto"/>
      </w:divBdr>
    </w:div>
    <w:div w:id="1784231285">
      <w:bodyDiv w:val="1"/>
      <w:marLeft w:val="0"/>
      <w:marRight w:val="0"/>
      <w:marTop w:val="0"/>
      <w:marBottom w:val="0"/>
      <w:divBdr>
        <w:top w:val="none" w:sz="0" w:space="0" w:color="auto"/>
        <w:left w:val="none" w:sz="0" w:space="0" w:color="auto"/>
        <w:bottom w:val="none" w:sz="0" w:space="0" w:color="auto"/>
        <w:right w:val="none" w:sz="0" w:space="0" w:color="auto"/>
      </w:divBdr>
    </w:div>
    <w:div w:id="1793092757">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03188256">
      <w:bodyDiv w:val="1"/>
      <w:marLeft w:val="0"/>
      <w:marRight w:val="0"/>
      <w:marTop w:val="0"/>
      <w:marBottom w:val="0"/>
      <w:divBdr>
        <w:top w:val="none" w:sz="0" w:space="0" w:color="auto"/>
        <w:left w:val="none" w:sz="0" w:space="0" w:color="auto"/>
        <w:bottom w:val="none" w:sz="0" w:space="0" w:color="auto"/>
        <w:right w:val="none" w:sz="0" w:space="0" w:color="auto"/>
      </w:divBdr>
    </w:div>
    <w:div w:id="1817793970">
      <w:bodyDiv w:val="1"/>
      <w:marLeft w:val="0"/>
      <w:marRight w:val="0"/>
      <w:marTop w:val="0"/>
      <w:marBottom w:val="0"/>
      <w:divBdr>
        <w:top w:val="none" w:sz="0" w:space="0" w:color="auto"/>
        <w:left w:val="none" w:sz="0" w:space="0" w:color="auto"/>
        <w:bottom w:val="none" w:sz="0" w:space="0" w:color="auto"/>
        <w:right w:val="none" w:sz="0" w:space="0" w:color="auto"/>
      </w:divBdr>
    </w:div>
    <w:div w:id="1821072162">
      <w:bodyDiv w:val="1"/>
      <w:marLeft w:val="0"/>
      <w:marRight w:val="0"/>
      <w:marTop w:val="0"/>
      <w:marBottom w:val="0"/>
      <w:divBdr>
        <w:top w:val="none" w:sz="0" w:space="0" w:color="auto"/>
        <w:left w:val="none" w:sz="0" w:space="0" w:color="auto"/>
        <w:bottom w:val="none" w:sz="0" w:space="0" w:color="auto"/>
        <w:right w:val="none" w:sz="0" w:space="0" w:color="auto"/>
      </w:divBdr>
      <w:divsChild>
        <w:div w:id="672026102">
          <w:marLeft w:val="0"/>
          <w:marRight w:val="0"/>
          <w:marTop w:val="0"/>
          <w:marBottom w:val="0"/>
          <w:divBdr>
            <w:top w:val="none" w:sz="0" w:space="0" w:color="auto"/>
            <w:left w:val="none" w:sz="0" w:space="0" w:color="auto"/>
            <w:bottom w:val="none" w:sz="0" w:space="0" w:color="auto"/>
            <w:right w:val="none" w:sz="0" w:space="0" w:color="auto"/>
          </w:divBdr>
          <w:divsChild>
            <w:div w:id="1587961086">
              <w:marLeft w:val="0"/>
              <w:marRight w:val="0"/>
              <w:marTop w:val="0"/>
              <w:marBottom w:val="0"/>
              <w:divBdr>
                <w:top w:val="none" w:sz="0" w:space="0" w:color="auto"/>
                <w:left w:val="none" w:sz="0" w:space="0" w:color="auto"/>
                <w:bottom w:val="none" w:sz="0" w:space="0" w:color="auto"/>
                <w:right w:val="none" w:sz="0" w:space="0" w:color="auto"/>
              </w:divBdr>
              <w:divsChild>
                <w:div w:id="951597910">
                  <w:marLeft w:val="0"/>
                  <w:marRight w:val="0"/>
                  <w:marTop w:val="0"/>
                  <w:marBottom w:val="0"/>
                  <w:divBdr>
                    <w:top w:val="none" w:sz="0" w:space="0" w:color="auto"/>
                    <w:left w:val="none" w:sz="0" w:space="0" w:color="auto"/>
                    <w:bottom w:val="none" w:sz="0" w:space="0" w:color="auto"/>
                    <w:right w:val="none" w:sz="0" w:space="0" w:color="auto"/>
                  </w:divBdr>
                  <w:divsChild>
                    <w:div w:id="21021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44975045">
      <w:bodyDiv w:val="1"/>
      <w:marLeft w:val="0"/>
      <w:marRight w:val="0"/>
      <w:marTop w:val="0"/>
      <w:marBottom w:val="0"/>
      <w:divBdr>
        <w:top w:val="none" w:sz="0" w:space="0" w:color="auto"/>
        <w:left w:val="none" w:sz="0" w:space="0" w:color="auto"/>
        <w:bottom w:val="none" w:sz="0" w:space="0" w:color="auto"/>
        <w:right w:val="none" w:sz="0" w:space="0" w:color="auto"/>
      </w:divBdr>
    </w:div>
    <w:div w:id="1852914014">
      <w:bodyDiv w:val="1"/>
      <w:marLeft w:val="0"/>
      <w:marRight w:val="0"/>
      <w:marTop w:val="0"/>
      <w:marBottom w:val="0"/>
      <w:divBdr>
        <w:top w:val="none" w:sz="0" w:space="0" w:color="auto"/>
        <w:left w:val="none" w:sz="0" w:space="0" w:color="auto"/>
        <w:bottom w:val="none" w:sz="0" w:space="0" w:color="auto"/>
        <w:right w:val="none" w:sz="0" w:space="0" w:color="auto"/>
      </w:divBdr>
    </w:div>
    <w:div w:id="1855997956">
      <w:bodyDiv w:val="1"/>
      <w:marLeft w:val="0"/>
      <w:marRight w:val="0"/>
      <w:marTop w:val="0"/>
      <w:marBottom w:val="0"/>
      <w:divBdr>
        <w:top w:val="none" w:sz="0" w:space="0" w:color="auto"/>
        <w:left w:val="none" w:sz="0" w:space="0" w:color="auto"/>
        <w:bottom w:val="none" w:sz="0" w:space="0" w:color="auto"/>
        <w:right w:val="none" w:sz="0" w:space="0" w:color="auto"/>
      </w:divBdr>
    </w:div>
    <w:div w:id="1859924450">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4">
          <w:marLeft w:val="0"/>
          <w:marRight w:val="0"/>
          <w:marTop w:val="0"/>
          <w:marBottom w:val="0"/>
          <w:divBdr>
            <w:top w:val="none" w:sz="0" w:space="0" w:color="auto"/>
            <w:left w:val="none" w:sz="0" w:space="0" w:color="auto"/>
            <w:bottom w:val="none" w:sz="0" w:space="0" w:color="auto"/>
            <w:right w:val="none" w:sz="0" w:space="0" w:color="auto"/>
          </w:divBdr>
          <w:divsChild>
            <w:div w:id="735053009">
              <w:marLeft w:val="0"/>
              <w:marRight w:val="0"/>
              <w:marTop w:val="0"/>
              <w:marBottom w:val="0"/>
              <w:divBdr>
                <w:top w:val="none" w:sz="0" w:space="0" w:color="auto"/>
                <w:left w:val="none" w:sz="0" w:space="0" w:color="auto"/>
                <w:bottom w:val="none" w:sz="0" w:space="0" w:color="auto"/>
                <w:right w:val="none" w:sz="0" w:space="0" w:color="auto"/>
              </w:divBdr>
              <w:divsChild>
                <w:div w:id="275601762">
                  <w:marLeft w:val="0"/>
                  <w:marRight w:val="0"/>
                  <w:marTop w:val="0"/>
                  <w:marBottom w:val="0"/>
                  <w:divBdr>
                    <w:top w:val="none" w:sz="0" w:space="0" w:color="auto"/>
                    <w:left w:val="none" w:sz="0" w:space="0" w:color="auto"/>
                    <w:bottom w:val="none" w:sz="0" w:space="0" w:color="auto"/>
                    <w:right w:val="none" w:sz="0" w:space="0" w:color="auto"/>
                  </w:divBdr>
                  <w:divsChild>
                    <w:div w:id="9156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75830">
      <w:bodyDiv w:val="1"/>
      <w:marLeft w:val="0"/>
      <w:marRight w:val="0"/>
      <w:marTop w:val="0"/>
      <w:marBottom w:val="0"/>
      <w:divBdr>
        <w:top w:val="none" w:sz="0" w:space="0" w:color="auto"/>
        <w:left w:val="none" w:sz="0" w:space="0" w:color="auto"/>
        <w:bottom w:val="none" w:sz="0" w:space="0" w:color="auto"/>
        <w:right w:val="none" w:sz="0" w:space="0" w:color="auto"/>
      </w:divBdr>
    </w:div>
    <w:div w:id="1890534737">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897202366">
      <w:bodyDiv w:val="1"/>
      <w:marLeft w:val="0"/>
      <w:marRight w:val="0"/>
      <w:marTop w:val="0"/>
      <w:marBottom w:val="0"/>
      <w:divBdr>
        <w:top w:val="none" w:sz="0" w:space="0" w:color="auto"/>
        <w:left w:val="none" w:sz="0" w:space="0" w:color="auto"/>
        <w:bottom w:val="none" w:sz="0" w:space="0" w:color="auto"/>
        <w:right w:val="none" w:sz="0" w:space="0" w:color="auto"/>
      </w:divBdr>
    </w:div>
    <w:div w:id="1902053173">
      <w:bodyDiv w:val="1"/>
      <w:marLeft w:val="0"/>
      <w:marRight w:val="0"/>
      <w:marTop w:val="0"/>
      <w:marBottom w:val="0"/>
      <w:divBdr>
        <w:top w:val="none" w:sz="0" w:space="0" w:color="auto"/>
        <w:left w:val="none" w:sz="0" w:space="0" w:color="auto"/>
        <w:bottom w:val="none" w:sz="0" w:space="0" w:color="auto"/>
        <w:right w:val="none" w:sz="0" w:space="0" w:color="auto"/>
      </w:divBdr>
    </w:div>
    <w:div w:id="1904828635">
      <w:bodyDiv w:val="1"/>
      <w:marLeft w:val="0"/>
      <w:marRight w:val="0"/>
      <w:marTop w:val="0"/>
      <w:marBottom w:val="0"/>
      <w:divBdr>
        <w:top w:val="none" w:sz="0" w:space="0" w:color="auto"/>
        <w:left w:val="none" w:sz="0" w:space="0" w:color="auto"/>
        <w:bottom w:val="none" w:sz="0" w:space="0" w:color="auto"/>
        <w:right w:val="none" w:sz="0" w:space="0" w:color="auto"/>
      </w:divBdr>
    </w:div>
    <w:div w:id="1917282709">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5018390">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1944533718">
      <w:bodyDiv w:val="1"/>
      <w:marLeft w:val="0"/>
      <w:marRight w:val="0"/>
      <w:marTop w:val="0"/>
      <w:marBottom w:val="0"/>
      <w:divBdr>
        <w:top w:val="none" w:sz="0" w:space="0" w:color="auto"/>
        <w:left w:val="none" w:sz="0" w:space="0" w:color="auto"/>
        <w:bottom w:val="none" w:sz="0" w:space="0" w:color="auto"/>
        <w:right w:val="none" w:sz="0" w:space="0" w:color="auto"/>
      </w:divBdr>
    </w:div>
    <w:div w:id="1951280629">
      <w:bodyDiv w:val="1"/>
      <w:marLeft w:val="0"/>
      <w:marRight w:val="0"/>
      <w:marTop w:val="0"/>
      <w:marBottom w:val="0"/>
      <w:divBdr>
        <w:top w:val="none" w:sz="0" w:space="0" w:color="auto"/>
        <w:left w:val="none" w:sz="0" w:space="0" w:color="auto"/>
        <w:bottom w:val="none" w:sz="0" w:space="0" w:color="auto"/>
        <w:right w:val="none" w:sz="0" w:space="0" w:color="auto"/>
      </w:divBdr>
    </w:div>
    <w:div w:id="1955670612">
      <w:bodyDiv w:val="1"/>
      <w:marLeft w:val="0"/>
      <w:marRight w:val="0"/>
      <w:marTop w:val="0"/>
      <w:marBottom w:val="0"/>
      <w:divBdr>
        <w:top w:val="none" w:sz="0" w:space="0" w:color="auto"/>
        <w:left w:val="none" w:sz="0" w:space="0" w:color="auto"/>
        <w:bottom w:val="none" w:sz="0" w:space="0" w:color="auto"/>
        <w:right w:val="none" w:sz="0" w:space="0" w:color="auto"/>
      </w:divBdr>
    </w:div>
    <w:div w:id="1958414200">
      <w:bodyDiv w:val="1"/>
      <w:marLeft w:val="0"/>
      <w:marRight w:val="0"/>
      <w:marTop w:val="0"/>
      <w:marBottom w:val="0"/>
      <w:divBdr>
        <w:top w:val="none" w:sz="0" w:space="0" w:color="auto"/>
        <w:left w:val="none" w:sz="0" w:space="0" w:color="auto"/>
        <w:bottom w:val="none" w:sz="0" w:space="0" w:color="auto"/>
        <w:right w:val="none" w:sz="0" w:space="0" w:color="auto"/>
      </w:divBdr>
    </w:div>
    <w:div w:id="1990671486">
      <w:bodyDiv w:val="1"/>
      <w:marLeft w:val="0"/>
      <w:marRight w:val="0"/>
      <w:marTop w:val="0"/>
      <w:marBottom w:val="0"/>
      <w:divBdr>
        <w:top w:val="none" w:sz="0" w:space="0" w:color="auto"/>
        <w:left w:val="none" w:sz="0" w:space="0" w:color="auto"/>
        <w:bottom w:val="none" w:sz="0" w:space="0" w:color="auto"/>
        <w:right w:val="none" w:sz="0" w:space="0" w:color="auto"/>
      </w:divBdr>
      <w:divsChild>
        <w:div w:id="2101951498">
          <w:marLeft w:val="0"/>
          <w:marRight w:val="0"/>
          <w:marTop w:val="0"/>
          <w:marBottom w:val="0"/>
          <w:divBdr>
            <w:top w:val="none" w:sz="0" w:space="0" w:color="auto"/>
            <w:left w:val="none" w:sz="0" w:space="0" w:color="auto"/>
            <w:bottom w:val="none" w:sz="0" w:space="0" w:color="auto"/>
            <w:right w:val="none" w:sz="0" w:space="0" w:color="auto"/>
          </w:divBdr>
          <w:divsChild>
            <w:div w:id="303463503">
              <w:marLeft w:val="0"/>
              <w:marRight w:val="0"/>
              <w:marTop w:val="0"/>
              <w:marBottom w:val="0"/>
              <w:divBdr>
                <w:top w:val="none" w:sz="0" w:space="0" w:color="auto"/>
                <w:left w:val="none" w:sz="0" w:space="0" w:color="auto"/>
                <w:bottom w:val="none" w:sz="0" w:space="0" w:color="auto"/>
                <w:right w:val="none" w:sz="0" w:space="0" w:color="auto"/>
              </w:divBdr>
              <w:divsChild>
                <w:div w:id="1557233296">
                  <w:marLeft w:val="0"/>
                  <w:marRight w:val="0"/>
                  <w:marTop w:val="0"/>
                  <w:marBottom w:val="0"/>
                  <w:divBdr>
                    <w:top w:val="none" w:sz="0" w:space="0" w:color="auto"/>
                    <w:left w:val="none" w:sz="0" w:space="0" w:color="auto"/>
                    <w:bottom w:val="none" w:sz="0" w:space="0" w:color="auto"/>
                    <w:right w:val="none" w:sz="0" w:space="0" w:color="auto"/>
                  </w:divBdr>
                  <w:divsChild>
                    <w:div w:id="1129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708">
      <w:bodyDiv w:val="1"/>
      <w:marLeft w:val="0"/>
      <w:marRight w:val="0"/>
      <w:marTop w:val="0"/>
      <w:marBottom w:val="0"/>
      <w:divBdr>
        <w:top w:val="none" w:sz="0" w:space="0" w:color="auto"/>
        <w:left w:val="none" w:sz="0" w:space="0" w:color="auto"/>
        <w:bottom w:val="none" w:sz="0" w:space="0" w:color="auto"/>
        <w:right w:val="none" w:sz="0" w:space="0" w:color="auto"/>
      </w:divBdr>
    </w:div>
    <w:div w:id="2004431219">
      <w:bodyDiv w:val="1"/>
      <w:marLeft w:val="0"/>
      <w:marRight w:val="0"/>
      <w:marTop w:val="0"/>
      <w:marBottom w:val="0"/>
      <w:divBdr>
        <w:top w:val="none" w:sz="0" w:space="0" w:color="auto"/>
        <w:left w:val="none" w:sz="0" w:space="0" w:color="auto"/>
        <w:bottom w:val="none" w:sz="0" w:space="0" w:color="auto"/>
        <w:right w:val="none" w:sz="0" w:space="0" w:color="auto"/>
      </w:divBdr>
    </w:div>
    <w:div w:id="200455056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26637017">
      <w:bodyDiv w:val="1"/>
      <w:marLeft w:val="0"/>
      <w:marRight w:val="0"/>
      <w:marTop w:val="0"/>
      <w:marBottom w:val="0"/>
      <w:divBdr>
        <w:top w:val="none" w:sz="0" w:space="0" w:color="auto"/>
        <w:left w:val="none" w:sz="0" w:space="0" w:color="auto"/>
        <w:bottom w:val="none" w:sz="0" w:space="0" w:color="auto"/>
        <w:right w:val="none" w:sz="0" w:space="0" w:color="auto"/>
      </w:divBdr>
    </w:div>
    <w:div w:id="2028865552">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48597538">
      <w:bodyDiv w:val="1"/>
      <w:marLeft w:val="0"/>
      <w:marRight w:val="0"/>
      <w:marTop w:val="0"/>
      <w:marBottom w:val="0"/>
      <w:divBdr>
        <w:top w:val="none" w:sz="0" w:space="0" w:color="auto"/>
        <w:left w:val="none" w:sz="0" w:space="0" w:color="auto"/>
        <w:bottom w:val="none" w:sz="0" w:space="0" w:color="auto"/>
        <w:right w:val="none" w:sz="0" w:space="0" w:color="auto"/>
      </w:divBdr>
    </w:div>
    <w:div w:id="2051832890">
      <w:bodyDiv w:val="1"/>
      <w:marLeft w:val="0"/>
      <w:marRight w:val="0"/>
      <w:marTop w:val="0"/>
      <w:marBottom w:val="0"/>
      <w:divBdr>
        <w:top w:val="none" w:sz="0" w:space="0" w:color="auto"/>
        <w:left w:val="none" w:sz="0" w:space="0" w:color="auto"/>
        <w:bottom w:val="none" w:sz="0" w:space="0" w:color="auto"/>
        <w:right w:val="none" w:sz="0" w:space="0" w:color="auto"/>
      </w:divBdr>
    </w:div>
    <w:div w:id="2066752424">
      <w:bodyDiv w:val="1"/>
      <w:marLeft w:val="0"/>
      <w:marRight w:val="0"/>
      <w:marTop w:val="0"/>
      <w:marBottom w:val="0"/>
      <w:divBdr>
        <w:top w:val="none" w:sz="0" w:space="0" w:color="auto"/>
        <w:left w:val="none" w:sz="0" w:space="0" w:color="auto"/>
        <w:bottom w:val="none" w:sz="0" w:space="0" w:color="auto"/>
        <w:right w:val="none" w:sz="0" w:space="0" w:color="auto"/>
      </w:divBdr>
    </w:div>
    <w:div w:id="2082438882">
      <w:bodyDiv w:val="1"/>
      <w:marLeft w:val="0"/>
      <w:marRight w:val="0"/>
      <w:marTop w:val="0"/>
      <w:marBottom w:val="0"/>
      <w:divBdr>
        <w:top w:val="none" w:sz="0" w:space="0" w:color="auto"/>
        <w:left w:val="none" w:sz="0" w:space="0" w:color="auto"/>
        <w:bottom w:val="none" w:sz="0" w:space="0" w:color="auto"/>
        <w:right w:val="none" w:sz="0" w:space="0" w:color="auto"/>
      </w:divBdr>
    </w:div>
    <w:div w:id="2083789670">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1363302">
      <w:bodyDiv w:val="1"/>
      <w:marLeft w:val="0"/>
      <w:marRight w:val="0"/>
      <w:marTop w:val="0"/>
      <w:marBottom w:val="0"/>
      <w:divBdr>
        <w:top w:val="none" w:sz="0" w:space="0" w:color="auto"/>
        <w:left w:val="none" w:sz="0" w:space="0" w:color="auto"/>
        <w:bottom w:val="none" w:sz="0" w:space="0" w:color="auto"/>
        <w:right w:val="none" w:sz="0" w:space="0" w:color="auto"/>
      </w:divBdr>
    </w:div>
    <w:div w:id="2103986044">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17947512">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 w:id="2144274737">
      <w:bodyDiv w:val="1"/>
      <w:marLeft w:val="0"/>
      <w:marRight w:val="0"/>
      <w:marTop w:val="0"/>
      <w:marBottom w:val="0"/>
      <w:divBdr>
        <w:top w:val="none" w:sz="0" w:space="0" w:color="auto"/>
        <w:left w:val="none" w:sz="0" w:space="0" w:color="auto"/>
        <w:bottom w:val="none" w:sz="0" w:space="0" w:color="auto"/>
        <w:right w:val="none" w:sz="0" w:space="0" w:color="auto"/>
      </w:divBdr>
    </w:div>
    <w:div w:id="21458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ia.europa.eu/juris/document/document.jsf?text=%2522consumidor%2522&amp;docid=299077&amp;pageIndex=0&amp;doclang=es&amp;mode=req&amp;dir=&amp;occ=first&amp;part=1&amp;cid=7359052" TargetMode="External"/><Relationship Id="rId18" Type="http://schemas.openxmlformats.org/officeDocument/2006/relationships/hyperlink" Target="https://curia.europa.eu/juris/document/document.jsf?text=%2522consumidor%2522&amp;docid=301563&amp;pageIndex=0&amp;doclang=es&amp;mode=req&amp;dir=&amp;occ=first&amp;part=1&amp;cid=7359052" TargetMode="External"/><Relationship Id="rId26" Type="http://schemas.openxmlformats.org/officeDocument/2006/relationships/hyperlink" Target="https://www.poderjudicial.es/search/AN/openDocument/74f72552a4f94e39a0a8778d75e36f0d/20250523" TargetMode="External"/><Relationship Id="rId39" Type="http://schemas.openxmlformats.org/officeDocument/2006/relationships/hyperlink" Target="https://www.poderjudicial.es/search/AN/openDocument/23c6710bf339d2bca0a8778d75e36f0d/20250710" TargetMode="External"/><Relationship Id="rId21" Type="http://schemas.openxmlformats.org/officeDocument/2006/relationships/hyperlink" Target="https://hj.tribunalconstitucional.es/docs/BOE/BOE-A-2025-12407.pdf" TargetMode="External"/><Relationship Id="rId34" Type="http://schemas.openxmlformats.org/officeDocument/2006/relationships/hyperlink" Target="https://www.poderjudicial.es/search/AN/openDocument/e99449e237c2cc26a0a8778d75e36f0d/20250522" TargetMode="External"/><Relationship Id="rId42" Type="http://schemas.openxmlformats.org/officeDocument/2006/relationships/hyperlink" Target="https://www.poderjudicial.es/search/AN/openDocument/66f1d27b87dac093a0a8778d75e36f0d/20250703" TargetMode="External"/><Relationship Id="rId47" Type="http://schemas.openxmlformats.org/officeDocument/2006/relationships/hyperlink" Target="https://www.poderjudicial.es/search/AN/openDocument/a6d2768e55dbd085a0a8778d75e36f0d/20250430" TargetMode="External"/><Relationship Id="rId50" Type="http://schemas.openxmlformats.org/officeDocument/2006/relationships/hyperlink" Target="https://www.poderjudicial.es/search/AN/openDocument/c1b471a77418aa35a0a8778d75e36f0d/20250625" TargetMode="External"/><Relationship Id="rId55" Type="http://schemas.openxmlformats.org/officeDocument/2006/relationships/hyperlink" Target="https://www.poderjudicial.es/search/AN/openDocument/895cfee4c1fdb43ba0a8778d75e36f0d/202504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ia.europa.eu/juris/document/document.jsf?text=%2522consumidor%2522&amp;docid=300962&amp;pageIndex=0&amp;doclang=es&amp;mode=req&amp;dir=&amp;occ=first&amp;part=1&amp;cid=7359052" TargetMode="External"/><Relationship Id="rId29" Type="http://schemas.openxmlformats.org/officeDocument/2006/relationships/hyperlink" Target="https://www.poderjudicial.es/search/AN/openDocument/6ab04a8cd367209da0a8778d75e36f0d/20250620" TargetMode="External"/><Relationship Id="rId11" Type="http://schemas.openxmlformats.org/officeDocument/2006/relationships/hyperlink" Target="https://curia.europa.eu/juris/document/document.jsf?text=%2522consumidor%2522&amp;docid=298709&amp;pageIndex=0&amp;doclang=es&amp;mode=req&amp;dir=&amp;occ=first&amp;part=1&amp;cid=7359052" TargetMode="External"/><Relationship Id="rId24" Type="http://schemas.openxmlformats.org/officeDocument/2006/relationships/hyperlink" Target="https://www.poderjudicial.es/search/AN/openDocument/ccc9bc5101091d0ea0a8778d75e36f0d/20250523" TargetMode="External"/><Relationship Id="rId32" Type="http://schemas.openxmlformats.org/officeDocument/2006/relationships/hyperlink" Target="https://www.poderjudicial.es/search/AN/openDocument/12c2920bfcf65039a0a8778d75e36f0d/20250703" TargetMode="External"/><Relationship Id="rId37" Type="http://schemas.openxmlformats.org/officeDocument/2006/relationships/hyperlink" Target="https://www.poderjudicial.es/search/AN/openDocument/26db3a4f372abea2a0a8778d75e36f0d/20250529" TargetMode="External"/><Relationship Id="rId40" Type="http://schemas.openxmlformats.org/officeDocument/2006/relationships/hyperlink" Target="https://www.poderjudicial.es/search/AN/openDocument/96fd8a2384ec9254a0a8778d75e36f0d/20250620" TargetMode="External"/><Relationship Id="rId45" Type="http://schemas.openxmlformats.org/officeDocument/2006/relationships/hyperlink" Target="https://www.poderjudicial.es/search/AN/openDocument/217b2a250de1e5e9a0a8778d75e36f0d/20250430" TargetMode="External"/><Relationship Id="rId53" Type="http://schemas.openxmlformats.org/officeDocument/2006/relationships/hyperlink" Target="https://www.poderjudicial.es/search/AN/openDocument/89fe7b891a9a8068a0a8778d75e36f0d/20250410" TargetMode="External"/><Relationship Id="rId58" Type="http://schemas.openxmlformats.org/officeDocument/2006/relationships/hyperlink" Target="https://www.notariosyregistradores.com/web/resoluciones/por-meses/resoluciones-julio-2025-direccion-general-seguridad-juridica-y-fe-publica/"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poderjudicial.es/search/AN/openDocument/c49c10161804c317a0a8778d75e36f0d/20240229" TargetMode="External"/><Relationship Id="rId14" Type="http://schemas.openxmlformats.org/officeDocument/2006/relationships/hyperlink" Target="https://curia.europa.eu/juris/document/document.jsf?text=%2522consumidor%2522&amp;docid=299078&amp;pageIndex=0&amp;doclang=es&amp;mode=req&amp;dir=&amp;occ=first&amp;part=1&amp;cid=7359052" TargetMode="External"/><Relationship Id="rId22" Type="http://schemas.openxmlformats.org/officeDocument/2006/relationships/hyperlink" Target="https://hj.tribunalconstitucional.es/es/Resolucion/Show/31533" TargetMode="External"/><Relationship Id="rId27" Type="http://schemas.openxmlformats.org/officeDocument/2006/relationships/hyperlink" Target="https://www.poderjudicial.es/search/AN/openDocument/f5d9f5ceb67acb28a0a8778d75e36f0d/20250529" TargetMode="External"/><Relationship Id="rId30" Type="http://schemas.openxmlformats.org/officeDocument/2006/relationships/hyperlink" Target="https://www.poderjudicial.es/search/AN/openDocument/87b55185c79697bda0a8778d75e36f0d/20250625" TargetMode="External"/><Relationship Id="rId35" Type="http://schemas.openxmlformats.org/officeDocument/2006/relationships/hyperlink" Target="https://www.poderjudicial.es/search/AN/openDocument/c62ad1957ba09dafa0a8778d75e36f0d/20250529" TargetMode="External"/><Relationship Id="rId43" Type="http://schemas.openxmlformats.org/officeDocument/2006/relationships/hyperlink" Target="https://www.poderjudicial.es/search/AN/openDocument/81a7f620a4d5464ba0a8778d75e36f0d/20250410" TargetMode="External"/><Relationship Id="rId48" Type="http://schemas.openxmlformats.org/officeDocument/2006/relationships/hyperlink" Target="https://www.poderjudicial.es/search/AN/openDocument/dc7494174e7c6086a0a8778d75e36f0d/20250515" TargetMode="External"/><Relationship Id="rId56" Type="http://schemas.openxmlformats.org/officeDocument/2006/relationships/hyperlink" Target="https://www.poderjudicial.es/search/AN/openDocument/7abeef13d2dff095a0a8778d75e36f0d/20250523" TargetMode="External"/><Relationship Id="rId8" Type="http://schemas.openxmlformats.org/officeDocument/2006/relationships/image" Target="media/image1.png"/><Relationship Id="rId51" Type="http://schemas.openxmlformats.org/officeDocument/2006/relationships/hyperlink" Target="https://www.poderjudicial.es/search/AN/openDocument/b1d3f0d4e52c6a0da0a8778d75e36f0d/20250515" TargetMode="External"/><Relationship Id="rId3" Type="http://schemas.openxmlformats.org/officeDocument/2006/relationships/styles" Target="styles.xml"/><Relationship Id="rId12" Type="http://schemas.openxmlformats.org/officeDocument/2006/relationships/hyperlink" Target="https://curia.europa.eu/juris/document/document.jsf?text=%2522consumidor%2522&amp;docid=298700&amp;pageIndex=0&amp;doclang=es&amp;mode=req&amp;dir=&amp;occ=first&amp;part=1&amp;cid=7359052" TargetMode="External"/><Relationship Id="rId17" Type="http://schemas.openxmlformats.org/officeDocument/2006/relationships/hyperlink" Target="https://curia.europa.eu/juris/document/document.jsf?text=%2522consumidor%2522&amp;docid=301361&amp;pageIndex=0&amp;doclang=ES&amp;mode=req&amp;dir=&amp;occ=first&amp;part=1&amp;cid=7359052" TargetMode="External"/><Relationship Id="rId25" Type="http://schemas.openxmlformats.org/officeDocument/2006/relationships/hyperlink" Target="https://www.poderjudicial.es/search/AN/openDocument/a1255e1a7a7358baa0a8778d75e36f0d/20250523" TargetMode="External"/><Relationship Id="rId33" Type="http://schemas.openxmlformats.org/officeDocument/2006/relationships/hyperlink" Target="https://www.poderjudicial.es/search/AN/openDocument/cc6c88af63abd90da0a8778d75e36f0d/20250710" TargetMode="External"/><Relationship Id="rId38" Type="http://schemas.openxmlformats.org/officeDocument/2006/relationships/hyperlink" Target="https://www.poderjudicial.es/search/AN/openDocument/e982ea95c02daaf8a0a8778d75e36f0d/20250710" TargetMode="External"/><Relationship Id="rId46" Type="http://schemas.openxmlformats.org/officeDocument/2006/relationships/hyperlink" Target="https://www.poderjudicial.es/search/AN/openDocument/6941beec593d1a09a0a8778d75e36f0d/20250515" TargetMode="External"/><Relationship Id="rId59" Type="http://schemas.openxmlformats.org/officeDocument/2006/relationships/footer" Target="footer1.xml"/><Relationship Id="rId20" Type="http://schemas.openxmlformats.org/officeDocument/2006/relationships/hyperlink" Target="https://hj.tribunalconstitucional.es/es/Resolucion/Show/31517" TargetMode="External"/><Relationship Id="rId41" Type="http://schemas.openxmlformats.org/officeDocument/2006/relationships/hyperlink" Target="https://www.poderjudicial.es/search/AN/openDocument/b5defb242c34a574a0a8778d75e36f0d/20250620" TargetMode="External"/><Relationship Id="rId54" Type="http://schemas.openxmlformats.org/officeDocument/2006/relationships/hyperlink" Target="https://www.poderjudicial.es/search/AN/openDocument/4d208dd709104c1aa0a8778d75e36f0d/202504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ia.europa.eu/juris/document/document.jsf?text=%2522consumidor%2522&amp;docid=299084&amp;pageIndex=0&amp;doclang=es&amp;mode=req&amp;dir=&amp;occ=first&amp;part=1&amp;cid=7359052" TargetMode="External"/><Relationship Id="rId23" Type="http://schemas.openxmlformats.org/officeDocument/2006/relationships/hyperlink" Target="https://hj.tribunalconstitucional.es/docs/BOE/BOE-A-2025-13780.pdf" TargetMode="External"/><Relationship Id="rId28" Type="http://schemas.openxmlformats.org/officeDocument/2006/relationships/hyperlink" Target="https://www.poderjudicial.es/search/AN/openDocument/61d2dd2c7f82c305a0a8778d75e36f0d/20250616" TargetMode="External"/><Relationship Id="rId36" Type="http://schemas.openxmlformats.org/officeDocument/2006/relationships/hyperlink" Target="https://www.poderjudicial.es/search/AN/openDocument/24512a698fb4b202a0a8778d75e36f0d/20250710" TargetMode="External"/><Relationship Id="rId49" Type="http://schemas.openxmlformats.org/officeDocument/2006/relationships/hyperlink" Target="https://www.poderjudicial.es/search/AN/openDocument/5c5aff72ffc475b2a0a8778d75e36f0d/20250529" TargetMode="External"/><Relationship Id="rId57" Type="http://schemas.openxmlformats.org/officeDocument/2006/relationships/hyperlink" Target="https://www.boe.es/buscar/doc.php?id=BOE-A-2025-13523" TargetMode="External"/><Relationship Id="rId10" Type="http://schemas.openxmlformats.org/officeDocument/2006/relationships/hyperlink" Target="https://curia.europa.eu/juris/document/document.jsf?text=%2522consumidor%2522&amp;docid=298701&amp;pageIndex=0&amp;doclang=ES&amp;mode=req&amp;dir=&amp;occ=first&amp;part=1&amp;cid=7359052" TargetMode="External"/><Relationship Id="rId31" Type="http://schemas.openxmlformats.org/officeDocument/2006/relationships/hyperlink" Target="https://www.poderjudicial.es/search/AN/openDocument/e21186fb8b9edc97a0a8778d75e36f0d/20250710" TargetMode="External"/><Relationship Id="rId44" Type="http://schemas.openxmlformats.org/officeDocument/2006/relationships/hyperlink" Target="https://www.poderjudicial.es/search/AN/openDocument/eb71bdb09eb5619ba0a8778d75e36f0d/20250410" TargetMode="External"/><Relationship Id="rId52" Type="http://schemas.openxmlformats.org/officeDocument/2006/relationships/hyperlink" Target="https://www.poderjudicial.es/search/AN/openDocument/c26766f2870f44cfa0a8778d75e36f0d/20250425"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uria.europa.eu/juris/document/document.jsf?text=%2522consumidor%2522&amp;docid=298703&amp;pageIndex=0&amp;doclang=ES&amp;mode=req&amp;dir=&amp;occ=first&amp;part=1&amp;cid=735905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9</Pages>
  <Words>2644</Words>
  <Characters>15139</Characters>
  <Application>Microsoft Office Word</Application>
  <DocSecurity>0</DocSecurity>
  <Lines>311</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JOSE FELIX MERINO ESCARTIN</cp:lastModifiedBy>
  <cp:revision>59</cp:revision>
  <cp:lastPrinted>2021-04-08T11:14:00Z</cp:lastPrinted>
  <dcterms:created xsi:type="dcterms:W3CDTF">2025-01-20T10:17:00Z</dcterms:created>
  <dcterms:modified xsi:type="dcterms:W3CDTF">2026-02-06T17:25:00Z</dcterms:modified>
</cp:coreProperties>
</file>