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385A958C" w:rsidR="00827C04" w:rsidRDefault="00EE43D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Julio</w:t>
                            </w:r>
                            <w:r w:rsidR="00A64D45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Septiembre</w:t>
                            </w:r>
                            <w:r w:rsidR="005E4B9B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2025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Víctor Bastante Granell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1051A3DC" w:rsidR="00827C04" w:rsidRPr="00EE05FD" w:rsidRDefault="00F475F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Profesor</w:t>
                            </w:r>
                            <w:r w:rsidR="006872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Titular de Universidad</w:t>
                            </w:r>
                            <w:r w:rsidR="00827C04"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D715D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" filled="f" stroked="f" strokeweight=".5pt">
                <v:textbox>
                  <w:txbxContent>
                    <w:p w14:paraId="4D436CF4" w14:textId="385A958C" w:rsidR="00827C04" w:rsidRDefault="00EE43D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Julio</w:t>
                      </w:r>
                      <w:r w:rsidR="00A64D45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Septiembre</w:t>
                      </w:r>
                      <w:r w:rsidR="005E4B9B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2025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Víctor Bastante Granell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1051A3DC" w:rsidR="00827C04" w:rsidRPr="00EE05FD" w:rsidRDefault="00F475F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Profesor</w:t>
                      </w:r>
                      <w:r w:rsidR="006872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Titular de Universidad</w:t>
                      </w:r>
                      <w:r w:rsidR="00827C04"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4A92"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75792D37">
            <wp:simplePos x="0" y="0"/>
            <wp:positionH relativeFrom="column">
              <wp:posOffset>-1066800</wp:posOffset>
            </wp:positionH>
            <wp:positionV relativeFrom="paragraph">
              <wp:posOffset>-889000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D940F1" w14:textId="13F840EB" w:rsidR="00827C04" w:rsidRDefault="00EE43D9" w:rsidP="00567AAA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Julio-Septiembre</w:t>
                            </w:r>
                            <w:r w:rsidR="005E4B9B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495B1"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31D940F1" w14:textId="13F840EB" w:rsidR="00827C04" w:rsidRDefault="00EE43D9" w:rsidP="00567AAA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Julio-Septiembre</w:t>
                      </w:r>
                      <w:r w:rsidR="005E4B9B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1AFD"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7C692239" w14:textId="77777777" w:rsidR="00EE43D9" w:rsidRDefault="00EE43D9" w:rsidP="00EE43D9">
      <w:pPr>
        <w:pStyle w:val="NormalWeb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0338CFC9" w14:textId="0CDAABDE" w:rsidR="00EE43D9" w:rsidRPr="00EE43D9" w:rsidRDefault="00EE43D9" w:rsidP="00EE43D9">
      <w:pPr>
        <w:pStyle w:val="NormalWeb"/>
        <w:numPr>
          <w:ilvl w:val="0"/>
          <w:numId w:val="19"/>
        </w:numPr>
        <w:spacing w:before="120" w:beforeAutospacing="0"/>
        <w:ind w:left="360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EE43D9">
        <w:rPr>
          <w:rFonts w:asciiTheme="minorHAnsi" w:hAnsiTheme="minorHAnsi" w:cstheme="minorHAnsi"/>
          <w:bCs/>
          <w:sz w:val="20"/>
          <w:szCs w:val="20"/>
        </w:rPr>
        <w:t>Achón</w:t>
      </w:r>
      <w:proofErr w:type="spellEnd"/>
      <w:r w:rsidRPr="00EE43D9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EE43D9">
        <w:rPr>
          <w:rFonts w:asciiTheme="minorHAnsi" w:hAnsiTheme="minorHAnsi" w:cstheme="minorHAnsi"/>
          <w:bCs/>
          <w:sz w:val="20"/>
          <w:szCs w:val="20"/>
        </w:rPr>
        <w:t>Bruñén</w:t>
      </w:r>
      <w:proofErr w:type="spellEnd"/>
      <w:r w:rsidRPr="00EE43D9">
        <w:rPr>
          <w:rFonts w:asciiTheme="minorHAnsi" w:hAnsiTheme="minorHAnsi" w:cstheme="minorHAnsi"/>
          <w:bCs/>
          <w:sz w:val="20"/>
          <w:szCs w:val="20"/>
        </w:rPr>
        <w:t>, María José</w:t>
      </w:r>
      <w:r w:rsidRPr="00EE43D9">
        <w:rPr>
          <w:rFonts w:asciiTheme="minorHAnsi" w:hAnsiTheme="minorHAnsi" w:cstheme="minorHAnsi"/>
          <w:sz w:val="20"/>
          <w:szCs w:val="20"/>
        </w:rPr>
        <w:t xml:space="preserve">, "Modificación del proceso de ejecución por la Ley Orgánica 1/2025, de 2 de enero: Problemas que se solventan y nuevos que se suscitan (I)", </w:t>
      </w:r>
      <w:r w:rsidRPr="00EE43D9">
        <w:rPr>
          <w:rFonts w:asciiTheme="minorHAnsi" w:hAnsiTheme="minorHAnsi" w:cstheme="minorHAnsi"/>
          <w:i/>
          <w:iCs/>
          <w:sz w:val="20"/>
          <w:szCs w:val="20"/>
        </w:rPr>
        <w:t>Proceso civil: cuaderno jurídico</w:t>
      </w:r>
      <w:r w:rsidRPr="00EE43D9">
        <w:rPr>
          <w:rFonts w:asciiTheme="minorHAnsi" w:hAnsiTheme="minorHAnsi" w:cstheme="minorHAnsi"/>
          <w:sz w:val="20"/>
          <w:szCs w:val="20"/>
        </w:rPr>
        <w:t>, Nº. 159, 2025, págs. 49-58.</w:t>
      </w:r>
    </w:p>
    <w:p w14:paraId="7C797014" w14:textId="6852F218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Achón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 </w:t>
      </w: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Bruñén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>, María José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"Modificación del proceso de ejecución por la Ley Orgánica 1/2025, de 2 de enero: Problemas que se solventan y nuevos que se suscitan (II). Especial referencia a la subasta",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Proceso civil: cuaderno jurídico</w:t>
      </w:r>
      <w:r w:rsidRPr="00EE43D9">
        <w:rPr>
          <w:rFonts w:eastAsia="Times New Roman" w:cstheme="minorHAnsi"/>
          <w:sz w:val="20"/>
          <w:szCs w:val="20"/>
          <w:lang w:eastAsia="es-ES"/>
        </w:rPr>
        <w:t>, Nº. 159, 2025, págs. 59-81.</w:t>
      </w:r>
    </w:p>
    <w:p w14:paraId="59CDAA5F" w14:textId="71ED90C8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Achón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 </w:t>
      </w: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Bruñén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>, María José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"Problemas que plantea el requerimiento de pago en el procedimiento hipotecario e irregularidades que pueden ocasionar su nulidad",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Práctica de tribunales</w:t>
      </w:r>
      <w:r w:rsidRPr="00EE43D9">
        <w:rPr>
          <w:rFonts w:eastAsia="Times New Roman" w:cstheme="minorHAnsi"/>
          <w:sz w:val="20"/>
          <w:szCs w:val="20"/>
          <w:lang w:eastAsia="es-ES"/>
        </w:rPr>
        <w:t>, Nº. 173, 2025.</w:t>
      </w:r>
    </w:p>
    <w:p w14:paraId="420DE923" w14:textId="41D84184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Achón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 </w:t>
      </w: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Bruñén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>, María José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"Problemas que plantea el requerimiento de pago en el procedimiento hipotecario e irregularidades que pueden ocasionar su nulidad",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Práctica de tribunales</w:t>
      </w:r>
      <w:r w:rsidRPr="00EE43D9">
        <w:rPr>
          <w:rFonts w:eastAsia="Times New Roman" w:cstheme="minorHAnsi"/>
          <w:sz w:val="20"/>
          <w:szCs w:val="20"/>
          <w:lang w:eastAsia="es-ES"/>
        </w:rPr>
        <w:t>, Nº. 172, 2025.</w:t>
      </w:r>
    </w:p>
    <w:p w14:paraId="5E6CF2C7" w14:textId="60A9274E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Alonso Pérez, María Teresa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"Transparencia y posible carácter abusivo de una cláusula sobre el precio en un contrato de servicios e inoperancia del Derecho de consumo para amparar los intereses del prestatario (A propósito de la STJUE de 20 de marzo de 2025 —Asunto C-365-23— caso Arce)",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Actualidad civil</w:t>
      </w:r>
      <w:r w:rsidRPr="00EE43D9">
        <w:rPr>
          <w:rFonts w:eastAsia="Times New Roman" w:cstheme="minorHAnsi"/>
          <w:sz w:val="20"/>
          <w:szCs w:val="20"/>
          <w:lang w:eastAsia="es-ES"/>
        </w:rPr>
        <w:t>, Nº 9, 2025.</w:t>
      </w:r>
    </w:p>
    <w:p w14:paraId="251ACF47" w14:textId="77777777" w:rsidR="000E55A3" w:rsidRDefault="00EE43D9" w:rsidP="000E55A3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Álvarez Moreno, María Teresa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"Contratos de suministro de electricidad y gas. Problemas que plantea el mercado para consumidores y su solución mediante arbitraje de consumo",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Cuadernos de derecho privado: CDP</w:t>
      </w:r>
      <w:r w:rsidRPr="00EE43D9">
        <w:rPr>
          <w:rFonts w:eastAsia="Times New Roman" w:cstheme="minorHAnsi"/>
          <w:sz w:val="20"/>
          <w:szCs w:val="20"/>
          <w:lang w:eastAsia="es-ES"/>
        </w:rPr>
        <w:t>, Nº. 12, 2025, págs. 13-55.</w:t>
      </w:r>
    </w:p>
    <w:p w14:paraId="29B95ED5" w14:textId="108E90A4" w:rsidR="000E55A3" w:rsidRPr="000E55A3" w:rsidRDefault="000E55A3" w:rsidP="000E55A3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0E55A3">
        <w:rPr>
          <w:rFonts w:eastAsia="Times New Roman" w:cstheme="minorHAnsi"/>
          <w:sz w:val="20"/>
          <w:szCs w:val="20"/>
          <w:lang w:eastAsia="es-ES"/>
        </w:rPr>
        <w:t xml:space="preserve">Aparicio Araque, Blanca, "Análisis del dictamen del Comité Económico y Social Europeo 'La contribución del metaverso y de la robótica al sector médico'", </w:t>
      </w:r>
      <w:r w:rsidRPr="000E55A3">
        <w:rPr>
          <w:rFonts w:eastAsia="Times New Roman" w:cstheme="minorHAnsi"/>
          <w:i/>
          <w:sz w:val="20"/>
          <w:szCs w:val="20"/>
          <w:lang w:eastAsia="es-ES"/>
        </w:rPr>
        <w:t>Revista CESCO de Derecho de Consumo</w:t>
      </w:r>
      <w:r w:rsidRPr="000E55A3">
        <w:rPr>
          <w:rFonts w:eastAsia="Times New Roman" w:cstheme="minorHAnsi"/>
          <w:sz w:val="20"/>
          <w:szCs w:val="20"/>
          <w:lang w:eastAsia="es-ES"/>
        </w:rPr>
        <w:t>, Nº. 55, 2025, págs. 1-23.</w:t>
      </w:r>
    </w:p>
    <w:p w14:paraId="4F8E01A3" w14:textId="5CC0F7FF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Armengot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 Vilaplana, Alicia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"El pleito testigo y la extensión de los efectos de una sentencia: dos intentos (imperfectos) para agilizar las respuestas en la litigación masiva",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General de Derecho Procesal</w:t>
      </w:r>
      <w:r w:rsidRPr="00EE43D9">
        <w:rPr>
          <w:rFonts w:eastAsia="Times New Roman" w:cstheme="minorHAnsi"/>
          <w:sz w:val="20"/>
          <w:szCs w:val="20"/>
          <w:lang w:eastAsia="es-ES"/>
        </w:rPr>
        <w:t>, Nº. 66, 2025.</w:t>
      </w:r>
    </w:p>
    <w:p w14:paraId="15E1B79D" w14:textId="4F0B245B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Barreno Fernández, Alejandra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"El control de oficio de las cláusulas abusivas en concursos de acreedores",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Mercantil y Concursal: revista digital</w:t>
      </w:r>
      <w:r w:rsidRPr="00EE43D9">
        <w:rPr>
          <w:rFonts w:eastAsia="Times New Roman" w:cstheme="minorHAnsi"/>
          <w:sz w:val="20"/>
          <w:szCs w:val="20"/>
          <w:lang w:eastAsia="es-ES"/>
        </w:rPr>
        <w:t>, Nº. 64, 2025.</w:t>
      </w:r>
    </w:p>
    <w:p w14:paraId="0F4DBD02" w14:textId="71536A3A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Barrio Andrés, Moisés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"El nuevo régimen de la responsabilidad por productos defectuosos en el Derecho digital europeo",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Actualidad civil</w:t>
      </w:r>
      <w:r w:rsidRPr="00EE43D9">
        <w:rPr>
          <w:rFonts w:eastAsia="Times New Roman" w:cstheme="minorHAnsi"/>
          <w:sz w:val="20"/>
          <w:szCs w:val="20"/>
          <w:lang w:eastAsia="es-ES"/>
        </w:rPr>
        <w:t>, Nº 7-8, 2025.</w:t>
      </w:r>
    </w:p>
    <w:p w14:paraId="3458A755" w14:textId="405F3A52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Bergel Sainz de Baranda, Yolanda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"Contratos de prestación de servicios de computación en nube: condiciones generales usuales",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de Derecho Privado</w:t>
      </w:r>
      <w:r w:rsidRPr="00EE43D9">
        <w:rPr>
          <w:rFonts w:eastAsia="Times New Roman" w:cstheme="minorHAnsi"/>
          <w:sz w:val="20"/>
          <w:szCs w:val="20"/>
          <w:lang w:eastAsia="es-ES"/>
        </w:rPr>
        <w:t>, Año nº 109, Mes 2, 2025, págs. 49-123.</w:t>
      </w:r>
    </w:p>
    <w:p w14:paraId="481824CC" w14:textId="100BE8D1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Biltgen, F.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"Concepto de actuación «deshonesta o de mala fe» en procedimientos de reestructuración, insolvencia y exoneración de deudas: TJ, Sala Sexta, S 10 abril 2025. Asunto C‐723/23: Amilla",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EE43D9">
        <w:rPr>
          <w:rFonts w:eastAsia="Times New Roman" w:cstheme="minorHAnsi"/>
          <w:sz w:val="20"/>
          <w:szCs w:val="20"/>
          <w:lang w:eastAsia="es-ES"/>
        </w:rPr>
        <w:t>, número 137, 2025.</w:t>
      </w:r>
    </w:p>
    <w:p w14:paraId="6148736F" w14:textId="21909174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Cano Sallarés, Paz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"La nueva jurisprudencia española y europea sobre los contratos de tarjeta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revolving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: un análisis desde la perspectiva de los consumidores",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jurídica de Catalunya</w:t>
      </w:r>
      <w:r w:rsidRPr="00EE43D9">
        <w:rPr>
          <w:rFonts w:eastAsia="Times New Roman" w:cstheme="minorHAnsi"/>
          <w:sz w:val="20"/>
          <w:szCs w:val="20"/>
          <w:lang w:eastAsia="es-ES"/>
        </w:rPr>
        <w:t>, Vol. 131, Nº 2, 2025, págs. 315-328.</w:t>
      </w:r>
    </w:p>
    <w:p w14:paraId="039555EE" w14:textId="287F5C1F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Castillo Martínez, Carolina del Carmen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"Crédito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revolving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 y protección del consumidor «The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long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 and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winding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road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»",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Actualidad civil</w:t>
      </w:r>
      <w:r w:rsidRPr="00EE43D9">
        <w:rPr>
          <w:rFonts w:eastAsia="Times New Roman" w:cstheme="minorHAnsi"/>
          <w:sz w:val="20"/>
          <w:szCs w:val="20"/>
          <w:lang w:eastAsia="es-ES"/>
        </w:rPr>
        <w:t>, Nº 7-8, 2025.</w:t>
      </w:r>
    </w:p>
    <w:p w14:paraId="130E417D" w14:textId="1B8E2174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lastRenderedPageBreak/>
        <w:t>Cohen Benchetrit, Amanda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"Jurisprudencia del Tribunal Supremo en materia de acciones colectivas (1)",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Práctica de tribunales</w:t>
      </w:r>
      <w:r w:rsidRPr="00EE43D9">
        <w:rPr>
          <w:rFonts w:eastAsia="Times New Roman" w:cstheme="minorHAnsi"/>
          <w:sz w:val="20"/>
          <w:szCs w:val="20"/>
          <w:lang w:eastAsia="es-ES"/>
        </w:rPr>
        <w:t>, Nº. 172, 2025.</w:t>
      </w:r>
    </w:p>
    <w:p w14:paraId="24F30A77" w14:textId="4C6EBEF9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Conde Colmenero, Pilar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"Cláusulas abusivas y jugadores menores. Protección frente a malas prácticas contractuales en el ámbito deportivo",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EE43D9">
        <w:rPr>
          <w:rFonts w:eastAsia="Times New Roman" w:cstheme="minorHAnsi"/>
          <w:sz w:val="20"/>
          <w:szCs w:val="20"/>
          <w:lang w:eastAsia="es-ES"/>
        </w:rPr>
        <w:t>, número 137, 2025.</w:t>
      </w:r>
    </w:p>
    <w:p w14:paraId="0E49982C" w14:textId="77777777" w:rsidR="000E55A3" w:rsidRDefault="00EE43D9" w:rsidP="000E55A3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Díez-Picazo Giménez, Ignacio</w:t>
      </w:r>
      <w:r w:rsidRPr="00EE43D9">
        <w:rPr>
          <w:rFonts w:eastAsia="Times New Roman" w:cstheme="minorHAnsi"/>
          <w:sz w:val="20"/>
          <w:szCs w:val="20"/>
          <w:lang w:eastAsia="es-ES"/>
        </w:rPr>
        <w:t>, "Transparencia y crédito «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revolving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»",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EE43D9">
        <w:rPr>
          <w:rFonts w:eastAsia="Times New Roman" w:cstheme="minorHAnsi"/>
          <w:sz w:val="20"/>
          <w:szCs w:val="20"/>
          <w:lang w:eastAsia="es-ES"/>
        </w:rPr>
        <w:t>, Nº 10753, 2025.</w:t>
      </w:r>
    </w:p>
    <w:p w14:paraId="425A4204" w14:textId="7C0D079E" w:rsidR="000E55A3" w:rsidRPr="000E55A3" w:rsidRDefault="000E55A3" w:rsidP="000E55A3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0E55A3">
        <w:rPr>
          <w:rFonts w:eastAsia="Times New Roman" w:cstheme="minorHAnsi"/>
          <w:sz w:val="20"/>
          <w:szCs w:val="20"/>
          <w:lang w:eastAsia="es-ES"/>
        </w:rPr>
        <w:t xml:space="preserve">Domínguez Martínez, Pilar, "Reparación del daño por exposición al amianto: nuevo rumbo jurisprudencial y legal con la Ley 5/2025, sobre baremo, transmisibilidad y alcance del crédito resarcitorio", </w:t>
      </w:r>
      <w:r w:rsidRPr="00C341CE">
        <w:rPr>
          <w:rFonts w:eastAsia="Times New Roman" w:cstheme="minorHAnsi"/>
          <w:i/>
          <w:sz w:val="20"/>
          <w:szCs w:val="20"/>
          <w:lang w:eastAsia="es-ES"/>
        </w:rPr>
        <w:t>Revista CESCO de Derecho de Consumo</w:t>
      </w:r>
      <w:r w:rsidRPr="000E55A3">
        <w:rPr>
          <w:rFonts w:eastAsia="Times New Roman" w:cstheme="minorHAnsi"/>
          <w:sz w:val="20"/>
          <w:szCs w:val="20"/>
          <w:lang w:eastAsia="es-ES"/>
        </w:rPr>
        <w:t>, Nº. 55, 2025, págs. 100-128.</w:t>
      </w:r>
    </w:p>
    <w:p w14:paraId="21A4DB2F" w14:textId="01FB6F62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Esteve Sanz, Mónica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"Nuevo Código de Conducta de publicidad a través de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influencers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 — se refuerza la transparencia en las colaboraciones entre marcas e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influencers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mercantil</w:t>
      </w:r>
      <w:r w:rsidRPr="00EE43D9">
        <w:rPr>
          <w:rFonts w:eastAsia="Times New Roman" w:cstheme="minorHAnsi"/>
          <w:sz w:val="20"/>
          <w:szCs w:val="20"/>
          <w:lang w:eastAsia="es-ES"/>
        </w:rPr>
        <w:t>, Nº. 126, 2025.</w:t>
      </w:r>
    </w:p>
    <w:p w14:paraId="4C795C03" w14:textId="318FBBD1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Gavalec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>, M.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"Comercio electrónico e información sobre la necesidad de una evaluación previa de la solvencia del consumidor únicamente durante el proceso de pedido en línea...",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EE43D9">
        <w:rPr>
          <w:rFonts w:eastAsia="Times New Roman" w:cstheme="minorHAnsi"/>
          <w:sz w:val="20"/>
          <w:szCs w:val="20"/>
          <w:lang w:eastAsia="es-ES"/>
        </w:rPr>
        <w:t>, número 138, 2025.</w:t>
      </w:r>
    </w:p>
    <w:p w14:paraId="66CBB2EF" w14:textId="2DAFF234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Gómez Asensio, Carlos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"Declaración como «persona afectada» en la insolvencia culpable de un tercero y excepción al acceso a la exoneración de deudas: Sentencia del Tribunal de Justicia 6ª 10 abril 2025, as. C‐723/23: Amilla",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EE43D9">
        <w:rPr>
          <w:rFonts w:eastAsia="Times New Roman" w:cstheme="minorHAnsi"/>
          <w:sz w:val="20"/>
          <w:szCs w:val="20"/>
          <w:lang w:eastAsia="es-ES"/>
        </w:rPr>
        <w:t>, número 137, 2025.</w:t>
      </w:r>
    </w:p>
    <w:p w14:paraId="2F9C5E7B" w14:textId="51EB8151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Gómez Fuentes, Alicia</w:t>
      </w:r>
      <w:r w:rsidRPr="00EE43D9">
        <w:rPr>
          <w:rFonts w:eastAsia="Times New Roman" w:cstheme="minorHAnsi"/>
          <w:sz w:val="20"/>
          <w:szCs w:val="20"/>
          <w:lang w:eastAsia="es-ES"/>
        </w:rPr>
        <w:t>, "Nulidad de los Certificados de Depósito de Acciones (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CDAs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) de Triodos Bank NV. Comentario de las sentencias de la Sala Primera del Tribunal Supremo 662/2025, 667/2025 y 668/2025, de 30 de abril",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EE43D9">
        <w:rPr>
          <w:rFonts w:eastAsia="Times New Roman" w:cstheme="minorHAnsi"/>
          <w:sz w:val="20"/>
          <w:szCs w:val="20"/>
          <w:lang w:eastAsia="es-ES"/>
        </w:rPr>
        <w:t>, Nº 10756, 2025.</w:t>
      </w:r>
    </w:p>
    <w:p w14:paraId="1CE15E7E" w14:textId="52CCE4C1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Gómez Valenzuela, Esperanza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"Medios alternativos de solución de controversias en la contratación electrónica de consumo: retos vinculados a la Ley 1/2025",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Aranzadi de derecho y nuevas tecnologías</w:t>
      </w:r>
      <w:r w:rsidRPr="00EE43D9">
        <w:rPr>
          <w:rFonts w:eastAsia="Times New Roman" w:cstheme="minorHAnsi"/>
          <w:sz w:val="20"/>
          <w:szCs w:val="20"/>
          <w:lang w:eastAsia="es-ES"/>
        </w:rPr>
        <w:t>, Nº. 68, 2025.</w:t>
      </w:r>
    </w:p>
    <w:p w14:paraId="0CF2B808" w14:textId="1970A246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Guerrero Ovejas, Marta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"Los mecanismos alternativos de resolución de controversias (MASC) y la compensación de los pasajeros aéreos",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EE43D9">
        <w:rPr>
          <w:rFonts w:eastAsia="Times New Roman" w:cstheme="minorHAnsi"/>
          <w:sz w:val="20"/>
          <w:szCs w:val="20"/>
          <w:lang w:eastAsia="es-ES"/>
        </w:rPr>
        <w:t>, Nº 10755, 2025.</w:t>
      </w:r>
    </w:p>
    <w:p w14:paraId="568ABD7B" w14:textId="110E08F6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Lafuente Sánchez, Raúl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"¿Es posible atribuir a un Estado la consideración de persona perjudicada y parte más débil al objeto de activar la acción directa frente a una compañía aseguradora?",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EE43D9">
        <w:rPr>
          <w:rFonts w:eastAsia="Times New Roman" w:cstheme="minorHAnsi"/>
          <w:sz w:val="20"/>
          <w:szCs w:val="20"/>
          <w:lang w:eastAsia="es-ES"/>
        </w:rPr>
        <w:t>, número 138, 2025.</w:t>
      </w:r>
    </w:p>
    <w:p w14:paraId="239408D4" w14:textId="627A7B50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Lois Caballé, Ana Isabel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"El derecho de desistimiento en materia de criptoactivos",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Aranzadi de derecho y nuevas tecnologías</w:t>
      </w:r>
      <w:r w:rsidRPr="00EE43D9">
        <w:rPr>
          <w:rFonts w:eastAsia="Times New Roman" w:cstheme="minorHAnsi"/>
          <w:sz w:val="20"/>
          <w:szCs w:val="20"/>
          <w:lang w:eastAsia="es-ES"/>
        </w:rPr>
        <w:t>, Nº. 68, 2025.</w:t>
      </w:r>
    </w:p>
    <w:p w14:paraId="01236B23" w14:textId="0FD9A3E0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López Suárez, Covadonga</w:t>
      </w:r>
      <w:r w:rsidRPr="00EE43D9">
        <w:rPr>
          <w:rFonts w:eastAsia="Times New Roman" w:cstheme="minorHAnsi"/>
          <w:sz w:val="20"/>
          <w:szCs w:val="20"/>
          <w:lang w:eastAsia="es-ES"/>
        </w:rPr>
        <w:t>, "Problemas jurídicos resueltos y sin resolver en torno a los “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influencers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” y el derecho de consumo",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RDUNED. Revista de derecho UNED</w:t>
      </w:r>
      <w:r w:rsidRPr="00EE43D9">
        <w:rPr>
          <w:rFonts w:eastAsia="Times New Roman" w:cstheme="minorHAnsi"/>
          <w:sz w:val="20"/>
          <w:szCs w:val="20"/>
          <w:lang w:eastAsia="es-ES"/>
        </w:rPr>
        <w:t>, Nº. 35, 2025, págs. 101-140.</w:t>
      </w:r>
    </w:p>
    <w:p w14:paraId="46D1C115" w14:textId="2B708CDC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Lozano Gago, María de la Luz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"A vueltas con las acciones colectivas. ¿En qué benefician al que las interpone?",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Práctica de tribunales</w:t>
      </w:r>
      <w:r w:rsidRPr="00EE43D9">
        <w:rPr>
          <w:rFonts w:eastAsia="Times New Roman" w:cstheme="minorHAnsi"/>
          <w:sz w:val="20"/>
          <w:szCs w:val="20"/>
          <w:lang w:eastAsia="es-ES"/>
        </w:rPr>
        <w:t>, Nº. 172, 2025.</w:t>
      </w:r>
    </w:p>
    <w:p w14:paraId="436F1651" w14:textId="6EABA237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Martín Aláez, Francisco Javier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"Responsabilidad por daños causados por la inteligencia artificial integrada en los servicios básicos de plataforma",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 xml:space="preserve">Anuario da Facultade de </w:t>
      </w:r>
      <w:proofErr w:type="spellStart"/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Dereito</w:t>
      </w:r>
      <w:proofErr w:type="spellEnd"/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 xml:space="preserve"> da Universidade da Coruña</w:t>
      </w:r>
      <w:r w:rsidRPr="00EE43D9">
        <w:rPr>
          <w:rFonts w:eastAsia="Times New Roman" w:cstheme="minorHAnsi"/>
          <w:sz w:val="20"/>
          <w:szCs w:val="20"/>
          <w:lang w:eastAsia="es-ES"/>
        </w:rPr>
        <w:t>, Nº 28, 2024, págs. 1-30.</w:t>
      </w:r>
    </w:p>
    <w:p w14:paraId="130F4496" w14:textId="77777777" w:rsidR="000E55A3" w:rsidRDefault="00EE43D9" w:rsidP="000E55A3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Martínez de Santos, Alberto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"Art. 15 LEC. Publicidad e intervención en procesos para la protección de derechos e intereses colectivos y difusos de consumidores y usuarios",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Práctica de tribunales</w:t>
      </w:r>
      <w:r w:rsidRPr="00EE43D9">
        <w:rPr>
          <w:rFonts w:eastAsia="Times New Roman" w:cstheme="minorHAnsi"/>
          <w:sz w:val="20"/>
          <w:szCs w:val="20"/>
          <w:lang w:eastAsia="es-ES"/>
        </w:rPr>
        <w:t>, Nº. 172, 2025.</w:t>
      </w:r>
    </w:p>
    <w:p w14:paraId="484F9FBF" w14:textId="4BC6ED0F" w:rsidR="000E55A3" w:rsidRPr="000E55A3" w:rsidRDefault="000E55A3" w:rsidP="000E55A3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0E55A3">
        <w:rPr>
          <w:rFonts w:eastAsia="Times New Roman" w:cstheme="minorHAnsi"/>
          <w:sz w:val="20"/>
          <w:szCs w:val="20"/>
          <w:lang w:eastAsia="es-ES"/>
        </w:rPr>
        <w:t xml:space="preserve">Martínez Espín, Pascual, "Reparar, informar, transformar: anatomía crítica del nuevo marco legal para un consumo sostenible en España", </w:t>
      </w:r>
      <w:r w:rsidRPr="000E55A3">
        <w:rPr>
          <w:rFonts w:eastAsia="Times New Roman" w:cstheme="minorHAnsi"/>
          <w:i/>
          <w:sz w:val="20"/>
          <w:szCs w:val="20"/>
          <w:lang w:eastAsia="es-ES"/>
        </w:rPr>
        <w:t>Revista CESCO de Derecho de Consumo</w:t>
      </w:r>
      <w:r w:rsidRPr="000E55A3">
        <w:rPr>
          <w:rFonts w:eastAsia="Times New Roman" w:cstheme="minorHAnsi"/>
          <w:sz w:val="20"/>
          <w:szCs w:val="20"/>
          <w:lang w:eastAsia="es-ES"/>
        </w:rPr>
        <w:t>, Nº. 55, 2025, págs. 24-99.</w:t>
      </w:r>
    </w:p>
    <w:p w14:paraId="5B7BF0C7" w14:textId="01BED0F3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Plaza </w:t>
      </w: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Penadés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>, Javier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"La responsabilidad civil por daños causados por la inteligencia artificial como producto defectuoso",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Aranzadi de derecho y nuevas tecnologías</w:t>
      </w:r>
      <w:r w:rsidRPr="00EE43D9">
        <w:rPr>
          <w:rFonts w:eastAsia="Times New Roman" w:cstheme="minorHAnsi"/>
          <w:sz w:val="20"/>
          <w:szCs w:val="20"/>
          <w:lang w:eastAsia="es-ES"/>
        </w:rPr>
        <w:t>, Nº. 68, 2025.</w:t>
      </w:r>
    </w:p>
    <w:p w14:paraId="33F8B1C2" w14:textId="354BCFCE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Reinhart Schuller, Robert</w:t>
      </w:r>
      <w:r w:rsidRPr="00EE43D9">
        <w:rPr>
          <w:rFonts w:eastAsia="Times New Roman" w:cstheme="minorHAnsi"/>
          <w:sz w:val="20"/>
          <w:szCs w:val="20"/>
          <w:lang w:eastAsia="es-ES"/>
        </w:rPr>
        <w:t>, "Créditos “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revolving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”: ¿abusividad directa por falta de transparencia? ¿Una nueva concepción del concepto de transparencia?",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Crítica de Derecho Inmobiliario</w:t>
      </w:r>
      <w:r w:rsidRPr="00EE43D9">
        <w:rPr>
          <w:rFonts w:eastAsia="Times New Roman" w:cstheme="minorHAnsi"/>
          <w:sz w:val="20"/>
          <w:szCs w:val="20"/>
          <w:lang w:eastAsia="es-ES"/>
        </w:rPr>
        <w:t>, Nº 809, 2025, págs. 1687-1712.</w:t>
      </w:r>
    </w:p>
    <w:p w14:paraId="66C823F5" w14:textId="386FE382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lastRenderedPageBreak/>
        <w:t>Reinhart Schuller, Robert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"Responsabilidad civil del proveedor de servicios de pago en casos de fraude y phishing",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Crítica de Derecho Inmobiliario</w:t>
      </w:r>
      <w:r w:rsidRPr="00EE43D9">
        <w:rPr>
          <w:rFonts w:eastAsia="Times New Roman" w:cstheme="minorHAnsi"/>
          <w:sz w:val="20"/>
          <w:szCs w:val="20"/>
          <w:lang w:eastAsia="es-ES"/>
        </w:rPr>
        <w:t>, Nº 810, 2025, págs. 2259-2278.</w:t>
      </w:r>
    </w:p>
    <w:p w14:paraId="27186EF5" w14:textId="3777CB9E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Ribón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 Seisdedos, Eugenio</w:t>
      </w:r>
      <w:r w:rsidRPr="00EE43D9">
        <w:rPr>
          <w:rFonts w:eastAsia="Times New Roman" w:cstheme="minorHAnsi"/>
          <w:sz w:val="20"/>
          <w:szCs w:val="20"/>
          <w:lang w:eastAsia="es-ES"/>
        </w:rPr>
        <w:t>, "Responsabilidad de la entidad bancaria en fraudes «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man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>-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in-the-middle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»: deber de diligencia y buenas prácticas",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EE43D9">
        <w:rPr>
          <w:rFonts w:eastAsia="Times New Roman" w:cstheme="minorHAnsi"/>
          <w:sz w:val="20"/>
          <w:szCs w:val="20"/>
          <w:lang w:eastAsia="es-ES"/>
        </w:rPr>
        <w:t>, Nº 10792, 2025.</w:t>
      </w:r>
    </w:p>
    <w:p w14:paraId="6F6577A1" w14:textId="09CB3AA1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Rodríguez Méndez, </w:t>
      </w: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Dacil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, "La evolución y principales cuestiones sobre la competencia territorial en materia de condiciones generales de la contratación",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EE43D9">
        <w:rPr>
          <w:rFonts w:eastAsia="Times New Roman" w:cstheme="minorHAnsi"/>
          <w:sz w:val="20"/>
          <w:szCs w:val="20"/>
          <w:lang w:eastAsia="es-ES"/>
        </w:rPr>
        <w:t>, Nº 10760, 2025.</w:t>
      </w:r>
    </w:p>
    <w:p w14:paraId="22AB5865" w14:textId="5494D7E0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Sánchez Rodríguez, Raquel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"Los retos en protección de datos personales para las entidades tecnológicas en la era de la inteligencia artificial",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privacidad</w:t>
      </w:r>
      <w:r w:rsidRPr="00EE43D9">
        <w:rPr>
          <w:rFonts w:eastAsia="Times New Roman" w:cstheme="minorHAnsi"/>
          <w:sz w:val="20"/>
          <w:szCs w:val="20"/>
          <w:lang w:eastAsia="es-ES"/>
        </w:rPr>
        <w:t>, Nº. 24, 2025.</w:t>
      </w:r>
    </w:p>
    <w:p w14:paraId="226AECBD" w14:textId="6D2A9EB7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Tapia Hermida, Alberto J.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"Préstamos hipotecarios: transparencia sustancial de la comisión de apertura",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EE43D9">
        <w:rPr>
          <w:rFonts w:eastAsia="Times New Roman" w:cstheme="minorHAnsi"/>
          <w:sz w:val="20"/>
          <w:szCs w:val="20"/>
          <w:lang w:eastAsia="es-ES"/>
        </w:rPr>
        <w:t>, número 137, 2025.</w:t>
      </w:r>
    </w:p>
    <w:p w14:paraId="7B08E486" w14:textId="1717B35E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Valencia Ortega, Elisabeth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"La nueva jurisprudencia española y europea sobre los contratos de tarjeta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revolving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: un análisis desde la perspectiva de las entidades financieras",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jurídica de Catalunya</w:t>
      </w:r>
      <w:r w:rsidRPr="00EE43D9">
        <w:rPr>
          <w:rFonts w:eastAsia="Times New Roman" w:cstheme="minorHAnsi"/>
          <w:sz w:val="20"/>
          <w:szCs w:val="20"/>
          <w:lang w:eastAsia="es-ES"/>
        </w:rPr>
        <w:t>, Vol. 131, Nº 2, 2025, págs. 329-338.</w:t>
      </w:r>
    </w:p>
    <w:p w14:paraId="1F33EF07" w14:textId="0348CB62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Vazquez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 Pita, Enrique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"Responsabilidad civil en vehículos autónomos y soluciones jurídicas de la Ley de Inteligencia Artificial (AI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Act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)",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 xml:space="preserve">Anuario da Facultade de </w:t>
      </w:r>
      <w:proofErr w:type="spellStart"/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Dereito</w:t>
      </w:r>
      <w:proofErr w:type="spellEnd"/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 xml:space="preserve"> da Universidade da Coruña</w:t>
      </w:r>
      <w:r w:rsidRPr="00EE43D9">
        <w:rPr>
          <w:rFonts w:eastAsia="Times New Roman" w:cstheme="minorHAnsi"/>
          <w:sz w:val="20"/>
          <w:szCs w:val="20"/>
          <w:lang w:eastAsia="es-ES"/>
        </w:rPr>
        <w:t>, Nº 28, 2024, págs. 65-92.</w:t>
      </w:r>
    </w:p>
    <w:p w14:paraId="2665AD3F" w14:textId="1AAF24DA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Vázquez-Pastor Jiménez, Lucía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"Garantía por falta de conformidad de los contenidos y servicios digitales",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Revista Crítica de Derecho Inmobiliario</w:t>
      </w:r>
      <w:r w:rsidRPr="00EE43D9">
        <w:rPr>
          <w:rFonts w:eastAsia="Times New Roman" w:cstheme="minorHAnsi"/>
          <w:sz w:val="20"/>
          <w:szCs w:val="20"/>
          <w:lang w:eastAsia="es-ES"/>
        </w:rPr>
        <w:t>, Nº 809, 2025, págs. 1359-1401.</w:t>
      </w:r>
    </w:p>
    <w:p w14:paraId="25B40B3A" w14:textId="4C258628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EE43D9">
        <w:rPr>
          <w:rFonts w:eastAsia="Times New Roman" w:cstheme="minorHAnsi"/>
          <w:bCs/>
          <w:sz w:val="20"/>
          <w:szCs w:val="20"/>
          <w:lang w:eastAsia="es-ES"/>
        </w:rPr>
        <w:t>Vela Torres, Pedro José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"Prescripción de la acción restitutoria de las cantidades pagadas en exceso por el cliente de una tarjeta </w:t>
      </w:r>
      <w:proofErr w:type="spellStart"/>
      <w:r w:rsidRPr="00EE43D9">
        <w:rPr>
          <w:rFonts w:eastAsia="Times New Roman" w:cstheme="minorHAnsi"/>
          <w:sz w:val="20"/>
          <w:szCs w:val="20"/>
          <w:lang w:eastAsia="es-ES"/>
        </w:rPr>
        <w:t>revolving</w:t>
      </w:r>
      <w:proofErr w:type="spellEnd"/>
      <w:r w:rsidRPr="00EE43D9">
        <w:rPr>
          <w:rFonts w:eastAsia="Times New Roman" w:cstheme="minorHAnsi"/>
          <w:sz w:val="20"/>
          <w:szCs w:val="20"/>
          <w:lang w:eastAsia="es-ES"/>
        </w:rPr>
        <w:t xml:space="preserve"> usuraria",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EE43D9">
        <w:rPr>
          <w:rFonts w:eastAsia="Times New Roman" w:cstheme="minorHAnsi"/>
          <w:sz w:val="20"/>
          <w:szCs w:val="20"/>
          <w:lang w:eastAsia="es-ES"/>
        </w:rPr>
        <w:t>, Nº 10756, 2025.</w:t>
      </w:r>
    </w:p>
    <w:p w14:paraId="071F7289" w14:textId="56987789" w:rsidR="00EE43D9" w:rsidRPr="00EE43D9" w:rsidRDefault="00EE43D9" w:rsidP="00EE43D9">
      <w:pPr>
        <w:pStyle w:val="Prrafodelista"/>
        <w:numPr>
          <w:ilvl w:val="0"/>
          <w:numId w:val="19"/>
        </w:numPr>
        <w:spacing w:before="120" w:after="100" w:afterAutospacing="1" w:line="240" w:lineRule="auto"/>
        <w:ind w:left="360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EE43D9">
        <w:rPr>
          <w:rFonts w:eastAsia="Times New Roman" w:cstheme="minorHAnsi"/>
          <w:bCs/>
          <w:sz w:val="20"/>
          <w:szCs w:val="20"/>
          <w:lang w:eastAsia="es-ES"/>
        </w:rPr>
        <w:t>von</w:t>
      </w:r>
      <w:proofErr w:type="spellEnd"/>
      <w:r w:rsidRPr="00EE43D9">
        <w:rPr>
          <w:rFonts w:eastAsia="Times New Roman" w:cstheme="minorHAnsi"/>
          <w:bCs/>
          <w:sz w:val="20"/>
          <w:szCs w:val="20"/>
          <w:lang w:eastAsia="es-ES"/>
        </w:rPr>
        <w:t xml:space="preserve"> Danwitz, Thomas</w:t>
      </w:r>
      <w:r w:rsidRPr="00EE43D9">
        <w:rPr>
          <w:rFonts w:eastAsia="Times New Roman" w:cstheme="minorHAnsi"/>
          <w:sz w:val="20"/>
          <w:szCs w:val="20"/>
          <w:lang w:eastAsia="es-ES"/>
        </w:rPr>
        <w:t xml:space="preserve">, "Evaluación crediticia automatizada: el interesado tiene derecho a que se le explique cómo se ha tomado la decisión que le afecta: TJ, Sala Primera, S 27 febrero 2027. Asunto C‐203/22: Dun &amp; Bradstreet Austria", </w:t>
      </w:r>
      <w:r w:rsidRPr="00EE43D9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EE43D9">
        <w:rPr>
          <w:rFonts w:eastAsia="Times New Roman" w:cstheme="minorHAnsi"/>
          <w:sz w:val="20"/>
          <w:szCs w:val="20"/>
          <w:lang w:eastAsia="es-ES"/>
        </w:rPr>
        <w:t>, número 137, 2025.</w:t>
      </w:r>
    </w:p>
    <w:p w14:paraId="678EA9ED" w14:textId="24D4384F" w:rsidR="00D0064B" w:rsidRPr="005E4B9B" w:rsidRDefault="00D0064B" w:rsidP="00EE43D9">
      <w:pPr>
        <w:pStyle w:val="NormalWeb"/>
        <w:spacing w:before="120" w:beforeAutospacing="0" w:after="0" w:afterAutospacing="0"/>
        <w:jc w:val="both"/>
        <w:rPr>
          <w:rFonts w:cstheme="minorHAnsi"/>
          <w:sz w:val="20"/>
          <w:szCs w:val="20"/>
        </w:rPr>
      </w:pPr>
    </w:p>
    <w:p w14:paraId="6719E900" w14:textId="77777777" w:rsidR="00D0064B" w:rsidRPr="005E4B9B" w:rsidRDefault="00D0064B" w:rsidP="00EE43D9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</w:p>
    <w:p w14:paraId="680C8129" w14:textId="77777777" w:rsidR="00D0064B" w:rsidRPr="005E4B9B" w:rsidRDefault="00D0064B" w:rsidP="00EE43D9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</w:p>
    <w:p w14:paraId="42C3EBC5" w14:textId="77777777" w:rsidR="00D0064B" w:rsidRPr="005E4B9B" w:rsidRDefault="00D0064B" w:rsidP="00EE43D9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</w:p>
    <w:p w14:paraId="7138B14A" w14:textId="77777777" w:rsidR="00D0064B" w:rsidRPr="005E4B9B" w:rsidRDefault="00D0064B" w:rsidP="005E4B9B">
      <w:pPr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26F66416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556A71BD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6F9A4004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0B96C9ED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32CD2EF0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048E7C9E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694F5B30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246A3D92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1AC8CA8E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240F6C20" w14:textId="77777777" w:rsidR="00D0064B" w:rsidRDefault="00D0064B" w:rsidP="001563A1">
      <w:pPr>
        <w:jc w:val="center"/>
        <w:rPr>
          <w:sz w:val="16"/>
          <w:szCs w:val="16"/>
        </w:rPr>
      </w:pPr>
    </w:p>
    <w:p w14:paraId="0DA438CC" w14:textId="77777777" w:rsidR="00D0064B" w:rsidRDefault="00D0064B" w:rsidP="006E70EB">
      <w:pPr>
        <w:rPr>
          <w:sz w:val="16"/>
          <w:szCs w:val="16"/>
        </w:rPr>
      </w:pPr>
    </w:p>
    <w:p w14:paraId="70239E42" w14:textId="77777777" w:rsidR="00D0064B" w:rsidRDefault="00D0064B" w:rsidP="001563A1">
      <w:pPr>
        <w:jc w:val="center"/>
        <w:rPr>
          <w:sz w:val="16"/>
          <w:szCs w:val="16"/>
        </w:rPr>
      </w:pPr>
    </w:p>
    <w:p w14:paraId="6E0F5636" w14:textId="77777777" w:rsidR="00D0064B" w:rsidRDefault="00D0064B" w:rsidP="005E4B9B">
      <w:pPr>
        <w:rPr>
          <w:sz w:val="16"/>
          <w:szCs w:val="16"/>
        </w:rPr>
      </w:pPr>
    </w:p>
    <w:p w14:paraId="5D6B446F" w14:textId="77777777" w:rsidR="00D0064B" w:rsidRDefault="00D0064B" w:rsidP="001563A1">
      <w:pPr>
        <w:jc w:val="center"/>
        <w:rPr>
          <w:sz w:val="16"/>
          <w:szCs w:val="16"/>
        </w:rPr>
      </w:pPr>
    </w:p>
    <w:p w14:paraId="694BBF7A" w14:textId="77777777" w:rsidR="00D0064B" w:rsidRDefault="00D0064B" w:rsidP="001563A1">
      <w:pPr>
        <w:jc w:val="center"/>
        <w:rPr>
          <w:sz w:val="16"/>
          <w:szCs w:val="16"/>
        </w:rPr>
      </w:pPr>
    </w:p>
    <w:p w14:paraId="73DED83D" w14:textId="551A8FA4" w:rsidR="003F49BB" w:rsidRPr="001563A1" w:rsidRDefault="003F49BB" w:rsidP="001563A1">
      <w:pPr>
        <w:jc w:val="center"/>
        <w:rPr>
          <w:sz w:val="20"/>
          <w:szCs w:val="20"/>
        </w:rPr>
      </w:pPr>
      <w:r w:rsidRPr="001563A1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informe, en el periodo correspondiente.</w:t>
      </w:r>
    </w:p>
    <w:sectPr w:rsidR="003F49BB" w:rsidRPr="001563A1" w:rsidSect="000562B1"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9D26C" w14:textId="77777777" w:rsidR="002E4467" w:rsidRDefault="002E4467" w:rsidP="000562B1">
      <w:pPr>
        <w:spacing w:after="0" w:line="240" w:lineRule="auto"/>
      </w:pPr>
      <w:r>
        <w:separator/>
      </w:r>
    </w:p>
  </w:endnote>
  <w:endnote w:type="continuationSeparator" w:id="0">
    <w:p w14:paraId="0D2B12ED" w14:textId="77777777" w:rsidR="002E4467" w:rsidRDefault="002E4467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995475">
          <w:rPr>
            <w:rFonts w:cstheme="minorHAnsi"/>
            <w:noProof/>
          </w:rPr>
          <w:t>0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28A65" w14:textId="77777777" w:rsidR="002E4467" w:rsidRDefault="002E4467" w:rsidP="000562B1">
      <w:pPr>
        <w:spacing w:after="0" w:line="240" w:lineRule="auto"/>
      </w:pPr>
      <w:r>
        <w:separator/>
      </w:r>
    </w:p>
  </w:footnote>
  <w:footnote w:type="continuationSeparator" w:id="0">
    <w:p w14:paraId="13C38C39" w14:textId="77777777" w:rsidR="002E4467" w:rsidRDefault="002E4467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32ECE"/>
    <w:multiLevelType w:val="hybridMultilevel"/>
    <w:tmpl w:val="BE9875C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4B3C"/>
    <w:multiLevelType w:val="hybridMultilevel"/>
    <w:tmpl w:val="19FC5322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47798"/>
    <w:multiLevelType w:val="hybridMultilevel"/>
    <w:tmpl w:val="932C875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168FF"/>
    <w:multiLevelType w:val="hybridMultilevel"/>
    <w:tmpl w:val="73B66A82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B0E10"/>
    <w:multiLevelType w:val="hybridMultilevel"/>
    <w:tmpl w:val="4638664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54DE8"/>
    <w:multiLevelType w:val="hybridMultilevel"/>
    <w:tmpl w:val="1266592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81EEE"/>
    <w:multiLevelType w:val="hybridMultilevel"/>
    <w:tmpl w:val="80E67DC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D3CBB"/>
    <w:multiLevelType w:val="hybridMultilevel"/>
    <w:tmpl w:val="2CECB36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286FDE"/>
    <w:multiLevelType w:val="hybridMultilevel"/>
    <w:tmpl w:val="CCA45F98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C31BE"/>
    <w:multiLevelType w:val="hybridMultilevel"/>
    <w:tmpl w:val="2716F1F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651F6"/>
    <w:multiLevelType w:val="hybridMultilevel"/>
    <w:tmpl w:val="373EAE1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4221C"/>
    <w:multiLevelType w:val="hybridMultilevel"/>
    <w:tmpl w:val="AB76505C"/>
    <w:lvl w:ilvl="0" w:tplc="45FE9F5A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181009">
    <w:abstractNumId w:val="18"/>
  </w:num>
  <w:num w:numId="2" w16cid:durableId="848181151">
    <w:abstractNumId w:val="1"/>
  </w:num>
  <w:num w:numId="3" w16cid:durableId="240604169">
    <w:abstractNumId w:val="17"/>
  </w:num>
  <w:num w:numId="4" w16cid:durableId="1472862089">
    <w:abstractNumId w:val="9"/>
  </w:num>
  <w:num w:numId="5" w16cid:durableId="1864973619">
    <w:abstractNumId w:val="6"/>
  </w:num>
  <w:num w:numId="6" w16cid:durableId="1536457793">
    <w:abstractNumId w:val="7"/>
  </w:num>
  <w:num w:numId="7" w16cid:durableId="1117026957">
    <w:abstractNumId w:val="11"/>
  </w:num>
  <w:num w:numId="8" w16cid:durableId="1997150688">
    <w:abstractNumId w:val="8"/>
  </w:num>
  <w:num w:numId="9" w16cid:durableId="536281992">
    <w:abstractNumId w:val="5"/>
  </w:num>
  <w:num w:numId="10" w16cid:durableId="1986471453">
    <w:abstractNumId w:val="16"/>
  </w:num>
  <w:num w:numId="11" w16cid:durableId="1564946615">
    <w:abstractNumId w:val="15"/>
  </w:num>
  <w:num w:numId="12" w16cid:durableId="802844191">
    <w:abstractNumId w:val="10"/>
  </w:num>
  <w:num w:numId="13" w16cid:durableId="28192697">
    <w:abstractNumId w:val="3"/>
  </w:num>
  <w:num w:numId="14" w16cid:durableId="1748762710">
    <w:abstractNumId w:val="2"/>
  </w:num>
  <w:num w:numId="15" w16cid:durableId="835992771">
    <w:abstractNumId w:val="0"/>
  </w:num>
  <w:num w:numId="16" w16cid:durableId="1311010434">
    <w:abstractNumId w:val="14"/>
  </w:num>
  <w:num w:numId="17" w16cid:durableId="642933174">
    <w:abstractNumId w:val="13"/>
  </w:num>
  <w:num w:numId="18" w16cid:durableId="1288124350">
    <w:abstractNumId w:val="12"/>
  </w:num>
  <w:num w:numId="19" w16cid:durableId="746659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8D6"/>
    <w:rsid w:val="00020F4E"/>
    <w:rsid w:val="000562B1"/>
    <w:rsid w:val="00087883"/>
    <w:rsid w:val="000931BB"/>
    <w:rsid w:val="000E55A3"/>
    <w:rsid w:val="0012310A"/>
    <w:rsid w:val="001342BF"/>
    <w:rsid w:val="001563A1"/>
    <w:rsid w:val="0017035A"/>
    <w:rsid w:val="00181687"/>
    <w:rsid w:val="00195DCE"/>
    <w:rsid w:val="001A3DC8"/>
    <w:rsid w:val="001B39D6"/>
    <w:rsid w:val="001E467C"/>
    <w:rsid w:val="00226C2F"/>
    <w:rsid w:val="002321F9"/>
    <w:rsid w:val="00237E7A"/>
    <w:rsid w:val="0024425F"/>
    <w:rsid w:val="002920B4"/>
    <w:rsid w:val="002C3D5D"/>
    <w:rsid w:val="002E4467"/>
    <w:rsid w:val="00300DEB"/>
    <w:rsid w:val="00311051"/>
    <w:rsid w:val="00326C94"/>
    <w:rsid w:val="00353898"/>
    <w:rsid w:val="003559D9"/>
    <w:rsid w:val="003662F8"/>
    <w:rsid w:val="003A1A16"/>
    <w:rsid w:val="003C5AFC"/>
    <w:rsid w:val="003C79EE"/>
    <w:rsid w:val="003C7E66"/>
    <w:rsid w:val="003E66AA"/>
    <w:rsid w:val="003F49BB"/>
    <w:rsid w:val="003F4BCA"/>
    <w:rsid w:val="00410FE1"/>
    <w:rsid w:val="004158D3"/>
    <w:rsid w:val="00467E42"/>
    <w:rsid w:val="00474518"/>
    <w:rsid w:val="004A2F0A"/>
    <w:rsid w:val="004C5AA1"/>
    <w:rsid w:val="004D2AB4"/>
    <w:rsid w:val="004D794A"/>
    <w:rsid w:val="0051297C"/>
    <w:rsid w:val="00520087"/>
    <w:rsid w:val="00534CB9"/>
    <w:rsid w:val="005524C4"/>
    <w:rsid w:val="005527B0"/>
    <w:rsid w:val="00565641"/>
    <w:rsid w:val="00567AAA"/>
    <w:rsid w:val="005B7019"/>
    <w:rsid w:val="005E340F"/>
    <w:rsid w:val="005E4B9B"/>
    <w:rsid w:val="005F0DEC"/>
    <w:rsid w:val="005F1DFB"/>
    <w:rsid w:val="005F3752"/>
    <w:rsid w:val="006306D2"/>
    <w:rsid w:val="00633110"/>
    <w:rsid w:val="00656A1A"/>
    <w:rsid w:val="00656C3D"/>
    <w:rsid w:val="00673A7C"/>
    <w:rsid w:val="0068726D"/>
    <w:rsid w:val="006B172C"/>
    <w:rsid w:val="006E70EB"/>
    <w:rsid w:val="007834BC"/>
    <w:rsid w:val="007C2FE3"/>
    <w:rsid w:val="00816AAB"/>
    <w:rsid w:val="008251E3"/>
    <w:rsid w:val="00827C04"/>
    <w:rsid w:val="00846866"/>
    <w:rsid w:val="008D2AC3"/>
    <w:rsid w:val="008D6849"/>
    <w:rsid w:val="008F19D1"/>
    <w:rsid w:val="00916F83"/>
    <w:rsid w:val="00923CBC"/>
    <w:rsid w:val="00924BE0"/>
    <w:rsid w:val="0093649B"/>
    <w:rsid w:val="009432D4"/>
    <w:rsid w:val="00952BF5"/>
    <w:rsid w:val="0096235F"/>
    <w:rsid w:val="00995475"/>
    <w:rsid w:val="009C07E8"/>
    <w:rsid w:val="009E399E"/>
    <w:rsid w:val="009E5613"/>
    <w:rsid w:val="009E7932"/>
    <w:rsid w:val="009F2002"/>
    <w:rsid w:val="00A00862"/>
    <w:rsid w:val="00A02CFB"/>
    <w:rsid w:val="00A030AD"/>
    <w:rsid w:val="00A145E4"/>
    <w:rsid w:val="00A15646"/>
    <w:rsid w:val="00A178D6"/>
    <w:rsid w:val="00A21DDE"/>
    <w:rsid w:val="00A4243B"/>
    <w:rsid w:val="00A4262A"/>
    <w:rsid w:val="00A535EC"/>
    <w:rsid w:val="00A64D45"/>
    <w:rsid w:val="00A95CE0"/>
    <w:rsid w:val="00AA7735"/>
    <w:rsid w:val="00AB05F9"/>
    <w:rsid w:val="00B00158"/>
    <w:rsid w:val="00B03532"/>
    <w:rsid w:val="00B065EF"/>
    <w:rsid w:val="00B40032"/>
    <w:rsid w:val="00B42623"/>
    <w:rsid w:val="00B436F4"/>
    <w:rsid w:val="00B44604"/>
    <w:rsid w:val="00B55B74"/>
    <w:rsid w:val="00B917BF"/>
    <w:rsid w:val="00BE3615"/>
    <w:rsid w:val="00C341CE"/>
    <w:rsid w:val="00C41A52"/>
    <w:rsid w:val="00C45C39"/>
    <w:rsid w:val="00C660D0"/>
    <w:rsid w:val="00C67BF4"/>
    <w:rsid w:val="00C67C8B"/>
    <w:rsid w:val="00C73ED8"/>
    <w:rsid w:val="00C943B2"/>
    <w:rsid w:val="00C97832"/>
    <w:rsid w:val="00CA4ED2"/>
    <w:rsid w:val="00CA6AA7"/>
    <w:rsid w:val="00CB0586"/>
    <w:rsid w:val="00CB6EFD"/>
    <w:rsid w:val="00CE63DC"/>
    <w:rsid w:val="00D0064B"/>
    <w:rsid w:val="00D364FB"/>
    <w:rsid w:val="00D37249"/>
    <w:rsid w:val="00D827B7"/>
    <w:rsid w:val="00DA30E6"/>
    <w:rsid w:val="00DB719B"/>
    <w:rsid w:val="00DC326F"/>
    <w:rsid w:val="00E37172"/>
    <w:rsid w:val="00E53C19"/>
    <w:rsid w:val="00E618E3"/>
    <w:rsid w:val="00E71D3F"/>
    <w:rsid w:val="00E725B7"/>
    <w:rsid w:val="00E7533D"/>
    <w:rsid w:val="00E843AB"/>
    <w:rsid w:val="00E86324"/>
    <w:rsid w:val="00E97DFD"/>
    <w:rsid w:val="00EB4F15"/>
    <w:rsid w:val="00ED729B"/>
    <w:rsid w:val="00EE05FD"/>
    <w:rsid w:val="00EE43D9"/>
    <w:rsid w:val="00EF0B72"/>
    <w:rsid w:val="00F475F0"/>
    <w:rsid w:val="00F8300F"/>
    <w:rsid w:val="00FA6DED"/>
    <w:rsid w:val="00FD1E51"/>
    <w:rsid w:val="00FD741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F9BF5"/>
  <w15:docId w15:val="{53FC67D4-0DFC-4FEC-A637-4DC2D00D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  <w:style w:type="paragraph" w:styleId="NormalWeb">
    <w:name w:val="Normal (Web)"/>
    <w:basedOn w:val="Normal"/>
    <w:uiPriority w:val="99"/>
    <w:unhideWhenUsed/>
    <w:rsid w:val="005E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4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10DB5-EEED-4F8C-93E6-38EE60F3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1369</Words>
  <Characters>7682</Characters>
  <Application>Microsoft Office Word</Application>
  <DocSecurity>0</DocSecurity>
  <Lines>163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JOSE FELIX MERINO ESCARTIN</cp:lastModifiedBy>
  <cp:revision>12</cp:revision>
  <cp:lastPrinted>2026-04-07T06:55:00Z</cp:lastPrinted>
  <dcterms:created xsi:type="dcterms:W3CDTF">2026-04-06T10:06:00Z</dcterms:created>
  <dcterms:modified xsi:type="dcterms:W3CDTF">2026-04-10T19:25:00Z</dcterms:modified>
</cp:coreProperties>
</file>