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25598EC2">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590F0E9A">
                <wp:simplePos x="0" y="0"/>
                <wp:positionH relativeFrom="column">
                  <wp:posOffset>-769427</wp:posOffset>
                </wp:positionH>
                <wp:positionV relativeFrom="paragraph">
                  <wp:posOffset>432435</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26BC647D" w:rsidR="00101C22" w:rsidRPr="0085768E" w:rsidRDefault="004F443D">
                            <w:pPr>
                              <w:rPr>
                                <w:b/>
                                <w:color w:val="FFFFFF" w:themeColor="background1"/>
                                <w:sz w:val="36"/>
                                <w:szCs w:val="36"/>
                              </w:rPr>
                            </w:pPr>
                            <w:r>
                              <w:rPr>
                                <w:b/>
                                <w:color w:val="FFFFFF" w:themeColor="background1"/>
                                <w:sz w:val="36"/>
                                <w:szCs w:val="36"/>
                              </w:rPr>
                              <w:t>Octubre a diciembre</w:t>
                            </w:r>
                            <w:r w:rsidR="00802718">
                              <w:rPr>
                                <w:b/>
                                <w:color w:val="FFFFFF" w:themeColor="background1"/>
                                <w:sz w:val="36"/>
                                <w:szCs w:val="36"/>
                              </w:rPr>
                              <w:t xml:space="preserve"> de 2025</w:t>
                            </w:r>
                          </w:p>
                          <w:p w14:paraId="2EB7BD8F" w14:textId="77777777" w:rsidR="00101C22" w:rsidRPr="0085768E" w:rsidRDefault="00101C22">
                            <w:pPr>
                              <w:rPr>
                                <w:b/>
                                <w:color w:val="FFFFFF" w:themeColor="background1"/>
                                <w:sz w:val="36"/>
                                <w:szCs w:val="36"/>
                              </w:rPr>
                            </w:pPr>
                          </w:p>
                          <w:p w14:paraId="59EFE686" w14:textId="4181FF40"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4F443D">
                              <w:rPr>
                                <w:b/>
                                <w:color w:val="FFFFFF" w:themeColor="background1"/>
                                <w:sz w:val="72"/>
                                <w:szCs w:val="72"/>
                              </w:rPr>
                              <w:t>20</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6A0434AC" w:rsidR="00101C22" w:rsidRPr="0085768E" w:rsidRDefault="00101C22" w:rsidP="005F1DFB">
                            <w:pPr>
                              <w:rPr>
                                <w:sz w:val="20"/>
                                <w:szCs w:val="20"/>
                              </w:rPr>
                            </w:pPr>
                            <w:r w:rsidRPr="0085768E">
                              <w:rPr>
                                <w:sz w:val="20"/>
                                <w:szCs w:val="20"/>
                              </w:rPr>
                              <w:t>Prof</w:t>
                            </w:r>
                            <w:r w:rsidR="00802718">
                              <w:rPr>
                                <w:sz w:val="20"/>
                                <w:szCs w:val="20"/>
                              </w:rPr>
                              <w:t xml:space="preserve">esora </w:t>
                            </w:r>
                            <w:r w:rsidR="001C29AF">
                              <w:rPr>
                                <w:sz w:val="20"/>
                                <w:szCs w:val="20"/>
                              </w:rPr>
                              <w:t>Titular</w:t>
                            </w:r>
                            <w:r w:rsidR="00802718">
                              <w:rPr>
                                <w:sz w:val="20"/>
                                <w:szCs w:val="20"/>
                              </w:rPr>
                              <w:t xml:space="preserve"> de Derecho Procesal</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60.6pt;margin-top:34.05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" filled="f" stroked="f" strokeweight=".5pt">
                <v:textbox>
                  <w:txbxContent>
                    <w:p w14:paraId="4D436CF4" w14:textId="26BC647D" w:rsidR="00101C22" w:rsidRPr="0085768E" w:rsidRDefault="004F443D">
                      <w:pPr>
                        <w:rPr>
                          <w:b/>
                          <w:color w:val="FFFFFF" w:themeColor="background1"/>
                          <w:sz w:val="36"/>
                          <w:szCs w:val="36"/>
                        </w:rPr>
                      </w:pPr>
                      <w:r>
                        <w:rPr>
                          <w:b/>
                          <w:color w:val="FFFFFF" w:themeColor="background1"/>
                          <w:sz w:val="36"/>
                          <w:szCs w:val="36"/>
                        </w:rPr>
                        <w:t>Octubre a diciembre</w:t>
                      </w:r>
                      <w:r w:rsidR="00802718">
                        <w:rPr>
                          <w:b/>
                          <w:color w:val="FFFFFF" w:themeColor="background1"/>
                          <w:sz w:val="36"/>
                          <w:szCs w:val="36"/>
                        </w:rPr>
                        <w:t xml:space="preserve"> de 2025</w:t>
                      </w:r>
                    </w:p>
                    <w:p w14:paraId="2EB7BD8F" w14:textId="77777777" w:rsidR="00101C22" w:rsidRPr="0085768E" w:rsidRDefault="00101C22">
                      <w:pPr>
                        <w:rPr>
                          <w:b/>
                          <w:color w:val="FFFFFF" w:themeColor="background1"/>
                          <w:sz w:val="36"/>
                          <w:szCs w:val="36"/>
                        </w:rPr>
                      </w:pPr>
                    </w:p>
                    <w:p w14:paraId="59EFE686" w14:textId="4181FF40"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4F443D">
                        <w:rPr>
                          <w:b/>
                          <w:color w:val="FFFFFF" w:themeColor="background1"/>
                          <w:sz w:val="72"/>
                          <w:szCs w:val="72"/>
                        </w:rPr>
                        <w:t>20</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6A0434AC" w:rsidR="00101C22" w:rsidRPr="0085768E" w:rsidRDefault="00101C22" w:rsidP="005F1DFB">
                      <w:pPr>
                        <w:rPr>
                          <w:sz w:val="20"/>
                          <w:szCs w:val="20"/>
                        </w:rPr>
                      </w:pPr>
                      <w:r w:rsidRPr="0085768E">
                        <w:rPr>
                          <w:sz w:val="20"/>
                          <w:szCs w:val="20"/>
                        </w:rPr>
                        <w:t>Prof</w:t>
                      </w:r>
                      <w:r w:rsidR="00802718">
                        <w:rPr>
                          <w:sz w:val="20"/>
                          <w:szCs w:val="20"/>
                        </w:rPr>
                        <w:t xml:space="preserve">esora </w:t>
                      </w:r>
                      <w:r w:rsidR="001C29AF">
                        <w:rPr>
                          <w:sz w:val="20"/>
                          <w:szCs w:val="20"/>
                        </w:rPr>
                        <w:t>Titular</w:t>
                      </w:r>
                      <w:r w:rsidR="00802718">
                        <w:rPr>
                          <w:sz w:val="20"/>
                          <w:szCs w:val="20"/>
                        </w:rPr>
                        <w:t xml:space="preserve"> de Derecho Procesal</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225B700B"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w:t>
                            </w:r>
                            <w:r w:rsidR="00B446AD">
                              <w:rPr>
                                <w:rFonts w:ascii="Monotype Corsiva" w:hAnsi="Monotype Corsiva"/>
                                <w:b/>
                                <w:color w:val="FFFFFF" w:themeColor="background1"/>
                                <w:sz w:val="72"/>
                                <w:szCs w:val="72"/>
                              </w:rPr>
                              <w:t>y</w:t>
                            </w:r>
                            <w:r w:rsidRPr="005F0DEC">
                              <w:rPr>
                                <w:rFonts w:ascii="Monotype Corsiva" w:hAnsi="Monotype Corsiva"/>
                                <w:b/>
                                <w:color w:val="FFFFFF" w:themeColor="background1"/>
                                <w:sz w:val="72"/>
                                <w:szCs w:val="72"/>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F4A92" id="_x0000_t202" coordsize="21600,21600" o:spt="202" path="m,l,21600r21600,l21600,xe">
                <v:stroke joinstyle="miter"/>
                <v:path gradientshapeok="t" o:connecttype="rect"/>
              </v:shapetype>
              <v:shape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" filled="f" stroked="f" strokeweight=".5pt">
                <v:textbox>
                  <w:txbxContent>
                    <w:p w14:paraId="320130AB" w14:textId="225B700B"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w:t>
                      </w:r>
                      <w:r w:rsidR="00B446AD">
                        <w:rPr>
                          <w:rFonts w:ascii="Monotype Corsiva" w:hAnsi="Monotype Corsiva"/>
                          <w:b/>
                          <w:color w:val="FFFFFF" w:themeColor="background1"/>
                          <w:sz w:val="72"/>
                          <w:szCs w:val="72"/>
                        </w:rPr>
                        <w:t>y</w:t>
                      </w:r>
                      <w:r w:rsidRPr="005F0DEC">
                        <w:rPr>
                          <w:rFonts w:ascii="Monotype Corsiva" w:hAnsi="Monotype Corsiva"/>
                          <w:b/>
                          <w:color w:val="FFFFFF" w:themeColor="background1"/>
                          <w:sz w:val="72"/>
                          <w:szCs w:val="72"/>
                        </w:rPr>
                        <w:t>R</w:t>
                      </w:r>
                      <w:proofErr w:type="spellEnd"/>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AB23A4" w:rsidP="00226C2F">
      <w:pPr>
        <w:jc w:val="center"/>
        <w:rPr>
          <w:b/>
          <w:color w:val="000000" w:themeColor="text1"/>
        </w:rPr>
      </w:pPr>
      <w:r>
        <w:rPr>
          <w:noProof/>
        </w:rPr>
        <w:pict w14:anchorId="5D951308">
          <v:rect id="_x0000_i1028"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1EC9D140" w14:textId="6B28BE9D" w:rsidR="00104F0A" w:rsidRDefault="002B1E17" w:rsidP="002B1E17">
      <w:pPr>
        <w:spacing w:after="240"/>
        <w:jc w:val="both"/>
        <w:rPr>
          <w:b/>
          <w:bCs/>
        </w:rPr>
      </w:pPr>
      <w:r w:rsidRPr="002B1E17">
        <w:rPr>
          <w:b/>
          <w:bCs/>
        </w:rPr>
        <w:t>Sentencias</w:t>
      </w:r>
    </w:p>
    <w:p w14:paraId="7FB51E63" w14:textId="176914C4" w:rsidR="00C11CE9" w:rsidRDefault="00000000" w:rsidP="00C11CE9">
      <w:pPr>
        <w:jc w:val="both"/>
      </w:pPr>
      <w:hyperlink r:id="rId9" w:history="1">
        <w:r w:rsidR="00FF40B5" w:rsidRPr="00C11CE9">
          <w:rPr>
            <w:rStyle w:val="Hipervnculo"/>
          </w:rPr>
          <w:t>Sentencia del Tribunal de Justicia (Sala Cuarta), de 9 de octubre de 2025, asunto</w:t>
        </w:r>
        <w:r w:rsidR="00C11CE9" w:rsidRPr="00C11CE9">
          <w:rPr>
            <w:rStyle w:val="Hipervnculo"/>
          </w:rPr>
          <w:t xml:space="preserve"> C-80/24, </w:t>
        </w:r>
        <w:proofErr w:type="spellStart"/>
        <w:r w:rsidR="00C11CE9" w:rsidRPr="00C11CE9">
          <w:rPr>
            <w:rStyle w:val="Hipervnculo"/>
          </w:rPr>
          <w:t>Zwrotybankowe</w:t>
        </w:r>
        <w:proofErr w:type="spellEnd"/>
      </w:hyperlink>
      <w:r w:rsidR="00C11CE9">
        <w:t xml:space="preserve">. </w:t>
      </w:r>
      <w:r w:rsidR="00C11CE9" w:rsidRPr="00C11CE9">
        <w:t>«Procedimiento prejudicial — Contratos de crédito al consumo — Directiva 2008/48/CE — Artículo 22, apartado 2 — Carácter imperativo de esta Directiva — Cesión a un tercero por el consumidor de su derecho de crédito frente a un banco — Directiva 93/13/CEE — Artículo 6, apartado 1 — Artículo 7, apartado 1 — Cláusulas abusivas en los contratos celebrados con consumidores — Examen de oficio por el juez nacional del carácter abusivo de las cláusulas de un contrato de cesión de créditos que no es objeto del litigio pendiente ante dicho juez»</w:t>
      </w:r>
      <w:r w:rsidR="00C11CE9">
        <w:t>.</w:t>
      </w:r>
    </w:p>
    <w:p w14:paraId="1A5477E5" w14:textId="40A577C7" w:rsidR="00C11CE9" w:rsidRDefault="00C11CE9" w:rsidP="00C11CE9">
      <w:pPr>
        <w:jc w:val="both"/>
      </w:pPr>
    </w:p>
    <w:p w14:paraId="00508984" w14:textId="692C62AE" w:rsidR="00C11CE9" w:rsidRDefault="00000000" w:rsidP="00C11CE9">
      <w:pPr>
        <w:jc w:val="both"/>
      </w:pPr>
      <w:hyperlink r:id="rId10" w:history="1">
        <w:r w:rsidR="00C11CE9" w:rsidRPr="00C11CE9">
          <w:rPr>
            <w:rStyle w:val="Hipervnculo"/>
          </w:rPr>
          <w:t xml:space="preserve">Sentencia del Tribunal de Justicia (Sala Décima), de 23 de octubre de 2025, asunto C-469/24, </w:t>
        </w:r>
        <w:proofErr w:type="spellStart"/>
        <w:r w:rsidR="00C11CE9" w:rsidRPr="00C11CE9">
          <w:rPr>
            <w:rStyle w:val="Hipervnculo"/>
          </w:rPr>
          <w:t>Tuleka</w:t>
        </w:r>
        <w:proofErr w:type="spellEnd"/>
      </w:hyperlink>
      <w:r w:rsidR="00C11CE9">
        <w:t xml:space="preserve">. </w:t>
      </w:r>
      <w:r w:rsidR="00C11CE9" w:rsidRPr="00C11CE9">
        <w:t>«Procedimiento prejudicial — Directiva (UE) 2015/2302 — Viajes combinados y servicios de viaje vinculados — Ejecución del viaje combinado — Falta de conformidad de los servicios prestados — Artículo 14, apartado 1 — Derecho a una reducción del precio adecuada — Artículo 14, apartado 2 — Derecho a una indemnización adecuada — Artículo 14, apartado 3, letra b) — Circunstancias que excluyen el derecho del viajero a una indemnización — Falta de conformidad de los servicios prestados que es imputable a un tercero ajeno a la prestación de los servicios de viaje incluidos en el contrato de viaje combinado y es imprevisible o inevitable — Demostración de la existencia de culpa — Artículo 4 — Nivel de armonización — Reembolso íntegro pese a la prestación parcial de los servicios — Artículo 1 — Nivel de protección de los consumidores elevado — Artículo 25 — Sanciones — Artículo 3, punto 12 — Concepto de “circunstancias inevitables y extraordinarias” — Acto de poder público»</w:t>
      </w:r>
      <w:r w:rsidR="00C11CE9">
        <w:t>.</w:t>
      </w:r>
    </w:p>
    <w:p w14:paraId="39B87FAD" w14:textId="77777777" w:rsidR="00C11CE9" w:rsidRDefault="00C11CE9" w:rsidP="00C11CE9">
      <w:pPr>
        <w:jc w:val="both"/>
      </w:pPr>
    </w:p>
    <w:p w14:paraId="7E82A1AC" w14:textId="246AC5F5" w:rsidR="00C11CE9" w:rsidRDefault="00000000" w:rsidP="00C11CE9">
      <w:pPr>
        <w:jc w:val="both"/>
      </w:pPr>
      <w:hyperlink r:id="rId11" w:history="1">
        <w:r w:rsidR="00C11CE9" w:rsidRPr="00C11CE9">
          <w:rPr>
            <w:rStyle w:val="Hipervnculo"/>
          </w:rPr>
          <w:t>Sentencia del Tribunal de Justicia (Sala Cuarta), de 30 de octubre de 2025, asunto C-143/23, Mercedes-Benz Bank y Volkswagen Bank</w:t>
        </w:r>
      </w:hyperlink>
      <w:r w:rsidR="00C11CE9">
        <w:t xml:space="preserve">. </w:t>
      </w:r>
      <w:r w:rsidR="00C11CE9" w:rsidRPr="00C11CE9">
        <w:t>«Procedimiento prejudicial — Protección de los consumidores — Contrato de crédito destinado a la adquisición de un vehículo automóvil — Directiva 2008/48/CE — Artículo 10, apartado 2, letra l) — Requisitos relativos a la información que debe mencionarse en el contrato — Obligación de especificar el tipo de interés de demora — Artículo 14, apartado 1 — Derecho de desistimiento — Inicio del plazo de desistimiento en caso de que no se mencione el tipo de interés de demora — Ejercicio abusivo del derecho de desistimiento — Consecuencias del ejercicio del derecho de desistimiento en un contrato de crédito vinculado a un contrato de compraventa de un vehículo — Obligaciones del consumidor frente al prestamista — Método de cálculo de la indemnización compensatoria por la depreciación del bien financiado — Artículo 14, apartado 3, letra b) — Pago de intereses tras el desistimiento de un contrato de crédito vinculado a un contrato de suministro de bienes»</w:t>
      </w:r>
      <w:r w:rsidR="00C11CE9">
        <w:t>.</w:t>
      </w:r>
    </w:p>
    <w:p w14:paraId="389E6926" w14:textId="77777777" w:rsidR="00C11CE9" w:rsidRDefault="00C11CE9" w:rsidP="00C11CE9">
      <w:pPr>
        <w:jc w:val="both"/>
      </w:pPr>
    </w:p>
    <w:p w14:paraId="6F7246BC" w14:textId="12C8DD39" w:rsidR="00C11CE9" w:rsidRDefault="00000000" w:rsidP="00C11CE9">
      <w:pPr>
        <w:jc w:val="both"/>
      </w:pPr>
      <w:hyperlink r:id="rId12" w:history="1">
        <w:r w:rsidR="00C11CE9" w:rsidRPr="00C11CE9">
          <w:rPr>
            <w:rStyle w:val="Hipervnculo"/>
          </w:rPr>
          <w:t xml:space="preserve">Sentencia del Tribunal de Justicia (Sala Cuarta), de 13 de noviembre de 2025, asunto C-197/24, </w:t>
        </w:r>
        <w:proofErr w:type="spellStart"/>
        <w:r w:rsidR="00C11CE9" w:rsidRPr="00C11CE9">
          <w:rPr>
            <w:rStyle w:val="Hipervnculo"/>
          </w:rPr>
          <w:t>Šiľarský</w:t>
        </w:r>
        <w:proofErr w:type="spellEnd"/>
      </w:hyperlink>
      <w:r w:rsidR="00C11CE9">
        <w:t xml:space="preserve">. </w:t>
      </w:r>
      <w:r w:rsidR="00C11CE9" w:rsidRPr="00C11CE9">
        <w:t>«Procedimiento prejudicial — Directiva 2011/7/UE — Lucha contra la morosidad en las operaciones comerciales — Ámbito de aplicación — Artículo 2, puntos 1 y 3 — Concepto de empresa — Concepto de operación comercial — Contrato de prestación de servicios jurídicos en el marco de la constitución de una sociedad mercantil — Directiva 93/13/CEE — Artículo 2, letra b) — Concepto de consumidor — Persona física que ha recurrido a los servicios de un abogado para constituir una sociedad mercantil»</w:t>
      </w:r>
      <w:r w:rsidR="00C11CE9">
        <w:t>.</w:t>
      </w:r>
    </w:p>
    <w:p w14:paraId="05401160" w14:textId="502D4345" w:rsidR="00C11CE9" w:rsidRDefault="00C11CE9" w:rsidP="00C11CE9">
      <w:pPr>
        <w:jc w:val="both"/>
      </w:pPr>
    </w:p>
    <w:p w14:paraId="403AEFC1" w14:textId="366C5F2E" w:rsidR="00C11CE9" w:rsidRDefault="00000000" w:rsidP="00C11CE9">
      <w:pPr>
        <w:jc w:val="both"/>
      </w:pPr>
      <w:hyperlink r:id="rId13" w:history="1">
        <w:r w:rsidR="00C11CE9" w:rsidRPr="00C11CE9">
          <w:rPr>
            <w:rStyle w:val="Hipervnculo"/>
          </w:rPr>
          <w:t xml:space="preserve">Sentencia del Tribunal de Justicia (Sala Novena), de 27 de noviembre de 2025, asunto C-509/24, </w:t>
        </w:r>
        <w:proofErr w:type="spellStart"/>
        <w:r w:rsidR="00C11CE9" w:rsidRPr="00C11CE9">
          <w:rPr>
            <w:rStyle w:val="Hipervnculo"/>
          </w:rPr>
          <w:t>Investcapital</w:t>
        </w:r>
        <w:proofErr w:type="spellEnd"/>
      </w:hyperlink>
      <w:r w:rsidR="00C11CE9">
        <w:t xml:space="preserve">. </w:t>
      </w:r>
      <w:r w:rsidR="00C11CE9" w:rsidRPr="00C11CE9">
        <w:t>«Procedimiento prejudicial — Cláusulas abusivas en los contratos celebrados con consumidores — Directiva 93/13/CEE — Artículo 6, apartado 1 — Artículo 7, apartado 1 — Contrato de cuenta bancaria — Proceso monitorio — Control de oficio del carácter abusivo de las cláusulas contractuales — Propuesta, por parte del juez, de reducción del crédito en la cuantía derivada de la aplicación de una cláusula considerada abusiva — Aceptación por el profesional y posibilidad de reclamar dicha cuantía en un procedimiento posterior — Principio de efectividad — Participación del consumidor en el control del carácter potencialmente abusivo de una cláusula contractual»</w:t>
      </w:r>
      <w:r w:rsidR="00C11CE9">
        <w:t>.</w:t>
      </w:r>
    </w:p>
    <w:p w14:paraId="7AA23396" w14:textId="77777777" w:rsidR="00C11CE9" w:rsidRDefault="00C11CE9" w:rsidP="00C11CE9">
      <w:pPr>
        <w:jc w:val="both"/>
      </w:pPr>
    </w:p>
    <w:p w14:paraId="4F16F335" w14:textId="4AD2D5D0" w:rsidR="00C11CE9" w:rsidRDefault="00000000" w:rsidP="00C11CE9">
      <w:pPr>
        <w:jc w:val="both"/>
      </w:pPr>
      <w:hyperlink r:id="rId14" w:history="1">
        <w:r w:rsidR="00C11CE9" w:rsidRPr="00C27300">
          <w:rPr>
            <w:rStyle w:val="Hipervnculo"/>
          </w:rPr>
          <w:t xml:space="preserve">Sentencia del Tribunal de Justicia (Sala Novena), de 27 de noviembre de 2025, asunto C-746/24, </w:t>
        </w:r>
        <w:proofErr w:type="spellStart"/>
        <w:r w:rsidR="00C11CE9" w:rsidRPr="00C27300">
          <w:rPr>
            <w:rStyle w:val="Hipervnculo"/>
          </w:rPr>
          <w:t>Gryczara</w:t>
        </w:r>
        <w:proofErr w:type="spellEnd"/>
      </w:hyperlink>
      <w:r w:rsidR="00C11CE9">
        <w:t xml:space="preserve">. </w:t>
      </w:r>
      <w:r w:rsidR="00C27300" w:rsidRPr="00C27300">
        <w:t>«Procedimiento prejudicial — Protección de los consumidores — Directiva 93/13/CEE — Cláusulas abusivas en los contratos celebrados con consumidores — Artículos 6, apartado 1, y 7, apartado 1 — Efectos de la declaración del carácter abusivo de una cláusula — Nulidad del contrato — Acción de un profesional para obtener la restitución del importe del préstamo abonado en virtud de un contrato declarado nulo — Régimen de reparto de las costas — Reglas de cálculo de las tasas judiciales diferenciadas en función de la condición de la parte demandante — Principio de efectividad — Obligación de interpretación conforme»</w:t>
      </w:r>
      <w:r w:rsidR="00C27300">
        <w:t>.</w:t>
      </w:r>
    </w:p>
    <w:p w14:paraId="5579E564" w14:textId="77777777" w:rsidR="00C27300" w:rsidRDefault="00C27300" w:rsidP="00C11CE9">
      <w:pPr>
        <w:jc w:val="both"/>
      </w:pPr>
    </w:p>
    <w:p w14:paraId="0B5532D3" w14:textId="2CD93CA2" w:rsidR="00C27300" w:rsidRDefault="00000000" w:rsidP="00C11CE9">
      <w:pPr>
        <w:jc w:val="both"/>
      </w:pPr>
      <w:hyperlink r:id="rId15" w:history="1">
        <w:r w:rsidR="00C27300" w:rsidRPr="00C27300">
          <w:rPr>
            <w:rStyle w:val="Hipervnculo"/>
          </w:rPr>
          <w:t xml:space="preserve">Sentencia del Tribunal de Justicia (Sala Cuarta), de 4 de diciembre de 2025, asunto C-279/24, </w:t>
        </w:r>
        <w:proofErr w:type="spellStart"/>
        <w:r w:rsidR="00C27300" w:rsidRPr="00C27300">
          <w:rPr>
            <w:rStyle w:val="Hipervnculo"/>
          </w:rPr>
          <w:t>Liechtensteinische</w:t>
        </w:r>
        <w:proofErr w:type="spellEnd"/>
        <w:r w:rsidR="00C27300" w:rsidRPr="00C27300">
          <w:rPr>
            <w:rStyle w:val="Hipervnculo"/>
          </w:rPr>
          <w:t xml:space="preserve"> </w:t>
        </w:r>
        <w:proofErr w:type="spellStart"/>
        <w:r w:rsidR="00C27300" w:rsidRPr="00C27300">
          <w:rPr>
            <w:rStyle w:val="Hipervnculo"/>
          </w:rPr>
          <w:t>Landesbank</w:t>
        </w:r>
        <w:proofErr w:type="spellEnd"/>
      </w:hyperlink>
      <w:r w:rsidR="00C27300">
        <w:t xml:space="preserve">. </w:t>
      </w:r>
      <w:r w:rsidR="00C27300" w:rsidRPr="00C27300">
        <w:t xml:space="preserve">«Procedimiento prejudicial — Cooperación judicial en materia civil — Reglamento (CE) n.º 593/2008 — Artículo 3, apartados 1 y 2 — Elección de la ley aplicable — Artículo 6 — Ámbito de aplicación — Contrato celebrado entre un profesional y un consumidor residente en otro Estado miembro — Actividad </w:t>
      </w:r>
      <w:proofErr w:type="gramStart"/>
      <w:r w:rsidR="00C27300" w:rsidRPr="00C27300">
        <w:t>del profesional dirigida</w:t>
      </w:r>
      <w:proofErr w:type="gramEnd"/>
      <w:r w:rsidR="00C27300" w:rsidRPr="00C27300">
        <w:t xml:space="preserve"> al Estado miembro en el que el consumidor tiene su residencia habitual tras la fecha de celebración del contrato que contiene una cláusula de elección de la ley aplicable»</w:t>
      </w:r>
      <w:r w:rsidR="00C27300">
        <w:t xml:space="preserve">. </w:t>
      </w:r>
    </w:p>
    <w:p w14:paraId="3E2DD8CD" w14:textId="77777777" w:rsidR="00C27300" w:rsidRDefault="00C27300" w:rsidP="00C11CE9">
      <w:pPr>
        <w:jc w:val="both"/>
      </w:pPr>
    </w:p>
    <w:p w14:paraId="4143B0F0" w14:textId="66ECE05E" w:rsidR="00C27300" w:rsidRDefault="00000000" w:rsidP="00C11CE9">
      <w:pPr>
        <w:jc w:val="both"/>
      </w:pPr>
      <w:hyperlink r:id="rId16" w:history="1">
        <w:r w:rsidR="00C27300" w:rsidRPr="00C27300">
          <w:rPr>
            <w:rStyle w:val="Hipervnculo"/>
          </w:rPr>
          <w:t xml:space="preserve">Sentencia del Tribunal de Justicia (Sala Novena), de 11 de diciembre de 2025, asunto C-C-767/24, </w:t>
        </w:r>
        <w:proofErr w:type="spellStart"/>
        <w:r w:rsidR="00C27300" w:rsidRPr="00C27300">
          <w:rPr>
            <w:rStyle w:val="Hipervnculo"/>
          </w:rPr>
          <w:t>Kuszycka</w:t>
        </w:r>
        <w:proofErr w:type="spellEnd"/>
      </w:hyperlink>
      <w:r w:rsidR="00C27300">
        <w:t xml:space="preserve">. </w:t>
      </w:r>
      <w:r w:rsidR="00C27300" w:rsidRPr="00C27300">
        <w:t>«Procedimiento prejudicial — Protección de los consumidores — Directiva 93/13/CEE — Cláusulas abusivas en los contratos celebrados con consumidores — Artículo 7, apartado 1 — Efectos de la declaración del carácter abusivo de una cláusula — Nulidad del contrato — Acción de un profesional para obtener la restitución del importe del préstamo abonado en virtud de un contrato que debe anularse — Consecuencias de la presentación de una declaración de compensación — Renuncia implícita a la excepción de prescripción — Ejercicio efectivo de los derechos procesales de los consumidores — Principio de efectividad — Efecto disuasorio de la prohibición de las cláusulas abusivas»</w:t>
      </w:r>
      <w:r w:rsidR="00C27300">
        <w:t>.</w:t>
      </w:r>
    </w:p>
    <w:p w14:paraId="0A37F0B8" w14:textId="77777777" w:rsidR="00C27300" w:rsidRDefault="00C27300" w:rsidP="00C11CE9">
      <w:pPr>
        <w:jc w:val="both"/>
      </w:pPr>
    </w:p>
    <w:p w14:paraId="56D7E6D6" w14:textId="0DEC7909" w:rsidR="00C27300" w:rsidRPr="00C11CE9" w:rsidRDefault="00000000" w:rsidP="00C11CE9">
      <w:pPr>
        <w:jc w:val="both"/>
      </w:pPr>
      <w:hyperlink r:id="rId17" w:history="1">
        <w:r w:rsidR="00C27300" w:rsidRPr="00C27300">
          <w:rPr>
            <w:rStyle w:val="Hipervnculo"/>
          </w:rPr>
          <w:t xml:space="preserve">Sentencia del Tribunal de Justicia (Sala Cuarta), de 18 de diciembre de 2025, asunto C-320/24, </w:t>
        </w:r>
        <w:proofErr w:type="spellStart"/>
        <w:r w:rsidR="00C27300" w:rsidRPr="00C27300">
          <w:rPr>
            <w:rStyle w:val="Hipervnculo"/>
          </w:rPr>
          <w:t>Soledil</w:t>
        </w:r>
        <w:proofErr w:type="spellEnd"/>
      </w:hyperlink>
      <w:r w:rsidR="00C27300">
        <w:t xml:space="preserve">. </w:t>
      </w:r>
      <w:r w:rsidR="00C27300" w:rsidRPr="00C27300">
        <w:t>«Procedimiento prejudicial — Protección de los consumidores — Cláusulas abusivas en los contratos celebrados con consumidores — Directiva 93/13/CEE — Artículos 6, apartado 1, y 7, apartado 1 — Facultad de control y obligaciones del juez nacional — Cláusula penal — Ausencia de control de oficio del carácter abusivo de esta cláusula — Fuerza de cosa juzgada — Principio de efectividad — Artículo 47 de la Carta de los Derechos Fundamentales de la Unión Europea — Invocación del carácter abusivo de una cláusula contractual en el marco de un procedimiento seguido tras la devolución del asunto por parte del tribunal de casación»</w:t>
      </w:r>
      <w:r w:rsidR="00C27300">
        <w:t>.</w:t>
      </w:r>
    </w:p>
    <w:p w14:paraId="2910E0E4" w14:textId="77777777" w:rsidR="004D6D64" w:rsidRDefault="004D6D64" w:rsidP="004D6D64">
      <w:pPr>
        <w:spacing w:after="240"/>
        <w:jc w:val="both"/>
        <w:rPr>
          <w:b/>
          <w:bCs/>
          <w:sz w:val="28"/>
          <w:szCs w:val="28"/>
          <w:highlight w:val="yellow"/>
        </w:rPr>
      </w:pPr>
    </w:p>
    <w:p w14:paraId="0C8E2B71" w14:textId="71707EC1" w:rsidR="00EE457D" w:rsidRDefault="00AB23A4" w:rsidP="002B1E17">
      <w:pPr>
        <w:spacing w:after="240"/>
        <w:jc w:val="center"/>
        <w:rPr>
          <w:b/>
          <w:bCs/>
          <w:sz w:val="28"/>
          <w:szCs w:val="28"/>
        </w:rPr>
      </w:pPr>
      <w:hyperlink r:id="rId18" w:history="1">
        <w:r>
          <w:rPr>
            <w:noProof/>
          </w:rPr>
          <w:pict w14:anchorId="68CF3D53">
            <v:rect id="_x0000_i1027" alt="" style="width:425.2pt;height:.05pt;mso-width-percent:0;mso-height-percent:0;mso-width-percent:0;mso-height-percent:0" o:hralign="center" o:hrstd="t" o:hr="t" fillcolor="#a0a0a0" stroked="f"/>
          </w:pict>
        </w:r>
      </w:hyperlink>
    </w:p>
    <w:p w14:paraId="4EB54D36" w14:textId="77777777" w:rsidR="004D6D64" w:rsidRDefault="004D6D64" w:rsidP="002B1E17">
      <w:pPr>
        <w:spacing w:after="240"/>
        <w:jc w:val="center"/>
        <w:rPr>
          <w:b/>
          <w:bCs/>
          <w:sz w:val="28"/>
          <w:szCs w:val="28"/>
        </w:rPr>
      </w:pPr>
    </w:p>
    <w:p w14:paraId="6CD7E1B6" w14:textId="03BB97A5" w:rsidR="002B1E17" w:rsidRPr="00440EC2" w:rsidRDefault="002B1E17" w:rsidP="002B1E17">
      <w:pPr>
        <w:spacing w:after="240"/>
        <w:jc w:val="center"/>
        <w:rPr>
          <w:b/>
          <w:bCs/>
          <w:sz w:val="28"/>
          <w:szCs w:val="28"/>
        </w:rPr>
      </w:pPr>
      <w:r w:rsidRPr="00891854">
        <w:rPr>
          <w:b/>
          <w:bCs/>
          <w:sz w:val="28"/>
          <w:szCs w:val="28"/>
        </w:rPr>
        <w:t>TRIBUNAL SUPREMO</w:t>
      </w:r>
      <w:r w:rsidR="00C47765" w:rsidRPr="00891854">
        <w:rPr>
          <w:b/>
          <w:bCs/>
          <w:sz w:val="28"/>
          <w:szCs w:val="28"/>
        </w:rPr>
        <w:t xml:space="preserve"> (CENDOJ – Selección)</w:t>
      </w:r>
    </w:p>
    <w:p w14:paraId="36612013" w14:textId="56B50293" w:rsidR="00445746" w:rsidRDefault="00445746" w:rsidP="000749FA">
      <w:pPr>
        <w:spacing w:after="120"/>
        <w:jc w:val="both"/>
      </w:pPr>
    </w:p>
    <w:p w14:paraId="793098D7" w14:textId="37098C7B" w:rsidR="00445746" w:rsidRDefault="00585901" w:rsidP="00A8324B">
      <w:pPr>
        <w:spacing w:after="240"/>
        <w:jc w:val="both"/>
        <w:rPr>
          <w:b/>
          <w:bCs/>
        </w:rPr>
      </w:pPr>
      <w:r w:rsidRPr="00585901">
        <w:rPr>
          <w:b/>
          <w:bCs/>
        </w:rPr>
        <w:t xml:space="preserve">Préstamos con garantía hipotecaria. </w:t>
      </w:r>
      <w:r w:rsidR="001E5EE6">
        <w:rPr>
          <w:b/>
          <w:bCs/>
        </w:rPr>
        <w:t>Nulidad por usura</w:t>
      </w:r>
    </w:p>
    <w:p w14:paraId="3F10DE11" w14:textId="01CA3E0B" w:rsidR="00585ACA" w:rsidRDefault="00000000" w:rsidP="00460131">
      <w:pPr>
        <w:jc w:val="both"/>
      </w:pPr>
      <w:hyperlink r:id="rId19" w:history="1">
        <w:r w:rsidR="001E5EE6" w:rsidRPr="009B203B">
          <w:rPr>
            <w:rStyle w:val="Hipervnculo"/>
          </w:rPr>
          <w:t>STS, Sala Primera, 1460/2025, de 21 de octubre de 2025</w:t>
        </w:r>
      </w:hyperlink>
      <w:r w:rsidR="001E5EE6">
        <w:t>. “</w:t>
      </w:r>
      <w:r w:rsidR="001E5EE6" w:rsidRPr="001E5EE6">
        <w:t>Préstamo hipotecario. Prestamista empresa que no es una entidad de crédito. Nulidad por usura. Reiteración de la doctrina de la STS Pleno 257/2023, de 15 de febrero y de la STS 1294/2025, de 23 de septiembre</w:t>
      </w:r>
      <w:r w:rsidR="009B203B">
        <w:t xml:space="preserve">”. </w:t>
      </w:r>
    </w:p>
    <w:p w14:paraId="46BAE29E" w14:textId="77777777" w:rsidR="00460131" w:rsidRPr="001E5EE6" w:rsidRDefault="00460131" w:rsidP="00460131">
      <w:pPr>
        <w:spacing w:after="240"/>
        <w:jc w:val="both"/>
      </w:pPr>
    </w:p>
    <w:p w14:paraId="2C64C164" w14:textId="445FDB27" w:rsidR="001C3C1D" w:rsidRDefault="00CE7BE2" w:rsidP="00A8324B">
      <w:pPr>
        <w:spacing w:after="240"/>
        <w:jc w:val="both"/>
        <w:rPr>
          <w:b/>
          <w:bCs/>
        </w:rPr>
      </w:pPr>
      <w:r w:rsidRPr="00CE7BE2">
        <w:rPr>
          <w:b/>
          <w:bCs/>
        </w:rPr>
        <w:t>Préstamos con garantía hipotecaria. Cláusulas abusivas. Legitimación pasiva</w:t>
      </w:r>
    </w:p>
    <w:p w14:paraId="024A1C8A" w14:textId="49C266A3" w:rsidR="004F22AE" w:rsidRPr="004F22AE" w:rsidRDefault="00000000" w:rsidP="00A8324B">
      <w:pPr>
        <w:spacing w:after="240"/>
        <w:jc w:val="both"/>
      </w:pPr>
      <w:hyperlink r:id="rId20" w:history="1">
        <w:r w:rsidR="004F22AE" w:rsidRPr="004F22AE">
          <w:rPr>
            <w:rStyle w:val="Hipervnculo"/>
          </w:rPr>
          <w:t>STS, Sala Primera, 1487/2025, de 27 de octubre de 2025</w:t>
        </w:r>
      </w:hyperlink>
      <w:r w:rsidR="004F22AE">
        <w:t>. “</w:t>
      </w:r>
      <w:r w:rsidR="004F22AE" w:rsidRPr="004F22AE">
        <w:t>Nulidad de cláusula suelo y restitución de lo abonado por aplicación de tal cláusula. Falta de legitimación pasiva de Novo Banco. Reiteración de jurisprudencia (SSTS 209 y 111//2025, de 22 de enero)</w:t>
      </w:r>
      <w:r w:rsidR="004F22AE">
        <w:t xml:space="preserve">”. </w:t>
      </w:r>
    </w:p>
    <w:p w14:paraId="457E6861" w14:textId="0DF0AE63" w:rsidR="004F22AE" w:rsidRPr="004F22AE" w:rsidRDefault="00000000" w:rsidP="00A8324B">
      <w:pPr>
        <w:spacing w:after="240"/>
        <w:jc w:val="both"/>
      </w:pPr>
      <w:hyperlink r:id="rId21" w:history="1">
        <w:r w:rsidR="004F22AE" w:rsidRPr="004F22AE">
          <w:rPr>
            <w:rStyle w:val="Hipervnculo"/>
          </w:rPr>
          <w:t>STS, Sala Primera, 1488/2025, de 27 de octubre de 2025</w:t>
        </w:r>
      </w:hyperlink>
      <w:r w:rsidR="004F22AE">
        <w:t>. “</w:t>
      </w:r>
      <w:r w:rsidR="004F22AE" w:rsidRPr="004F22AE">
        <w:t>Medidas de Resolución de Banco Espirito Santo. Creación de Novo Banco como banco puente. Transmisión de activos y pasivos de uno a otro banco. Acción de nulidad de cláusula suelo en préstamo hipotecario concertado por BES, con sus efectos restitutorios</w:t>
      </w:r>
      <w:r w:rsidR="004F22AE">
        <w:t xml:space="preserve">”. </w:t>
      </w:r>
    </w:p>
    <w:p w14:paraId="6FC8D649" w14:textId="4CC75650" w:rsidR="00585ACA" w:rsidRPr="00585ACA" w:rsidRDefault="00000000" w:rsidP="00A8324B">
      <w:pPr>
        <w:spacing w:after="240"/>
        <w:jc w:val="both"/>
      </w:pPr>
      <w:hyperlink r:id="rId22" w:history="1">
        <w:r w:rsidR="00585ACA" w:rsidRPr="00585ACA">
          <w:rPr>
            <w:rStyle w:val="Hipervnculo"/>
          </w:rPr>
          <w:t>STS, Sala Primera, 1489/2025, de 27 de octubre de 2025</w:t>
        </w:r>
      </w:hyperlink>
      <w:r w:rsidR="00585ACA">
        <w:t>. “</w:t>
      </w:r>
      <w:r w:rsidR="00585ACA" w:rsidRPr="00585ACA">
        <w:t>Nulidad de cláusula suelo y restitución de lo abonado por su aplicación. Legitimación pasiva de Novo Banco S.A. No la tiene para la restitución de lo abonado antes 3-8-14. La tiene para las posteriores a esa fecha y para la acción de nulidad</w:t>
      </w:r>
      <w:r w:rsidR="00585ACA">
        <w:t xml:space="preserve">”. </w:t>
      </w:r>
    </w:p>
    <w:p w14:paraId="37297B4D" w14:textId="525870E9" w:rsidR="00CE7BE2" w:rsidRDefault="00000000" w:rsidP="00A8324B">
      <w:pPr>
        <w:spacing w:after="240"/>
        <w:jc w:val="both"/>
      </w:pPr>
      <w:hyperlink r:id="rId23" w:history="1">
        <w:r w:rsidR="00CE7BE2" w:rsidRPr="00CE7BE2">
          <w:rPr>
            <w:rStyle w:val="Hipervnculo"/>
          </w:rPr>
          <w:t>STS, Sala Primera, 1494/2025, de 27 de octubre de 2025</w:t>
        </w:r>
      </w:hyperlink>
      <w:r w:rsidR="00CE7BE2">
        <w:t>. “</w:t>
      </w:r>
      <w:r w:rsidR="00CE7BE2" w:rsidRPr="00CE7BE2">
        <w:t>Nulidad de cláusula en que se establece una comisión por reclamación de posiciones deudoras y restitución de lo pagado en aplicación de tal cláusula. Legitimación pasiva de Novo Banco, S.A. Reiteración de jurisprudencia</w:t>
      </w:r>
      <w:r w:rsidR="00CE7BE2">
        <w:t xml:space="preserve">”. </w:t>
      </w:r>
    </w:p>
    <w:p w14:paraId="7DC07FD2" w14:textId="0E264149" w:rsidR="006B63EC" w:rsidRDefault="00000000" w:rsidP="00A8324B">
      <w:pPr>
        <w:spacing w:after="240"/>
        <w:jc w:val="both"/>
      </w:pPr>
      <w:hyperlink r:id="rId24" w:history="1">
        <w:r w:rsidR="006B63EC" w:rsidRPr="006B63EC">
          <w:rPr>
            <w:rStyle w:val="Hipervnculo"/>
          </w:rPr>
          <w:t>STS, Sala Primera, 1571/2025, de 4 de noviembre de 2025</w:t>
        </w:r>
      </w:hyperlink>
      <w:r w:rsidR="006B63EC">
        <w:t>. “</w:t>
      </w:r>
      <w:r w:rsidR="006B63EC" w:rsidRPr="006B63EC">
        <w:t>Nulidad de cláusula suelo y restitución de lo indebidamente abonado. Falta de legitimación pasiva de Novo Banco, S.A., por la transmisión acordada por la autoridad portuguesa por la insolvencia de Banco Espirito Santo,</w:t>
      </w:r>
      <w:r w:rsidR="00DE69DB">
        <w:t xml:space="preserve"> </w:t>
      </w:r>
      <w:r w:rsidR="006B63EC" w:rsidRPr="006B63EC">
        <w:t>S.A. Reiteración de jurisprudencia</w:t>
      </w:r>
      <w:r w:rsidR="006B63EC">
        <w:t xml:space="preserve">”. </w:t>
      </w:r>
    </w:p>
    <w:p w14:paraId="6CA33FA5" w14:textId="7E89DBCE" w:rsidR="002E325B" w:rsidRDefault="002E325B" w:rsidP="00A8324B">
      <w:pPr>
        <w:spacing w:after="240"/>
        <w:jc w:val="both"/>
      </w:pPr>
      <w:hyperlink r:id="rId25" w:history="1">
        <w:r w:rsidRPr="002E325B">
          <w:rPr>
            <w:rStyle w:val="Hipervnculo"/>
          </w:rPr>
          <w:t>STS, Sala Primera, 1691/2025, de 24 de noviembre de 2025</w:t>
        </w:r>
      </w:hyperlink>
      <w:r>
        <w:t>. “</w:t>
      </w:r>
      <w:r w:rsidRPr="002E325B">
        <w:t>Nulidad de cláusula suelo y restitución de lo abonado por aplicación de tal cláusula. Falta de legitimación pasiva de Novo Banco S.A., respecto a la restitución de cantidades abonadas antes de 3 de agosto de 2014. Reiteración de jurisprudencia</w:t>
      </w:r>
      <w:r>
        <w:t xml:space="preserve">”. </w:t>
      </w:r>
    </w:p>
    <w:p w14:paraId="09C26D38" w14:textId="322FD020" w:rsidR="00BB3A5B" w:rsidRDefault="00BB3A5B" w:rsidP="00A8324B">
      <w:pPr>
        <w:spacing w:after="240"/>
        <w:jc w:val="both"/>
      </w:pPr>
      <w:hyperlink r:id="rId26" w:history="1">
        <w:r w:rsidRPr="00BB3A5B">
          <w:rPr>
            <w:rStyle w:val="Hipervnculo"/>
          </w:rPr>
          <w:t>STS, Sala Primera, 1856/2025, de 15 de diciembre de 2025</w:t>
        </w:r>
      </w:hyperlink>
      <w:r>
        <w:t>. “</w:t>
      </w:r>
      <w:r w:rsidRPr="00BB3A5B">
        <w:t xml:space="preserve">Nulidad de cláusula de gastos contenida en un préstamo hipotecario suscrito con HBF, Banco Financiero (actualmente Santander </w:t>
      </w:r>
      <w:proofErr w:type="spellStart"/>
      <w:r w:rsidRPr="00BB3A5B">
        <w:t>Consumer</w:t>
      </w:r>
      <w:proofErr w:type="spellEnd"/>
      <w:r w:rsidRPr="00BB3A5B">
        <w:t xml:space="preserve"> </w:t>
      </w:r>
      <w:proofErr w:type="spellStart"/>
      <w:r w:rsidRPr="00BB3A5B">
        <w:t>Finance</w:t>
      </w:r>
      <w:proofErr w:type="spellEnd"/>
      <w:r w:rsidRPr="00BB3A5B">
        <w:t>, S.A.). La sociedad matriz del grupo, Banco Santander, S.A. carece de legitimación pasiva</w:t>
      </w:r>
      <w:r>
        <w:t xml:space="preserve">”. </w:t>
      </w:r>
    </w:p>
    <w:p w14:paraId="5124BBB0" w14:textId="61515CA9" w:rsidR="00585ACA" w:rsidRDefault="001D5284" w:rsidP="00A8324B">
      <w:pPr>
        <w:spacing w:after="240"/>
        <w:jc w:val="both"/>
      </w:pPr>
      <w:hyperlink r:id="rId27" w:history="1">
        <w:r w:rsidRPr="001D5284">
          <w:rPr>
            <w:rStyle w:val="Hipervnculo"/>
          </w:rPr>
          <w:t>STS, Sala Primera, 1943/2025, de 22 de diciembre de 2025</w:t>
        </w:r>
      </w:hyperlink>
      <w:r>
        <w:t>. “</w:t>
      </w:r>
      <w:r w:rsidRPr="001D5284">
        <w:t>Cláusulas abusivas en contratos con consumidores. Legitimación pasiva del cesionario del crédito (fondo de titulación de activos)</w:t>
      </w:r>
      <w:r>
        <w:t xml:space="preserve">”. </w:t>
      </w:r>
    </w:p>
    <w:p w14:paraId="095C9F75" w14:textId="77777777" w:rsidR="00460131" w:rsidRDefault="00460131" w:rsidP="00460131">
      <w:pPr>
        <w:jc w:val="both"/>
      </w:pPr>
    </w:p>
    <w:p w14:paraId="496590E7" w14:textId="520E2D8B" w:rsidR="005F1ED9" w:rsidRPr="005F1ED9" w:rsidRDefault="005F1ED9" w:rsidP="00A8324B">
      <w:pPr>
        <w:spacing w:after="240"/>
        <w:jc w:val="both"/>
        <w:rPr>
          <w:b/>
          <w:bCs/>
        </w:rPr>
      </w:pPr>
      <w:r w:rsidRPr="005F1ED9">
        <w:rPr>
          <w:b/>
          <w:bCs/>
        </w:rPr>
        <w:t>Préstamos con garantía hipotecaria. Cláusula de comisión de apertura</w:t>
      </w:r>
    </w:p>
    <w:p w14:paraId="714454B7" w14:textId="21166428" w:rsidR="005F1ED9" w:rsidRDefault="00000000" w:rsidP="00A8324B">
      <w:pPr>
        <w:spacing w:after="240"/>
        <w:jc w:val="both"/>
      </w:pPr>
      <w:hyperlink r:id="rId28" w:history="1">
        <w:r w:rsidR="005F1ED9" w:rsidRPr="005F1ED9">
          <w:rPr>
            <w:rStyle w:val="Hipervnculo"/>
          </w:rPr>
          <w:t>STS, Sala Primera, 1621/2025, de 12 de noviembre de 2025</w:t>
        </w:r>
      </w:hyperlink>
      <w:r w:rsidR="005F1ED9">
        <w:t>. “</w:t>
      </w:r>
      <w:r w:rsidR="005F1ED9" w:rsidRPr="005F1ED9">
        <w:t>Comisión de apertura en contrato de préstamo con garantía hipotecaria celebrado con consumidores. Control de abusividad. Proporcionalidad. Superior al 1,5%</w:t>
      </w:r>
      <w:r w:rsidR="005F1ED9">
        <w:t xml:space="preserve">”. </w:t>
      </w:r>
    </w:p>
    <w:p w14:paraId="5E34C03A" w14:textId="00C3AC4E" w:rsidR="005C0A1D" w:rsidRDefault="00000000" w:rsidP="00A8324B">
      <w:pPr>
        <w:spacing w:after="240"/>
        <w:jc w:val="both"/>
      </w:pPr>
      <w:hyperlink r:id="rId29" w:history="1">
        <w:r w:rsidR="005C0A1D" w:rsidRPr="005C0A1D">
          <w:rPr>
            <w:rStyle w:val="Hipervnculo"/>
          </w:rPr>
          <w:t>STS, Sala Primera, 1625/2025, de 12 de noviembre de 2025</w:t>
        </w:r>
      </w:hyperlink>
      <w:r w:rsidR="005C0A1D">
        <w:t>. “</w:t>
      </w:r>
      <w:r w:rsidR="005C0A1D" w:rsidRPr="005C0A1D">
        <w:t>Comisión de apertura. Defectuosa información sobre su coste. Nulidad</w:t>
      </w:r>
      <w:r w:rsidR="005C0A1D">
        <w:t xml:space="preserve">”. </w:t>
      </w:r>
    </w:p>
    <w:p w14:paraId="6DB5E5A7" w14:textId="07F8E8D1" w:rsidR="00BB3A5B" w:rsidRDefault="00BB3A5B" w:rsidP="00A8324B">
      <w:pPr>
        <w:spacing w:after="240"/>
        <w:jc w:val="both"/>
      </w:pPr>
      <w:hyperlink r:id="rId30" w:history="1">
        <w:r w:rsidRPr="00BB3A5B">
          <w:rPr>
            <w:rStyle w:val="Hipervnculo"/>
          </w:rPr>
          <w:t>STS, Sala Primera, 1863/2025, de 16 de diciembre de 2025</w:t>
        </w:r>
      </w:hyperlink>
      <w:r>
        <w:t>. “</w:t>
      </w:r>
      <w:r w:rsidRPr="00BB3A5B">
        <w:t>Comisión apertura. Información precontractual</w:t>
      </w:r>
      <w:r>
        <w:t xml:space="preserve">”. </w:t>
      </w:r>
    </w:p>
    <w:p w14:paraId="73085138" w14:textId="776AB730" w:rsidR="00BB3A5B" w:rsidRDefault="00BB3A5B" w:rsidP="00A8324B">
      <w:pPr>
        <w:spacing w:after="240"/>
        <w:jc w:val="both"/>
      </w:pPr>
      <w:hyperlink r:id="rId31" w:history="1">
        <w:r w:rsidRPr="00BB3A5B">
          <w:rPr>
            <w:rStyle w:val="Hipervnculo"/>
          </w:rPr>
          <w:t>STS, Sala Primera, 1864/2025, de 16 de diciembre de 2025</w:t>
        </w:r>
      </w:hyperlink>
      <w:r>
        <w:t>. “</w:t>
      </w:r>
      <w:r w:rsidRPr="00BB3A5B">
        <w:t>Nulidad de la cláusula de comisión de apertura. En este caso la cláusula no cumple con los requisitos de transparencia</w:t>
      </w:r>
      <w:r>
        <w:t xml:space="preserve">”. </w:t>
      </w:r>
    </w:p>
    <w:p w14:paraId="5402993C" w14:textId="207601B1" w:rsidR="00BB3A5B" w:rsidRDefault="00BB3A5B" w:rsidP="00A8324B">
      <w:pPr>
        <w:spacing w:after="240"/>
        <w:jc w:val="both"/>
      </w:pPr>
      <w:hyperlink r:id="rId32" w:history="1">
        <w:r w:rsidRPr="00BB3A5B">
          <w:rPr>
            <w:rStyle w:val="Hipervnculo"/>
          </w:rPr>
          <w:t>STS, Sala Primera, 1865/2025, de 16 de diciembre de 2025</w:t>
        </w:r>
      </w:hyperlink>
      <w:r>
        <w:t>. “</w:t>
      </w:r>
      <w:r w:rsidRPr="00BB3A5B">
        <w:t>Comisión de apertura. Duplicidad de comisiones por el mismo concepto</w:t>
      </w:r>
      <w:r>
        <w:t xml:space="preserve">”. </w:t>
      </w:r>
    </w:p>
    <w:p w14:paraId="5A2CF88A" w14:textId="52854BE8" w:rsidR="005F1ED9" w:rsidRDefault="001D5284" w:rsidP="00A8324B">
      <w:pPr>
        <w:spacing w:after="240"/>
        <w:jc w:val="both"/>
      </w:pPr>
      <w:hyperlink r:id="rId33" w:history="1">
        <w:r w:rsidRPr="001D5284">
          <w:rPr>
            <w:rStyle w:val="Hipervnculo"/>
          </w:rPr>
          <w:t>STS, Sala Primera, 1942/2025, de 22 de diciembre de 2025</w:t>
        </w:r>
      </w:hyperlink>
      <w:r>
        <w:t>. “</w:t>
      </w:r>
      <w:r w:rsidRPr="001D5284">
        <w:t>Comisión de apertura en préstamo hipotecario con consumidores. Apreciación de abusividad de la cláusula que supone el 2% del capital prestado por desproporcionada</w:t>
      </w:r>
      <w:r>
        <w:t xml:space="preserve">”. </w:t>
      </w:r>
    </w:p>
    <w:p w14:paraId="5EBDDC98" w14:textId="77777777" w:rsidR="00460131" w:rsidRPr="00445746" w:rsidRDefault="00460131" w:rsidP="00460131">
      <w:pPr>
        <w:jc w:val="both"/>
      </w:pPr>
    </w:p>
    <w:p w14:paraId="660AA13B" w14:textId="0EC4C30D" w:rsidR="00C850E3" w:rsidRDefault="00904AD1" w:rsidP="00A8324B">
      <w:pPr>
        <w:spacing w:after="240"/>
        <w:jc w:val="both"/>
        <w:rPr>
          <w:b/>
          <w:bCs/>
        </w:rPr>
      </w:pPr>
      <w:r>
        <w:rPr>
          <w:b/>
          <w:bCs/>
        </w:rPr>
        <w:t>Préstamos con garantía hipotecaria. Cláusula</w:t>
      </w:r>
      <w:r w:rsidR="0046122C">
        <w:rPr>
          <w:b/>
          <w:bCs/>
        </w:rPr>
        <w:t>s</w:t>
      </w:r>
      <w:r>
        <w:rPr>
          <w:b/>
          <w:bCs/>
        </w:rPr>
        <w:t xml:space="preserve"> “suelo”</w:t>
      </w:r>
      <w:r w:rsidR="00CD66C6">
        <w:rPr>
          <w:b/>
          <w:bCs/>
        </w:rPr>
        <w:t xml:space="preserve"> </w:t>
      </w:r>
    </w:p>
    <w:p w14:paraId="4DA182F0" w14:textId="438149E4" w:rsidR="001C3C1D" w:rsidRDefault="00000000" w:rsidP="00A8324B">
      <w:pPr>
        <w:spacing w:after="240"/>
        <w:jc w:val="both"/>
      </w:pPr>
      <w:hyperlink r:id="rId34" w:history="1">
        <w:r w:rsidR="005B6AE9" w:rsidRPr="005B6AE9">
          <w:rPr>
            <w:rStyle w:val="Hipervnculo"/>
          </w:rPr>
          <w:t>STS, Sala Primera, 1375/2025, de 3 de octubre de 2025</w:t>
        </w:r>
      </w:hyperlink>
      <w:r w:rsidR="005B6AE9">
        <w:t>. “</w:t>
      </w:r>
      <w:r w:rsidR="005B6AE9" w:rsidRPr="005B6AE9">
        <w:t>Nulidad de la novación de la cláusula suelo de préstamo hipotecario por falta de transparencia. Control de transparencia. Intervención de notario. Reiteración de jurisprudencia</w:t>
      </w:r>
      <w:r w:rsidR="005B6AE9">
        <w:t xml:space="preserve">”. </w:t>
      </w:r>
    </w:p>
    <w:p w14:paraId="51FC7895" w14:textId="522B614B" w:rsidR="003E062E" w:rsidRDefault="003E062E" w:rsidP="00A8324B">
      <w:pPr>
        <w:spacing w:after="240"/>
        <w:jc w:val="both"/>
      </w:pPr>
      <w:hyperlink r:id="rId35" w:history="1">
        <w:r w:rsidRPr="003E062E">
          <w:rPr>
            <w:rStyle w:val="Hipervnculo"/>
          </w:rPr>
          <w:t>STS, Sala Primera, 1666/2025, de 18 de noviembre de 2025</w:t>
        </w:r>
      </w:hyperlink>
      <w:r>
        <w:t>. “</w:t>
      </w:r>
      <w:r w:rsidRPr="003E062E">
        <w:t>Reiteración de jurisprudencia. Cláusula suelo. Acuerdo posterior que suprime la cláusula e incluye una renuncia de acciones genérica. Validez del acuerdo novatorio porque supera el control de transparencia. Nulidad de la cláusula de renuncia de acciones</w:t>
      </w:r>
      <w:r>
        <w:t xml:space="preserve">”. </w:t>
      </w:r>
    </w:p>
    <w:p w14:paraId="65406AB6" w14:textId="21968B64" w:rsidR="00217CE2" w:rsidRDefault="00217CE2" w:rsidP="00A8324B">
      <w:pPr>
        <w:spacing w:after="240"/>
        <w:jc w:val="both"/>
      </w:pPr>
      <w:hyperlink r:id="rId36" w:history="1">
        <w:r w:rsidRPr="00217CE2">
          <w:rPr>
            <w:rStyle w:val="Hipervnculo"/>
          </w:rPr>
          <w:t>STS, Sala Primera, 1772/2025, de 2 de diciembre de 2025</w:t>
        </w:r>
      </w:hyperlink>
      <w:r>
        <w:t>. “</w:t>
      </w:r>
      <w:r w:rsidRPr="00217CE2">
        <w:t xml:space="preserve">Reiteración de jurisprudencia sobre novación de cláusula suelo abusiva y renuncia de acciones en acuerdo transaccional </w:t>
      </w:r>
      <w:r w:rsidRPr="00217CE2">
        <w:lastRenderedPageBreak/>
        <w:t>respecto de un préstamo hipotecario concertado con consumidores. Nulidad de la renuncia</w:t>
      </w:r>
      <w:r>
        <w:t xml:space="preserve">”. </w:t>
      </w:r>
    </w:p>
    <w:p w14:paraId="276E2C8F" w14:textId="0551E7A1" w:rsidR="001D5284" w:rsidRDefault="001D5284" w:rsidP="00A8324B">
      <w:pPr>
        <w:spacing w:after="240"/>
        <w:jc w:val="both"/>
      </w:pPr>
      <w:hyperlink r:id="rId37" w:history="1">
        <w:r w:rsidRPr="001D5284">
          <w:rPr>
            <w:rStyle w:val="Hipervnculo"/>
          </w:rPr>
          <w:t>STS, Sala Primera, 1893/2025, de 18 de diciembre de 2025</w:t>
        </w:r>
      </w:hyperlink>
      <w:r>
        <w:t>. “</w:t>
      </w:r>
      <w:r w:rsidRPr="001D5284">
        <w:t>Reclamación por las cantidades pagadas de más por una cláusula suelo en préstamo hipotecario, anulada en un procedimiento anterior. Estimación del recurso por infracción procesal</w:t>
      </w:r>
      <w:r>
        <w:t xml:space="preserve">”. </w:t>
      </w:r>
    </w:p>
    <w:p w14:paraId="242AC771" w14:textId="1B552B3E" w:rsidR="00585ACA" w:rsidRDefault="001D5284" w:rsidP="00A8324B">
      <w:pPr>
        <w:spacing w:after="240"/>
        <w:jc w:val="both"/>
      </w:pPr>
      <w:hyperlink r:id="rId38" w:history="1">
        <w:r w:rsidRPr="001D5284">
          <w:rPr>
            <w:rStyle w:val="Hipervnculo"/>
          </w:rPr>
          <w:t>STS, Sala Primera, 1894/2025, de 18 de diciembre de 2025</w:t>
        </w:r>
      </w:hyperlink>
      <w:r>
        <w:t>. “</w:t>
      </w:r>
      <w:r w:rsidRPr="001D5284">
        <w:t>Cláusula suelo. Finalizado procedimiento de declaración de nulidad de dicha cláusula, se formula una segunda demanda en reclamación de lo abonado por su aplicación. Inexistencia de cosa juzgada. Reiteración de jurisprudencia</w:t>
      </w:r>
      <w:r>
        <w:t xml:space="preserve">”. </w:t>
      </w:r>
    </w:p>
    <w:p w14:paraId="2D689F66" w14:textId="77777777" w:rsidR="00460131" w:rsidRPr="00891854" w:rsidRDefault="00460131" w:rsidP="00460131">
      <w:pPr>
        <w:jc w:val="both"/>
      </w:pPr>
    </w:p>
    <w:p w14:paraId="20CF0DAA" w14:textId="4AE556FE" w:rsidR="00891854" w:rsidRDefault="00891854" w:rsidP="00A8324B">
      <w:pPr>
        <w:spacing w:after="240"/>
        <w:jc w:val="both"/>
        <w:rPr>
          <w:b/>
          <w:bCs/>
        </w:rPr>
      </w:pPr>
      <w:r>
        <w:rPr>
          <w:b/>
          <w:bCs/>
        </w:rPr>
        <w:t xml:space="preserve">Préstamos con garantía hipotecaria. </w:t>
      </w:r>
      <w:r w:rsidR="00E75615">
        <w:rPr>
          <w:b/>
          <w:bCs/>
        </w:rPr>
        <w:t>Cláusula</w:t>
      </w:r>
      <w:r>
        <w:rPr>
          <w:b/>
          <w:bCs/>
        </w:rPr>
        <w:t xml:space="preserve"> multidivisa</w:t>
      </w:r>
    </w:p>
    <w:p w14:paraId="6F537518" w14:textId="03E533D4" w:rsidR="00891854" w:rsidRDefault="00000000" w:rsidP="00A8324B">
      <w:pPr>
        <w:spacing w:after="240"/>
        <w:jc w:val="both"/>
      </w:pPr>
      <w:hyperlink r:id="rId39" w:history="1">
        <w:r w:rsidR="00ED39CC" w:rsidRPr="00ED39CC">
          <w:rPr>
            <w:rStyle w:val="Hipervnculo"/>
          </w:rPr>
          <w:t>STS, Sala Primera, 1633/2025, de 12 de noviembre de 2025</w:t>
        </w:r>
      </w:hyperlink>
      <w:r w:rsidR="00ED39CC">
        <w:t>. “</w:t>
      </w:r>
      <w:r w:rsidR="00ED39CC" w:rsidRPr="00ED39CC">
        <w:t>Cláusula multidivisa. Documento de primera disposición. Cláusula que permite al banco exigir la ampliación de la garantía y, caso de no prestarse tales garantías, dar por vencido anticipadamente el préstamo. Reiteración de la doctrina de la sala</w:t>
      </w:r>
      <w:r w:rsidR="00ED39CC">
        <w:t xml:space="preserve">”. </w:t>
      </w:r>
    </w:p>
    <w:p w14:paraId="51C9CA01" w14:textId="2E5045AB" w:rsidR="00E75615" w:rsidRDefault="003E062E" w:rsidP="00A8324B">
      <w:pPr>
        <w:spacing w:after="240"/>
        <w:jc w:val="both"/>
      </w:pPr>
      <w:hyperlink r:id="rId40" w:history="1">
        <w:r w:rsidRPr="003E062E">
          <w:rPr>
            <w:rStyle w:val="Hipervnculo"/>
          </w:rPr>
          <w:t>STS, Sala Primera, 1670/2025, de 18 de noviembre de 2025</w:t>
        </w:r>
      </w:hyperlink>
      <w:r>
        <w:t>. “</w:t>
      </w:r>
      <w:r w:rsidRPr="003E062E">
        <w:t>Nulidad clausulado multidivisa. Reiteración de la jurisprudencia de la sala</w:t>
      </w:r>
      <w:r>
        <w:t xml:space="preserve">”. </w:t>
      </w:r>
    </w:p>
    <w:p w14:paraId="588D6F9C" w14:textId="77777777" w:rsidR="00460131" w:rsidRPr="00B446AD" w:rsidRDefault="00460131" w:rsidP="00460131">
      <w:pPr>
        <w:jc w:val="both"/>
      </w:pPr>
    </w:p>
    <w:p w14:paraId="61044CB3" w14:textId="519D63E3" w:rsidR="00CB39E0" w:rsidRDefault="00572B2C" w:rsidP="006B6B86">
      <w:pPr>
        <w:spacing w:after="240"/>
        <w:jc w:val="both"/>
        <w:rPr>
          <w:b/>
          <w:bCs/>
        </w:rPr>
      </w:pPr>
      <w:r>
        <w:rPr>
          <w:b/>
          <w:bCs/>
        </w:rPr>
        <w:t xml:space="preserve">Préstamos con garantía hipotecaria. </w:t>
      </w:r>
      <w:r w:rsidR="00CB39E0">
        <w:rPr>
          <w:b/>
          <w:bCs/>
        </w:rPr>
        <w:t xml:space="preserve">Cláusula de gastos hipotecarios </w:t>
      </w:r>
    </w:p>
    <w:p w14:paraId="71CE364D" w14:textId="34B8A533" w:rsidR="005B6AE9" w:rsidRPr="005B6AE9" w:rsidRDefault="00000000" w:rsidP="006B6B86">
      <w:pPr>
        <w:spacing w:after="240"/>
        <w:jc w:val="both"/>
      </w:pPr>
      <w:hyperlink r:id="rId41" w:history="1">
        <w:r w:rsidR="005B6AE9" w:rsidRPr="005B6AE9">
          <w:rPr>
            <w:rStyle w:val="Hipervnculo"/>
          </w:rPr>
          <w:t>STS, Sala Primera, 1361/2025, de 1 de octubre de 2025</w:t>
        </w:r>
      </w:hyperlink>
      <w:r w:rsidR="005B6AE9">
        <w:t>. “</w:t>
      </w:r>
      <w:r w:rsidR="005B6AE9" w:rsidRPr="005B6AE9">
        <w:t>Cláusula de gastos. Reclamación. Prescripción de la acción. Allanamiento de la entidad financiera, doctrina contenida en la sentencia 1090/2023, sobre el principio dispositivo (art. 21 LEC)</w:t>
      </w:r>
      <w:r w:rsidR="005B6AE9">
        <w:t xml:space="preserve">”. </w:t>
      </w:r>
    </w:p>
    <w:p w14:paraId="261E7B20" w14:textId="326C1572" w:rsidR="005B6AE9" w:rsidRDefault="00000000" w:rsidP="006B6B86">
      <w:pPr>
        <w:spacing w:after="240"/>
        <w:jc w:val="both"/>
      </w:pPr>
      <w:hyperlink r:id="rId42" w:history="1">
        <w:r w:rsidR="005B6AE9" w:rsidRPr="005B6AE9">
          <w:rPr>
            <w:rStyle w:val="Hipervnculo"/>
          </w:rPr>
          <w:t>STS, Sala Primera, 1362/2025, de 1 de octubre de 2025</w:t>
        </w:r>
      </w:hyperlink>
      <w:r w:rsidR="005B6AE9">
        <w:t>. “</w:t>
      </w:r>
      <w:r w:rsidR="005B6AE9" w:rsidRPr="005B6AE9">
        <w:t>Préstamo hipotecario con consumidores. Nulidad de la cláusula de gastos y acción de restitución de las cantidades indebidamente abonadas. Día inicial de la prescripción de la acción de restitución. Aplicación de la doctrina de la STJUE C- 561/2021</w:t>
      </w:r>
      <w:r w:rsidR="005B6AE9">
        <w:t xml:space="preserve">”. </w:t>
      </w:r>
    </w:p>
    <w:p w14:paraId="0674930D" w14:textId="68D05AA4" w:rsidR="00A10004" w:rsidRDefault="00000000" w:rsidP="006B6B86">
      <w:pPr>
        <w:spacing w:after="240"/>
        <w:jc w:val="both"/>
      </w:pPr>
      <w:hyperlink r:id="rId43" w:history="1">
        <w:r w:rsidR="00A10004" w:rsidRPr="00A10004">
          <w:rPr>
            <w:rStyle w:val="Hipervnculo"/>
          </w:rPr>
          <w:t>STS, Sala Primera, 1392/2025, de 7 de octubre de 2025</w:t>
        </w:r>
      </w:hyperlink>
      <w:r w:rsidR="00A10004">
        <w:t>. “</w:t>
      </w:r>
      <w:r w:rsidR="00A10004" w:rsidRPr="00A10004">
        <w:t>Allanamiento en casación de la parte recurrida/demandada. Cláusula de gastos en contratos con consumidores. Prescripción de la acción de restitución. Reiteración de la jurisprudencia de la sala</w:t>
      </w:r>
      <w:r w:rsidR="00A10004">
        <w:t xml:space="preserve">”. </w:t>
      </w:r>
    </w:p>
    <w:p w14:paraId="4E5E6A54" w14:textId="4C70D7B4" w:rsidR="00A10004" w:rsidRDefault="00000000" w:rsidP="006B6B86">
      <w:pPr>
        <w:spacing w:after="240"/>
        <w:jc w:val="both"/>
      </w:pPr>
      <w:hyperlink r:id="rId44" w:history="1">
        <w:r w:rsidR="00A10004" w:rsidRPr="00A10004">
          <w:rPr>
            <w:rStyle w:val="Hipervnculo"/>
          </w:rPr>
          <w:t>STS, Sala Primera, 1409/2025, de 13 de octubre de 2025</w:t>
        </w:r>
      </w:hyperlink>
      <w:r w:rsidR="00A10004">
        <w:t>. “</w:t>
      </w:r>
      <w:r w:rsidR="00A10004" w:rsidRPr="00A10004">
        <w:t>Reiteración de jurisprudencia. Condiciones Generales de la contratación. Cláusula abusiva. Prescripción de la acción de restitución. Dies a quo de la acción de restitución de los gastos hipotecarios indebidamente abonados</w:t>
      </w:r>
      <w:r w:rsidR="00A10004">
        <w:t xml:space="preserve">”. </w:t>
      </w:r>
    </w:p>
    <w:p w14:paraId="1CF6ED55" w14:textId="2C0B952F" w:rsidR="00A10004" w:rsidRDefault="00000000" w:rsidP="006B6B86">
      <w:pPr>
        <w:spacing w:after="240"/>
        <w:jc w:val="both"/>
      </w:pPr>
      <w:hyperlink r:id="rId45" w:history="1">
        <w:r w:rsidR="00A10004" w:rsidRPr="00A10004">
          <w:rPr>
            <w:rStyle w:val="Hipervnculo"/>
          </w:rPr>
          <w:t>STS, Sala Primera, 1432/2025, de 14 de octubre de 2025</w:t>
        </w:r>
      </w:hyperlink>
      <w:r w:rsidR="00A10004">
        <w:t>. “</w:t>
      </w:r>
      <w:r w:rsidR="00A10004" w:rsidRPr="00A10004">
        <w:t>Reiteración de jurisprudencia. Condiciones Generales de la contratación. Cláusula abusiva. Prescripción de la acción de restitución. Dies a quo de la acción de restitución de los gastos hipotecarios indebidamente abonados</w:t>
      </w:r>
      <w:r w:rsidR="00A10004">
        <w:t xml:space="preserve">”. </w:t>
      </w:r>
    </w:p>
    <w:p w14:paraId="3D922499" w14:textId="7A0B00EA" w:rsidR="00CE7BE2" w:rsidRDefault="00000000" w:rsidP="006B6B86">
      <w:pPr>
        <w:spacing w:after="240"/>
        <w:jc w:val="both"/>
      </w:pPr>
      <w:hyperlink r:id="rId46" w:history="1">
        <w:r w:rsidR="00CE7BE2" w:rsidRPr="00CE7BE2">
          <w:rPr>
            <w:rStyle w:val="Hipervnculo"/>
          </w:rPr>
          <w:t>STS, Sala Primera, 1480/2025, de 24 de octubre de 2025</w:t>
        </w:r>
      </w:hyperlink>
      <w:r w:rsidR="00CE7BE2">
        <w:t>. “</w:t>
      </w:r>
      <w:r w:rsidR="00CE7BE2" w:rsidRPr="00CE7BE2">
        <w:t xml:space="preserve">Reiteración de jurisprudencia. Condiciones Generales de la contratación. Cláusula abusiva. Prescripción de la acción de </w:t>
      </w:r>
      <w:r w:rsidR="00CE7BE2" w:rsidRPr="00CE7BE2">
        <w:lastRenderedPageBreak/>
        <w:t>restitución. Dies a quo de la acción de restitución de los gastos hipotecarios indebidamente abonados</w:t>
      </w:r>
      <w:r w:rsidR="00CE7BE2">
        <w:t xml:space="preserve">”. </w:t>
      </w:r>
    </w:p>
    <w:p w14:paraId="4D962DBB" w14:textId="4D9A12F6" w:rsidR="006B63EC" w:rsidRDefault="00000000" w:rsidP="006B6B86">
      <w:pPr>
        <w:spacing w:after="240"/>
        <w:jc w:val="both"/>
      </w:pPr>
      <w:hyperlink r:id="rId47" w:history="1">
        <w:r w:rsidR="006B63EC" w:rsidRPr="006B63EC">
          <w:rPr>
            <w:rStyle w:val="Hipervnculo"/>
          </w:rPr>
          <w:t>STS, Sala Primera, 1553/2025, de 4 de noviembre de 2025</w:t>
        </w:r>
      </w:hyperlink>
      <w:r w:rsidR="006B63EC">
        <w:t>. “</w:t>
      </w:r>
      <w:r w:rsidR="006B63EC" w:rsidRPr="006B63EC">
        <w:t>Nulidad de la cláusula de gastos de un préstamo hipotecario con consumidores y acción de restitución de cantidades indebidamente abonadas. Dies a quo del plazo para la prescripción de la acción restitutoria. Reiteración de jurisprudencia</w:t>
      </w:r>
      <w:r w:rsidR="006B63EC">
        <w:t xml:space="preserve">”. </w:t>
      </w:r>
    </w:p>
    <w:p w14:paraId="2AD63452" w14:textId="7AB55B7D" w:rsidR="003E062E" w:rsidRDefault="003E062E" w:rsidP="006B6B86">
      <w:pPr>
        <w:spacing w:after="240"/>
        <w:jc w:val="both"/>
      </w:pPr>
      <w:hyperlink r:id="rId48" w:history="1">
        <w:r w:rsidRPr="003E062E">
          <w:rPr>
            <w:rStyle w:val="Hipervnculo"/>
          </w:rPr>
          <w:t>STS, Sala Primera, 1639/2025, de 17 de noviembre de 2025</w:t>
        </w:r>
      </w:hyperlink>
      <w:r>
        <w:t>. “</w:t>
      </w:r>
      <w:r w:rsidRPr="003E062E">
        <w:t>Cláusula de gastos. Reclamación. Prescripción de la acción. Allanamiento de la entidad financiera, doctrina contenida en la sentencia 1090/2023, sobre el principio dispositivo</w:t>
      </w:r>
      <w:r>
        <w:t xml:space="preserve">”. </w:t>
      </w:r>
    </w:p>
    <w:p w14:paraId="1A83CE36" w14:textId="175904DE" w:rsidR="003E062E" w:rsidRDefault="003E062E" w:rsidP="006B6B86">
      <w:pPr>
        <w:spacing w:after="240"/>
        <w:jc w:val="both"/>
      </w:pPr>
      <w:hyperlink r:id="rId49" w:history="1">
        <w:r w:rsidRPr="003E062E">
          <w:rPr>
            <w:rStyle w:val="Hipervnculo"/>
          </w:rPr>
          <w:t>STS, Sala Primera, 1669/2025, de 18 de noviembre de 2025</w:t>
        </w:r>
      </w:hyperlink>
      <w:r>
        <w:t xml:space="preserve">. </w:t>
      </w:r>
      <w:r w:rsidRPr="003E062E">
        <w:t>“</w:t>
      </w:r>
      <w:r w:rsidRPr="003E062E">
        <w:t>Nulidad de gastos hipotecarios en contrato con consumidores. Día inicial del plazo de prescripción de la acción de restitución. Reiteración de la jurisprudencia</w:t>
      </w:r>
      <w:r w:rsidRPr="003E062E">
        <w:t xml:space="preserve">”. </w:t>
      </w:r>
    </w:p>
    <w:p w14:paraId="43A7A2D4" w14:textId="7898A245" w:rsidR="00C50480" w:rsidRDefault="002E325B" w:rsidP="006B6B86">
      <w:pPr>
        <w:spacing w:after="240"/>
        <w:jc w:val="both"/>
      </w:pPr>
      <w:hyperlink r:id="rId50" w:history="1">
        <w:r w:rsidRPr="002E325B">
          <w:rPr>
            <w:rStyle w:val="Hipervnculo"/>
          </w:rPr>
          <w:t>STS, Sala Primera, 1710/2025, de 25 de noviembre de 2025</w:t>
        </w:r>
      </w:hyperlink>
      <w:r>
        <w:t>. “</w:t>
      </w:r>
      <w:r w:rsidRPr="002E325B">
        <w:t xml:space="preserve">Condiciones Generales de la contratación. Cláusula abusiva. Prescripción de la acción de restitución. </w:t>
      </w:r>
      <w:proofErr w:type="spellStart"/>
      <w:r w:rsidRPr="002E325B">
        <w:t>Dies</w:t>
      </w:r>
      <w:proofErr w:type="spellEnd"/>
      <w:r w:rsidRPr="002E325B">
        <w:t xml:space="preserve"> a quo de la acción de restitución de los gastos hipotecarios indebidamente abonados. Costas</w:t>
      </w:r>
      <w:r>
        <w:t xml:space="preserve">”. </w:t>
      </w:r>
    </w:p>
    <w:p w14:paraId="1296395D" w14:textId="77777777" w:rsidR="00460131" w:rsidRPr="00B446AD" w:rsidRDefault="00460131" w:rsidP="00460131">
      <w:pPr>
        <w:jc w:val="both"/>
      </w:pPr>
    </w:p>
    <w:p w14:paraId="5674593C" w14:textId="5A47073C" w:rsidR="00C50480" w:rsidRDefault="00C50480" w:rsidP="006B6B86">
      <w:pPr>
        <w:spacing w:after="240"/>
        <w:jc w:val="both"/>
        <w:rPr>
          <w:b/>
          <w:bCs/>
        </w:rPr>
      </w:pPr>
      <w:r>
        <w:rPr>
          <w:b/>
          <w:bCs/>
        </w:rPr>
        <w:t>Préstamos con garantía hipotecaria. Cláusula IRPH</w:t>
      </w:r>
    </w:p>
    <w:p w14:paraId="3D26FF48" w14:textId="347FB5BA" w:rsidR="00C50480" w:rsidRDefault="00000000" w:rsidP="006B6B86">
      <w:pPr>
        <w:spacing w:after="240"/>
        <w:jc w:val="both"/>
      </w:pPr>
      <w:hyperlink r:id="rId51" w:history="1">
        <w:r w:rsidR="00C50480" w:rsidRPr="00C50480">
          <w:rPr>
            <w:rStyle w:val="Hipervnculo"/>
          </w:rPr>
          <w:t>STS, Sala Primera, Pleno, 1590/2025, de 11 de noviembre de 2025</w:t>
        </w:r>
      </w:hyperlink>
      <w:r w:rsidR="00C50480">
        <w:t>. “</w:t>
      </w:r>
      <w:r w:rsidR="00C50480" w:rsidRPr="00C50480">
        <w:t>Préstamo hipotecario con cláusulas de intereses remuneratorios que incluyen el IRPH como índice de referencia. Parámetros de los controles de transparencia y de abusividad tras las SSTJUE de 13 de julio de 2023 y 12 de diciembre de 2024</w:t>
      </w:r>
      <w:r w:rsidR="00C50480">
        <w:t xml:space="preserve">”. </w:t>
      </w:r>
    </w:p>
    <w:p w14:paraId="58E24795" w14:textId="282367D9" w:rsidR="002216B5" w:rsidRDefault="00000000" w:rsidP="006B6B86">
      <w:pPr>
        <w:spacing w:after="240"/>
        <w:jc w:val="both"/>
      </w:pPr>
      <w:hyperlink r:id="rId52" w:history="1">
        <w:r w:rsidR="00C50480" w:rsidRPr="001745CC">
          <w:rPr>
            <w:rStyle w:val="Hipervnculo"/>
          </w:rPr>
          <w:t>STS, Sala Primera, Pleno, 1591/2025, de 11 de noviembre de 2025</w:t>
        </w:r>
      </w:hyperlink>
      <w:r w:rsidR="00C50480">
        <w:t>. “</w:t>
      </w:r>
      <w:r w:rsidR="00C50480" w:rsidRPr="00C50480">
        <w:t>Préstamo hipotecario con cláusulas de intereses remuneratorios que incluyen el IRPH como índice de referencia. Parámetros de los controles de transparencia y de abusividad tras las SSTJUE de 13 de julio de 2023 y 12 de diciembre de 2024</w:t>
      </w:r>
      <w:r w:rsidR="00C50480">
        <w:t>”</w:t>
      </w:r>
      <w:r w:rsidR="001745CC">
        <w:t>.</w:t>
      </w:r>
    </w:p>
    <w:p w14:paraId="7153B91C" w14:textId="77777777" w:rsidR="00460131" w:rsidRDefault="00460131" w:rsidP="00460131">
      <w:pPr>
        <w:jc w:val="both"/>
      </w:pPr>
    </w:p>
    <w:p w14:paraId="7020C91C" w14:textId="77777777" w:rsidR="002216B5" w:rsidRPr="002216B5" w:rsidRDefault="002216B5" w:rsidP="006B6B86">
      <w:pPr>
        <w:spacing w:after="240"/>
        <w:jc w:val="both"/>
        <w:rPr>
          <w:b/>
          <w:bCs/>
        </w:rPr>
      </w:pPr>
      <w:r w:rsidRPr="002216B5">
        <w:rPr>
          <w:b/>
          <w:bCs/>
        </w:rPr>
        <w:t>Préstamos con garantía hipotecaria. Contrato de fianza</w:t>
      </w:r>
    </w:p>
    <w:p w14:paraId="05569EBF" w14:textId="490AEBA6" w:rsidR="002216B5" w:rsidRDefault="002216B5" w:rsidP="006B6B86">
      <w:pPr>
        <w:spacing w:after="240"/>
        <w:jc w:val="both"/>
      </w:pPr>
      <w:hyperlink r:id="rId53" w:history="1">
        <w:r w:rsidRPr="002216B5">
          <w:rPr>
            <w:rStyle w:val="Hipervnculo"/>
          </w:rPr>
          <w:t>STS, Sala Primera, 1762/2025, de 2 de diciembre de 2025</w:t>
        </w:r>
      </w:hyperlink>
      <w:r>
        <w:t>. “</w:t>
      </w:r>
      <w:r w:rsidRPr="002216B5">
        <w:t>Préstamo con garantía hipotecaria y fianza solidaria. Desproporción de la garantía</w:t>
      </w:r>
      <w:r>
        <w:t>”</w:t>
      </w:r>
      <w:r w:rsidRPr="002216B5">
        <w:t>.</w:t>
      </w:r>
    </w:p>
    <w:p w14:paraId="417E3DDA" w14:textId="33F159BD" w:rsidR="00572B2C" w:rsidRDefault="001D5284" w:rsidP="006B6B86">
      <w:pPr>
        <w:spacing w:after="240"/>
        <w:jc w:val="both"/>
      </w:pPr>
      <w:hyperlink r:id="rId54" w:history="1">
        <w:r w:rsidRPr="001D5284">
          <w:rPr>
            <w:rStyle w:val="Hipervnculo"/>
          </w:rPr>
          <w:t>STS, Sala Primera, 1890/2025, de 18 de diciembre de 2025</w:t>
        </w:r>
      </w:hyperlink>
      <w:r>
        <w:t>. “</w:t>
      </w:r>
      <w:r w:rsidRPr="001D5284">
        <w:t xml:space="preserve">Nulidad por abusividad de cláusula de afianzamiento en préstamo hipotecario. No es abusiva porque no hay falta de transparencia ni </w:t>
      </w:r>
      <w:proofErr w:type="spellStart"/>
      <w:r w:rsidRPr="001D5284">
        <w:t>sobregarantía</w:t>
      </w:r>
      <w:proofErr w:type="spellEnd"/>
      <w:r>
        <w:t xml:space="preserve">”. </w:t>
      </w:r>
    </w:p>
    <w:p w14:paraId="4D0C7729" w14:textId="77777777" w:rsidR="00460131" w:rsidRPr="00B446AD" w:rsidRDefault="00460131" w:rsidP="00460131">
      <w:pPr>
        <w:jc w:val="both"/>
      </w:pPr>
    </w:p>
    <w:p w14:paraId="5D9DEE1D" w14:textId="7FAD94F9" w:rsidR="00891854" w:rsidRDefault="00891854" w:rsidP="006B6B86">
      <w:pPr>
        <w:spacing w:after="240"/>
        <w:jc w:val="both"/>
        <w:rPr>
          <w:b/>
          <w:bCs/>
        </w:rPr>
      </w:pPr>
      <w:r>
        <w:rPr>
          <w:b/>
          <w:bCs/>
        </w:rPr>
        <w:t>Costas en procedimientos sobre cláusulas abusivas</w:t>
      </w:r>
    </w:p>
    <w:p w14:paraId="1FFEE860" w14:textId="2A106D03" w:rsidR="00C07EEE" w:rsidRDefault="00000000" w:rsidP="006B6B86">
      <w:pPr>
        <w:spacing w:after="240"/>
        <w:jc w:val="both"/>
      </w:pPr>
      <w:hyperlink r:id="rId55" w:history="1">
        <w:r w:rsidR="00C07EEE" w:rsidRPr="00C07EEE">
          <w:rPr>
            <w:rStyle w:val="Hipervnculo"/>
          </w:rPr>
          <w:t>STS, Sala Primera, 1584/2025, de 5 de noviembre de 2025</w:t>
        </w:r>
      </w:hyperlink>
      <w:r w:rsidR="00C07EEE">
        <w:t>. “</w:t>
      </w:r>
      <w:r w:rsidR="00C07EEE" w:rsidRPr="00C07EEE">
        <w:t>Préstamo hipotecario con consumidores. Nulidad de varias cláusulas por abusividad. Costas procesales: existencia de serias dudas de hecho o de derecho. Principios de no vinculación y efectividad del Derecho UE</w:t>
      </w:r>
      <w:r w:rsidR="00C07EEE">
        <w:t xml:space="preserve">”. </w:t>
      </w:r>
    </w:p>
    <w:p w14:paraId="5E9AF35F" w14:textId="77777777" w:rsidR="00B446AD" w:rsidRDefault="00B446AD" w:rsidP="00B446AD">
      <w:pPr>
        <w:spacing w:after="240"/>
        <w:jc w:val="both"/>
      </w:pPr>
      <w:hyperlink r:id="rId56" w:history="1">
        <w:r w:rsidRPr="003E062E">
          <w:rPr>
            <w:rStyle w:val="Hipervnculo"/>
          </w:rPr>
          <w:t>STS, Sala Primera, 1672/2025, de 18 de noviembre de 2025</w:t>
        </w:r>
      </w:hyperlink>
      <w:r>
        <w:t>. “</w:t>
      </w:r>
      <w:r w:rsidRPr="003E062E">
        <w:t>Nulidad de cláusula de vencimiento anticipado. Costas de la reconvención a la entidad bancaria, en línea con la normativa de protección al consumidor y la jurisprudencia del Tribunal de Justicia de la Unión Europea</w:t>
      </w:r>
      <w:r>
        <w:t xml:space="preserve">”. </w:t>
      </w:r>
    </w:p>
    <w:p w14:paraId="732326BD" w14:textId="3D9849BB" w:rsidR="00C50480" w:rsidRDefault="00000000" w:rsidP="006B6B86">
      <w:pPr>
        <w:spacing w:after="240"/>
        <w:jc w:val="both"/>
      </w:pPr>
      <w:hyperlink r:id="rId57" w:history="1">
        <w:r w:rsidR="00C50480" w:rsidRPr="00C50480">
          <w:rPr>
            <w:rStyle w:val="Hipervnculo"/>
          </w:rPr>
          <w:t>STS, Sala Primera, Pleno, 1785/2025, de 4 de diciembre de 2025</w:t>
        </w:r>
      </w:hyperlink>
      <w:r w:rsidR="00C50480">
        <w:t>. “</w:t>
      </w:r>
      <w:r w:rsidR="00C50480" w:rsidRPr="00C50480">
        <w:t>Costas de la segunda instancia en los procesos con consumidores. Directiva 93/13, de 5 de abril, sobre cláusulas abusivas en contratos con consumidores</w:t>
      </w:r>
      <w:r w:rsidR="00C50480">
        <w:t xml:space="preserve">”. </w:t>
      </w:r>
    </w:p>
    <w:p w14:paraId="671B4069" w14:textId="06C4F8EF" w:rsidR="00C50480" w:rsidRPr="00C50480" w:rsidRDefault="00000000" w:rsidP="006B6B86">
      <w:pPr>
        <w:spacing w:after="240"/>
        <w:jc w:val="both"/>
      </w:pPr>
      <w:hyperlink r:id="rId58" w:history="1">
        <w:r w:rsidR="00C50480" w:rsidRPr="00C50480">
          <w:rPr>
            <w:rStyle w:val="Hipervnculo"/>
          </w:rPr>
          <w:t>STS, Sala Primera, Pleno, 1786/2025, de 4 de diciembre de 2025</w:t>
        </w:r>
      </w:hyperlink>
      <w:r w:rsidR="00C50480">
        <w:t>. “</w:t>
      </w:r>
      <w:r w:rsidR="00C50480" w:rsidRPr="00C50480">
        <w:t>Procesos con consumidores. Directiva 93/13, de 5 de abril, sobre cláusulas abusivas en contrato con consumidores. Imposición de costas en primera y segunda instancia. Régimen de imposición de costas diferenciado en los recursos extraordinarios</w:t>
      </w:r>
      <w:r w:rsidR="00C50480">
        <w:t xml:space="preserve">”. </w:t>
      </w:r>
    </w:p>
    <w:p w14:paraId="5A5813B5" w14:textId="72442F04" w:rsidR="003E062E" w:rsidRDefault="00000000" w:rsidP="00B655CE">
      <w:pPr>
        <w:spacing w:after="240"/>
        <w:jc w:val="both"/>
      </w:pPr>
      <w:hyperlink r:id="rId59" w:history="1">
        <w:r w:rsidR="00001C9C" w:rsidRPr="00001C9C">
          <w:rPr>
            <w:rStyle w:val="Hipervnculo"/>
          </w:rPr>
          <w:t>STS, Sala Primera, Pleno, 1796/2025, de 5 de diciembre de 2025</w:t>
        </w:r>
      </w:hyperlink>
      <w:r w:rsidR="00001C9C">
        <w:t>. “</w:t>
      </w:r>
      <w:r w:rsidR="00001C9C" w:rsidRPr="00001C9C">
        <w:t>Procesos con consumidores. Cuando se estima en parte el recurso de apelación del banco predisponente, se impondrán al banco la mitad de las costas causadas al consumidor por el recurso de apelación</w:t>
      </w:r>
      <w:r w:rsidR="00001C9C">
        <w:t xml:space="preserve">”. </w:t>
      </w:r>
    </w:p>
    <w:p w14:paraId="3CCCA576" w14:textId="77777777" w:rsidR="00460131" w:rsidRDefault="00460131" w:rsidP="00460131">
      <w:pPr>
        <w:jc w:val="both"/>
      </w:pPr>
    </w:p>
    <w:p w14:paraId="59A9AD3D" w14:textId="732E1866" w:rsidR="00217CE2" w:rsidRPr="00217CE2" w:rsidRDefault="00217CE2" w:rsidP="00B655CE">
      <w:pPr>
        <w:spacing w:after="240"/>
        <w:jc w:val="both"/>
        <w:rPr>
          <w:b/>
          <w:bCs/>
        </w:rPr>
      </w:pPr>
      <w:r w:rsidRPr="00217CE2">
        <w:rPr>
          <w:b/>
          <w:bCs/>
        </w:rPr>
        <w:t>Contrato de mantenimiento de ascensores. Cláusulas abusivas</w:t>
      </w:r>
    </w:p>
    <w:p w14:paraId="46204A97" w14:textId="11F48732" w:rsidR="00217CE2" w:rsidRDefault="00217CE2" w:rsidP="00B655CE">
      <w:pPr>
        <w:spacing w:after="240"/>
        <w:jc w:val="both"/>
      </w:pPr>
      <w:hyperlink r:id="rId60" w:history="1">
        <w:r w:rsidRPr="00217CE2">
          <w:rPr>
            <w:rStyle w:val="Hipervnculo"/>
          </w:rPr>
          <w:t>STS, Sala Primera, 1732/2025, de 27 de noviembre de 2025</w:t>
        </w:r>
      </w:hyperlink>
      <w:r>
        <w:t>. “</w:t>
      </w:r>
      <w:r w:rsidRPr="00217CE2">
        <w:t>Contrato de mantenimiento de ascensores con consumidores (comunidad de propietarios): cláusula penal por denuncia unilateral del contrato. Abusividad: indemnización del 50% del importe correspondiente a las mensualidades hasta su finalización</w:t>
      </w:r>
      <w:r>
        <w:t xml:space="preserve">”. </w:t>
      </w:r>
    </w:p>
    <w:p w14:paraId="6CF34F25" w14:textId="77777777" w:rsidR="00460131" w:rsidRDefault="00460131" w:rsidP="00460131">
      <w:pPr>
        <w:jc w:val="both"/>
      </w:pPr>
    </w:p>
    <w:p w14:paraId="4B6AA319" w14:textId="6CB88C91" w:rsidR="00B3601D" w:rsidRDefault="00B3601D" w:rsidP="00E3186C">
      <w:pPr>
        <w:tabs>
          <w:tab w:val="left" w:pos="4500"/>
        </w:tabs>
        <w:spacing w:after="240"/>
        <w:jc w:val="both"/>
        <w:rPr>
          <w:b/>
          <w:bCs/>
        </w:rPr>
      </w:pPr>
      <w:r w:rsidRPr="00B3601D">
        <w:rPr>
          <w:b/>
          <w:bCs/>
        </w:rPr>
        <w:t>Contratación de productos financieros</w:t>
      </w:r>
      <w:r w:rsidR="00E3186C">
        <w:rPr>
          <w:b/>
          <w:bCs/>
        </w:rPr>
        <w:tab/>
      </w:r>
    </w:p>
    <w:p w14:paraId="212B1D1B" w14:textId="5CEB6972" w:rsidR="00432A9F" w:rsidRDefault="002E325B" w:rsidP="00B655CE">
      <w:pPr>
        <w:spacing w:after="240"/>
        <w:jc w:val="both"/>
      </w:pPr>
      <w:hyperlink r:id="rId61" w:history="1">
        <w:r w:rsidRPr="002E325B">
          <w:rPr>
            <w:rStyle w:val="Hipervnculo"/>
          </w:rPr>
          <w:t>STS, Sala Primera, 1660/2025, de 18 de noviembre de 2025</w:t>
        </w:r>
      </w:hyperlink>
      <w:r>
        <w:t>. “</w:t>
      </w:r>
      <w:r w:rsidRPr="002E325B">
        <w:t xml:space="preserve">Participaciones preferentes. Caducidad. </w:t>
      </w:r>
      <w:proofErr w:type="spellStart"/>
      <w:r w:rsidRPr="002E325B">
        <w:t>Dies</w:t>
      </w:r>
      <w:proofErr w:type="spellEnd"/>
      <w:r w:rsidRPr="002E325B">
        <w:t xml:space="preserve"> a quo del plazo de caducidad de la acción de anulación de la orden de compra de participaciones preferentes u obligaciones subordinadas objeto de un canje acordado por el FROB. Reiteración de jurisprudencia</w:t>
      </w:r>
      <w:r>
        <w:t xml:space="preserve">”. </w:t>
      </w:r>
    </w:p>
    <w:p w14:paraId="4E392869" w14:textId="3DC11F61" w:rsidR="00DA1020" w:rsidRDefault="00DA1020" w:rsidP="00B655CE">
      <w:pPr>
        <w:spacing w:after="240"/>
        <w:jc w:val="both"/>
      </w:pPr>
      <w:hyperlink r:id="rId62" w:history="1">
        <w:r w:rsidRPr="00DA1020">
          <w:rPr>
            <w:rStyle w:val="Hipervnculo"/>
          </w:rPr>
          <w:t>STS, Sala Primera, 1714/2025, de 26 de noviembre de 2025</w:t>
        </w:r>
      </w:hyperlink>
      <w:r>
        <w:t>. “</w:t>
      </w:r>
      <w:r w:rsidRPr="00DA1020">
        <w:t>Legitimación de la Asociación de Consumidores Auge: aplicación de la STJUE de 16 de enero de 2025 (C-346/23). Existencia de información precontractual sobre los riesgos del producto</w:t>
      </w:r>
      <w:r>
        <w:t xml:space="preserve">”. </w:t>
      </w:r>
    </w:p>
    <w:p w14:paraId="34DD9FDC" w14:textId="0058FF70" w:rsidR="00DA1020" w:rsidRDefault="00DA1020" w:rsidP="00B655CE">
      <w:pPr>
        <w:spacing w:after="240"/>
        <w:jc w:val="both"/>
      </w:pPr>
      <w:hyperlink r:id="rId63" w:history="1">
        <w:r w:rsidRPr="00DA1020">
          <w:rPr>
            <w:rStyle w:val="Hipervnculo"/>
          </w:rPr>
          <w:t>STS, Sala Primera, 1715/2025, de 26 de noviembre de 2025</w:t>
        </w:r>
      </w:hyperlink>
      <w:r>
        <w:t>. “</w:t>
      </w:r>
      <w:r w:rsidRPr="00DA1020">
        <w:t>Legitimación activa de la asociación de consumidores AUGE: admisión. Contrato de permuta financiera de intereses. Falta de información de los riesgos del producto: responsabilidad por daños y perjuicios</w:t>
      </w:r>
      <w:r>
        <w:t xml:space="preserve">”. </w:t>
      </w:r>
    </w:p>
    <w:p w14:paraId="714C26E1" w14:textId="619C391C" w:rsidR="00DA1020" w:rsidRDefault="00DA1020" w:rsidP="00B655CE">
      <w:pPr>
        <w:spacing w:after="240"/>
        <w:jc w:val="both"/>
      </w:pPr>
      <w:hyperlink r:id="rId64" w:history="1">
        <w:r w:rsidRPr="00DA1020">
          <w:rPr>
            <w:rStyle w:val="Hipervnculo"/>
          </w:rPr>
          <w:t>STS, Sala Primera, 1716/2025, de 26 de noviembre de 2025</w:t>
        </w:r>
      </w:hyperlink>
      <w:r>
        <w:t>. “</w:t>
      </w:r>
      <w:r w:rsidRPr="00DA1020">
        <w:t>Legitimación de AUGE para ejercitar, en nombre propio y en interés de un asociado, la acción indemnizatoria derivada de la adquisición de productos estructurados. Cambio de jurisprudencia tras la STJUE 16 de enero de 2025 (C-346/23)</w:t>
      </w:r>
      <w:r>
        <w:t xml:space="preserve">”. </w:t>
      </w:r>
    </w:p>
    <w:p w14:paraId="453CFECE" w14:textId="3B903431" w:rsidR="00DA1020" w:rsidRDefault="00DA1020" w:rsidP="00B655CE">
      <w:pPr>
        <w:spacing w:after="240"/>
        <w:jc w:val="both"/>
      </w:pPr>
      <w:hyperlink r:id="rId65" w:history="1">
        <w:r w:rsidRPr="00DA1020">
          <w:rPr>
            <w:rStyle w:val="Hipervnculo"/>
          </w:rPr>
          <w:t>STS, Sala Primera, 1717/2025, de 26 de noviembre de 2025</w:t>
        </w:r>
      </w:hyperlink>
      <w:r>
        <w:t>. “</w:t>
      </w:r>
      <w:r w:rsidRPr="00DA1020">
        <w:t xml:space="preserve">Legitimación activa de AUGE: admisión. Daños y perjuicios por incumplimiento de los deberes de </w:t>
      </w:r>
      <w:r w:rsidRPr="00DA1020">
        <w:lastRenderedPageBreak/>
        <w:t>asesoramiento en la comercialización de producto financiero complejo. Valores Santander. Reiteración de la jurisprudencia de la sala</w:t>
      </w:r>
      <w:r>
        <w:t xml:space="preserve">”. </w:t>
      </w:r>
    </w:p>
    <w:p w14:paraId="77CB1F20" w14:textId="4D30314E" w:rsidR="002E325B" w:rsidRDefault="00217CE2" w:rsidP="00B655CE">
      <w:pPr>
        <w:spacing w:after="240"/>
        <w:jc w:val="both"/>
      </w:pPr>
      <w:hyperlink r:id="rId66" w:history="1">
        <w:r w:rsidRPr="00217CE2">
          <w:rPr>
            <w:rStyle w:val="Hipervnculo"/>
          </w:rPr>
          <w:t>STS, Sala Primera, 1741/2025, de 28 de noviembre de 2025</w:t>
        </w:r>
      </w:hyperlink>
      <w:r>
        <w:t>. “</w:t>
      </w:r>
      <w:r w:rsidRPr="00217CE2">
        <w:t>Indemnización por la contratación de participaciones preferentes de SOS Cuétara. Reiteración de jurisprudencia sobre el deber de información en la contratación de productos financieros complejos. Nulidad por falta de información precontractual</w:t>
      </w:r>
      <w:r>
        <w:t xml:space="preserve">”. </w:t>
      </w:r>
    </w:p>
    <w:p w14:paraId="4CE068B5" w14:textId="77777777" w:rsidR="00460131" w:rsidRDefault="00460131" w:rsidP="00460131">
      <w:pPr>
        <w:jc w:val="both"/>
      </w:pPr>
    </w:p>
    <w:p w14:paraId="6CECBE2E" w14:textId="59942E84" w:rsidR="00A63F8A" w:rsidRDefault="00A63F8A" w:rsidP="00B655CE">
      <w:pPr>
        <w:spacing w:after="240"/>
        <w:jc w:val="both"/>
        <w:rPr>
          <w:b/>
          <w:bCs/>
        </w:rPr>
      </w:pPr>
      <w:r w:rsidRPr="00A63F8A">
        <w:rPr>
          <w:b/>
          <w:bCs/>
        </w:rPr>
        <w:t>Compraventa de viviendas. Devolución de anticipo</w:t>
      </w:r>
      <w:r w:rsidR="00EE457D">
        <w:rPr>
          <w:b/>
          <w:bCs/>
        </w:rPr>
        <w:t>s</w:t>
      </w:r>
    </w:p>
    <w:p w14:paraId="0341E448" w14:textId="2D9B844A" w:rsidR="00FA369D" w:rsidRDefault="00000000" w:rsidP="00FA369D">
      <w:pPr>
        <w:spacing w:after="240"/>
        <w:jc w:val="both"/>
      </w:pPr>
      <w:hyperlink r:id="rId67" w:history="1">
        <w:r w:rsidR="00FA369D" w:rsidRPr="00FA369D">
          <w:rPr>
            <w:rStyle w:val="Hipervnculo"/>
          </w:rPr>
          <w:t>STS, Sala Primera, 1453/2025, de 20 de octubre de 2025</w:t>
        </w:r>
      </w:hyperlink>
      <w:r w:rsidR="00FA369D">
        <w:t>. “</w:t>
      </w:r>
      <w:r w:rsidR="00FA369D" w:rsidRPr="00FA369D">
        <w:t>Ley 57/68. Póliza colectiva para garantizar la devolución de las cantidades entregadas a cuenta. Falta de emisión de los certificados individuales. Responsabilidad de la entidad avalista por la totalidad de las cantidades anticipadas por los compradores</w:t>
      </w:r>
      <w:r w:rsidR="00FA369D">
        <w:t xml:space="preserve">”. </w:t>
      </w:r>
    </w:p>
    <w:p w14:paraId="1732769F" w14:textId="2ADA03E0" w:rsidR="00FA369D" w:rsidRPr="001745CC" w:rsidRDefault="00000000" w:rsidP="00FA369D">
      <w:pPr>
        <w:spacing w:after="240"/>
        <w:jc w:val="both"/>
      </w:pPr>
      <w:hyperlink r:id="rId68" w:history="1">
        <w:r w:rsidR="00FA369D" w:rsidRPr="00FA369D">
          <w:rPr>
            <w:rStyle w:val="Hipervnculo"/>
          </w:rPr>
          <w:t>STS, Sala Primera, 1454/2025, de 20 de octubre de 2025</w:t>
        </w:r>
      </w:hyperlink>
      <w:r w:rsidR="00FA369D">
        <w:t>. “</w:t>
      </w:r>
      <w:r w:rsidR="00FA369D" w:rsidRPr="00FA369D">
        <w:t>Ley 57/1968. El banco receptor de los anticipos también responde cuando el incumplimiento de la promotora consiste en no entregar la vivienda libre de cargas como se había obligado</w:t>
      </w:r>
      <w:r w:rsidR="00FA369D">
        <w:t xml:space="preserve">”. </w:t>
      </w:r>
    </w:p>
    <w:p w14:paraId="3A4AFBBB" w14:textId="0CADAD8A" w:rsidR="00CB0FB1" w:rsidRPr="00CB0FB1" w:rsidRDefault="00000000" w:rsidP="00B655CE">
      <w:pPr>
        <w:spacing w:after="240"/>
        <w:jc w:val="both"/>
      </w:pPr>
      <w:hyperlink r:id="rId69" w:history="1">
        <w:r w:rsidR="00CB0FB1" w:rsidRPr="00CB0FB1">
          <w:rPr>
            <w:rStyle w:val="Hipervnculo"/>
          </w:rPr>
          <w:t>STS, Sala Primera, Pleno, 1525/2025, de 30 de octubre de 2025</w:t>
        </w:r>
      </w:hyperlink>
      <w:r w:rsidR="00CB0FB1">
        <w:t>. “</w:t>
      </w:r>
      <w:r w:rsidR="00CB0FB1" w:rsidRPr="00CB0FB1">
        <w:t>Compraventa de vivienda sometida a la Ley 57/1968. Incumplimiento de la obligación de entrada por la promotora. Intereses legales de las cantidades anticipadas en la acción dirigida contra la avalista de la promotora en concurso de acreedores</w:t>
      </w:r>
      <w:r w:rsidR="00CB0FB1">
        <w:t xml:space="preserve">”. </w:t>
      </w:r>
    </w:p>
    <w:p w14:paraId="221AEE5C" w14:textId="74D7551F" w:rsidR="001745CC" w:rsidRDefault="00000000" w:rsidP="00B655CE">
      <w:pPr>
        <w:spacing w:after="240"/>
        <w:jc w:val="both"/>
      </w:pPr>
      <w:hyperlink r:id="rId70" w:history="1">
        <w:r w:rsidR="001745CC" w:rsidRPr="001745CC">
          <w:rPr>
            <w:rStyle w:val="Hipervnculo"/>
          </w:rPr>
          <w:t>STS, Sala Primera, Pleno, 1526/2025, de 30 de octubre de 2025</w:t>
        </w:r>
      </w:hyperlink>
      <w:r w:rsidR="001745CC">
        <w:t>. “</w:t>
      </w:r>
      <w:r w:rsidR="001745CC" w:rsidRPr="001745CC">
        <w:t xml:space="preserve">Ley 57/1968. </w:t>
      </w:r>
      <w:proofErr w:type="spellStart"/>
      <w:r w:rsidR="001745CC" w:rsidRPr="001745CC">
        <w:t>Dies</w:t>
      </w:r>
      <w:proofErr w:type="spellEnd"/>
      <w:r w:rsidR="001745CC" w:rsidRPr="001745CC">
        <w:t xml:space="preserve"> a </w:t>
      </w:r>
      <w:proofErr w:type="spellStart"/>
      <w:r w:rsidR="001745CC" w:rsidRPr="001745CC">
        <w:t>quem</w:t>
      </w:r>
      <w:proofErr w:type="spellEnd"/>
      <w:r w:rsidR="001745CC" w:rsidRPr="001745CC">
        <w:t xml:space="preserve"> de los intereses cuando la </w:t>
      </w:r>
      <w:r w:rsidR="005B7105" w:rsidRPr="001745CC">
        <w:t>responsabilidad</w:t>
      </w:r>
      <w:r w:rsidR="001745CC" w:rsidRPr="001745CC">
        <w:t xml:space="preserve"> incumbe a la entidad avalista en casos en que la promotora ha sido declarada en concurso. El concurso no suspende el devengo, por lo que se seguirán computando hasta su completo pago</w:t>
      </w:r>
      <w:r w:rsidR="001745CC">
        <w:t xml:space="preserve">”. </w:t>
      </w:r>
    </w:p>
    <w:p w14:paraId="4D73DC01" w14:textId="581DCCC2" w:rsidR="00C50480" w:rsidRDefault="00230A51" w:rsidP="00B655CE">
      <w:pPr>
        <w:spacing w:after="240"/>
        <w:jc w:val="both"/>
      </w:pPr>
      <w:hyperlink r:id="rId71" w:history="1">
        <w:r w:rsidRPr="00230A51">
          <w:rPr>
            <w:rStyle w:val="Hipervnculo"/>
          </w:rPr>
          <w:t>STS, Sala Primera, 1869/2025, de 16 de diciembre de 2025</w:t>
        </w:r>
      </w:hyperlink>
      <w:r>
        <w:t>. “</w:t>
      </w:r>
      <w:r w:rsidRPr="00230A51">
        <w:t>Ley 57/1968. Reclamación de cantidad a un comprador por anticipos de viviendas en construcción</w:t>
      </w:r>
      <w:r>
        <w:t xml:space="preserve">”. </w:t>
      </w:r>
    </w:p>
    <w:p w14:paraId="0A4502A0" w14:textId="77777777" w:rsidR="00460131" w:rsidRPr="00B446AD" w:rsidRDefault="00460131" w:rsidP="00460131">
      <w:pPr>
        <w:jc w:val="both"/>
      </w:pPr>
    </w:p>
    <w:p w14:paraId="5A793554" w14:textId="1707935D" w:rsidR="00C50480" w:rsidRDefault="00C50480" w:rsidP="00B655CE">
      <w:pPr>
        <w:spacing w:after="240"/>
        <w:jc w:val="both"/>
        <w:rPr>
          <w:b/>
          <w:bCs/>
        </w:rPr>
      </w:pPr>
      <w:r>
        <w:rPr>
          <w:b/>
          <w:bCs/>
        </w:rPr>
        <w:t>Contratos de aprovechamiento por turno de bienes inmuebles</w:t>
      </w:r>
    </w:p>
    <w:p w14:paraId="28E40092" w14:textId="39948D8D" w:rsidR="001745CC" w:rsidRDefault="00000000" w:rsidP="00B655CE">
      <w:pPr>
        <w:spacing w:after="240"/>
        <w:jc w:val="both"/>
      </w:pPr>
      <w:hyperlink r:id="rId72" w:history="1">
        <w:r w:rsidR="001745CC" w:rsidRPr="001745CC">
          <w:rPr>
            <w:rStyle w:val="Hipervnculo"/>
          </w:rPr>
          <w:t>STS, Sala Primera, Pleno, 1522/2025, de 30 de octubre de 2025</w:t>
        </w:r>
      </w:hyperlink>
      <w:r w:rsidR="001745CC">
        <w:t>. “</w:t>
      </w:r>
      <w:r w:rsidR="001745CC" w:rsidRPr="001745CC">
        <w:t>Ley 42/1998, de 15 de diciembre, sobre derechos de aprovechamiento por turno de bienes inmuebles de uso turístico y normas tributarias. Regímenes preexistentes a la ley. Disposición transitoria 2.ª. Reinterpretación de la doctrina de la Sala</w:t>
      </w:r>
      <w:r w:rsidR="001745CC">
        <w:t xml:space="preserve">”. </w:t>
      </w:r>
    </w:p>
    <w:p w14:paraId="171D1336" w14:textId="547DD497" w:rsidR="001745CC" w:rsidRDefault="00000000" w:rsidP="00B655CE">
      <w:pPr>
        <w:spacing w:after="240"/>
        <w:jc w:val="both"/>
      </w:pPr>
      <w:hyperlink r:id="rId73" w:history="1">
        <w:r w:rsidR="001745CC" w:rsidRPr="001745CC">
          <w:rPr>
            <w:rStyle w:val="Hipervnculo"/>
          </w:rPr>
          <w:t>STS, Sala Primera, Pleno, 1524/2025, de 30 de octubre de 2025</w:t>
        </w:r>
      </w:hyperlink>
      <w:r w:rsidR="001745CC">
        <w:t>. “</w:t>
      </w:r>
      <w:r w:rsidR="001745CC" w:rsidRPr="001745CC">
        <w:t>Ley 42/1998, de 15 de diciembre, sobre derechos de aprovechamiento por turno de bienes inmuebles de uso turístico y normas tributarias. Regímenes preexistentes a la ley. Disposición transitoria 2ª. Reinterpretación de la doctrina de la sala</w:t>
      </w:r>
      <w:r w:rsidR="001745CC">
        <w:t xml:space="preserve">”. </w:t>
      </w:r>
    </w:p>
    <w:p w14:paraId="7A517566" w14:textId="22D63119" w:rsidR="002E325B" w:rsidRPr="001745CC" w:rsidRDefault="002E325B" w:rsidP="00B655CE">
      <w:pPr>
        <w:spacing w:after="240"/>
        <w:jc w:val="both"/>
      </w:pPr>
      <w:hyperlink r:id="rId74" w:history="1">
        <w:r w:rsidRPr="002E325B">
          <w:rPr>
            <w:rStyle w:val="Hipervnculo"/>
          </w:rPr>
          <w:t>STS, Sala Primera, 1676/2025, de 19 de noviembre de 2025</w:t>
        </w:r>
      </w:hyperlink>
      <w:r>
        <w:t>. “</w:t>
      </w:r>
      <w:r w:rsidRPr="002E325B">
        <w:t>Contrato de aprovechamiento por turnos sometido a la Ley 42/1998 y declarado nulo con carácter firme. Pretensión de declaración de vinculación y nulidad del contrato de préstamo</w:t>
      </w:r>
      <w:r>
        <w:t xml:space="preserve">”. </w:t>
      </w:r>
    </w:p>
    <w:p w14:paraId="32B6AF8B" w14:textId="148266EE" w:rsidR="00A10004" w:rsidRDefault="00000000" w:rsidP="00B655CE">
      <w:pPr>
        <w:spacing w:after="240"/>
        <w:jc w:val="both"/>
      </w:pPr>
      <w:hyperlink r:id="rId75" w:history="1">
        <w:r w:rsidR="00C50480" w:rsidRPr="00C50480">
          <w:rPr>
            <w:rStyle w:val="Hipervnculo"/>
          </w:rPr>
          <w:t>STS, Sala Primera, Pleno, 1725/2025, de 26 de noviembre de 2025</w:t>
        </w:r>
      </w:hyperlink>
      <w:r w:rsidR="00C50480">
        <w:t>. “</w:t>
      </w:r>
      <w:r w:rsidR="00C50480" w:rsidRPr="00C50480">
        <w:t>Nulidad de varios contratos de aprovechamiento por turno de bienes inmuebles y la obligación de restituir cantidades pagadas. Falta de competencia de los tribunales españoles</w:t>
      </w:r>
      <w:r w:rsidR="00C50480">
        <w:t xml:space="preserve">”. </w:t>
      </w:r>
    </w:p>
    <w:p w14:paraId="69B371C7" w14:textId="77777777" w:rsidR="00460131" w:rsidRPr="00B446AD" w:rsidRDefault="00460131" w:rsidP="00460131">
      <w:pPr>
        <w:jc w:val="both"/>
      </w:pPr>
    </w:p>
    <w:p w14:paraId="18EDA67F" w14:textId="73FE43BD" w:rsidR="003E062E" w:rsidRDefault="003E062E" w:rsidP="00B655CE">
      <w:pPr>
        <w:spacing w:after="240"/>
        <w:jc w:val="both"/>
        <w:rPr>
          <w:b/>
          <w:bCs/>
        </w:rPr>
      </w:pPr>
      <w:r>
        <w:rPr>
          <w:b/>
          <w:bCs/>
        </w:rPr>
        <w:t>Contrato</w:t>
      </w:r>
      <w:r w:rsidR="00B446AD">
        <w:rPr>
          <w:b/>
          <w:bCs/>
        </w:rPr>
        <w:t>s</w:t>
      </w:r>
      <w:r>
        <w:rPr>
          <w:b/>
          <w:bCs/>
        </w:rPr>
        <w:t xml:space="preserve"> de arrendamiento de protección oficial</w:t>
      </w:r>
    </w:p>
    <w:p w14:paraId="3C7EE315" w14:textId="3C5A3954" w:rsidR="00DE196C" w:rsidRDefault="003E062E" w:rsidP="00B655CE">
      <w:pPr>
        <w:spacing w:after="240"/>
        <w:jc w:val="both"/>
      </w:pPr>
      <w:hyperlink r:id="rId76" w:history="1">
        <w:r w:rsidRPr="003E062E">
          <w:rPr>
            <w:rStyle w:val="Hipervnculo"/>
          </w:rPr>
          <w:t>STS, Sala Primera, 1655/2025, de 18 de noviembre de 2025</w:t>
        </w:r>
      </w:hyperlink>
      <w:r>
        <w:t>. “</w:t>
      </w:r>
      <w:r w:rsidRPr="003E062E">
        <w:t>Contrato de arrendamiento de protección oficial. Enervación de la acción. Repercusión de los gastos de comunidad en la arrendataria. Falta de consignación de las cantidades en plazo por incertidumbre sobre la cuantía. Improcedencia de la resolución</w:t>
      </w:r>
      <w:r>
        <w:t xml:space="preserve">”. </w:t>
      </w:r>
    </w:p>
    <w:p w14:paraId="6C561FE2" w14:textId="77777777" w:rsidR="00460131" w:rsidRDefault="00460131" w:rsidP="00460131">
      <w:pPr>
        <w:jc w:val="both"/>
      </w:pPr>
    </w:p>
    <w:p w14:paraId="5667D4A6" w14:textId="48A9515A" w:rsidR="00DE196C" w:rsidRPr="00B51E48" w:rsidRDefault="00B51E48" w:rsidP="00B655CE">
      <w:pPr>
        <w:spacing w:after="240"/>
        <w:jc w:val="both"/>
        <w:rPr>
          <w:b/>
          <w:bCs/>
        </w:rPr>
      </w:pPr>
      <w:r w:rsidRPr="00B51E48">
        <w:rPr>
          <w:b/>
          <w:bCs/>
        </w:rPr>
        <w:t xml:space="preserve">Contrato de prestación de </w:t>
      </w:r>
      <w:r w:rsidR="00DE196C" w:rsidRPr="00B51E48">
        <w:rPr>
          <w:b/>
          <w:bCs/>
        </w:rPr>
        <w:t>servicios jurídicos. Honorarios</w:t>
      </w:r>
    </w:p>
    <w:p w14:paraId="0DCC4ADB" w14:textId="6EE8C0AF" w:rsidR="003E062E" w:rsidRDefault="00B51E48" w:rsidP="00B655CE">
      <w:pPr>
        <w:spacing w:after="240"/>
        <w:jc w:val="both"/>
      </w:pPr>
      <w:hyperlink r:id="rId77" w:history="1">
        <w:r w:rsidRPr="00B51E48">
          <w:rPr>
            <w:rStyle w:val="Hipervnculo"/>
          </w:rPr>
          <w:t>STS, Sala Primera, 1803/2025, de 9 de diciembre de 2025</w:t>
        </w:r>
      </w:hyperlink>
      <w:r>
        <w:t>. “</w:t>
      </w:r>
      <w:r w:rsidRPr="00B51E48">
        <w:t>Controles de transparencia y abusividad en un contrato verbal de prestación de servicios jurídicos</w:t>
      </w:r>
      <w:r>
        <w:t>”.</w:t>
      </w:r>
    </w:p>
    <w:p w14:paraId="7234F25B" w14:textId="77777777" w:rsidR="00460131" w:rsidRPr="00B446AD" w:rsidRDefault="00460131" w:rsidP="00460131">
      <w:pPr>
        <w:jc w:val="both"/>
      </w:pPr>
    </w:p>
    <w:p w14:paraId="2A8DDC78" w14:textId="5367084F" w:rsidR="00915F2D" w:rsidRPr="005B6AE9" w:rsidRDefault="005B6AE9" w:rsidP="00B655CE">
      <w:pPr>
        <w:spacing w:after="240"/>
        <w:jc w:val="both"/>
        <w:rPr>
          <w:b/>
          <w:bCs/>
        </w:rPr>
      </w:pPr>
      <w:r w:rsidRPr="005B6AE9">
        <w:rPr>
          <w:b/>
          <w:bCs/>
        </w:rPr>
        <w:t>Contratos de transporte aéreo de pasajeros</w:t>
      </w:r>
    </w:p>
    <w:p w14:paraId="35372FA9" w14:textId="2E632319" w:rsidR="00A10004" w:rsidRDefault="00000000" w:rsidP="00B655CE">
      <w:pPr>
        <w:spacing w:after="240"/>
        <w:jc w:val="both"/>
      </w:pPr>
      <w:hyperlink r:id="rId78" w:history="1">
        <w:r w:rsidR="005B6AE9" w:rsidRPr="005B6AE9">
          <w:rPr>
            <w:rStyle w:val="Hipervnculo"/>
          </w:rPr>
          <w:t>STS, Sala Primera, 1374/2025, de 2 de octubre de 2025</w:t>
        </w:r>
      </w:hyperlink>
      <w:r w:rsidR="005B6AE9">
        <w:t>. “</w:t>
      </w:r>
      <w:r w:rsidR="005B6AE9" w:rsidRPr="005B6AE9">
        <w:t xml:space="preserve">Acción colectiva de cesación de condiciones generales de la contratación del contrato de transporte aéreo de pasajeros de la compañía </w:t>
      </w:r>
      <w:proofErr w:type="spellStart"/>
      <w:r w:rsidR="005B6AE9" w:rsidRPr="005B6AE9">
        <w:t>Volotea</w:t>
      </w:r>
      <w:proofErr w:type="spellEnd"/>
      <w:r w:rsidR="005B6AE9">
        <w:t xml:space="preserve">”. </w:t>
      </w:r>
    </w:p>
    <w:p w14:paraId="2C46321A" w14:textId="77777777" w:rsidR="00460131" w:rsidRDefault="00460131" w:rsidP="00460131">
      <w:pPr>
        <w:jc w:val="both"/>
      </w:pPr>
    </w:p>
    <w:p w14:paraId="37E8A3A5" w14:textId="4DC1A4F2" w:rsidR="00A10004" w:rsidRPr="005572BD" w:rsidRDefault="00A10004" w:rsidP="00B655CE">
      <w:pPr>
        <w:spacing w:after="240"/>
        <w:jc w:val="both"/>
        <w:rPr>
          <w:b/>
          <w:bCs/>
        </w:rPr>
      </w:pPr>
      <w:r w:rsidRPr="005572BD">
        <w:rPr>
          <w:b/>
          <w:bCs/>
        </w:rPr>
        <w:t>Prácticas abusivas. Cobro de peaje en autopistas</w:t>
      </w:r>
    </w:p>
    <w:p w14:paraId="3C4CB783" w14:textId="239C78A3" w:rsidR="009B203B" w:rsidRDefault="00000000" w:rsidP="00B655CE">
      <w:pPr>
        <w:spacing w:after="240"/>
        <w:jc w:val="both"/>
      </w:pPr>
      <w:hyperlink r:id="rId79" w:history="1">
        <w:r w:rsidR="00A10004" w:rsidRPr="005572BD">
          <w:rPr>
            <w:rStyle w:val="Hipervnculo"/>
          </w:rPr>
          <w:t xml:space="preserve">STS, Sala Primera, </w:t>
        </w:r>
        <w:r w:rsidR="005572BD" w:rsidRPr="005572BD">
          <w:rPr>
            <w:rStyle w:val="Hipervnculo"/>
          </w:rPr>
          <w:t>1441/2025, de 17 de octubre de 2025</w:t>
        </w:r>
      </w:hyperlink>
      <w:r w:rsidR="005572BD">
        <w:t>. “</w:t>
      </w:r>
      <w:r w:rsidR="005572BD" w:rsidRPr="005572BD">
        <w:t>La abusividad de las prácticas no consentidas expresamente del art. 82.1 TRLGDCU. Relación contractual de los concesionarios de autopistas con los usuarios. Información precontractual y necesaria relevancia de las incidencias en la fluidez del tráfico</w:t>
      </w:r>
      <w:r w:rsidR="005572BD">
        <w:t xml:space="preserve">”. </w:t>
      </w:r>
    </w:p>
    <w:p w14:paraId="44CCC7E7" w14:textId="77777777" w:rsidR="00460131" w:rsidRDefault="00460131" w:rsidP="00460131">
      <w:pPr>
        <w:jc w:val="both"/>
      </w:pPr>
    </w:p>
    <w:p w14:paraId="4B7477CA" w14:textId="6E436688" w:rsidR="009B203B" w:rsidRPr="002E325B" w:rsidRDefault="009B203B" w:rsidP="00B655CE">
      <w:pPr>
        <w:spacing w:after="240"/>
        <w:jc w:val="both"/>
        <w:rPr>
          <w:b/>
          <w:bCs/>
        </w:rPr>
      </w:pPr>
      <w:r w:rsidRPr="002E325B">
        <w:rPr>
          <w:b/>
          <w:bCs/>
        </w:rPr>
        <w:t>Responsabilidad civil</w:t>
      </w:r>
      <w:r w:rsidR="00CE7BE2" w:rsidRPr="002E325B">
        <w:rPr>
          <w:b/>
          <w:bCs/>
        </w:rPr>
        <w:t xml:space="preserve"> por d</w:t>
      </w:r>
      <w:r w:rsidRPr="002E325B">
        <w:rPr>
          <w:b/>
          <w:bCs/>
        </w:rPr>
        <w:t>efectos constructivos</w:t>
      </w:r>
    </w:p>
    <w:p w14:paraId="636C9839" w14:textId="0432BFDA" w:rsidR="002E325B" w:rsidRDefault="00000000" w:rsidP="00B655CE">
      <w:pPr>
        <w:spacing w:after="240"/>
        <w:jc w:val="both"/>
      </w:pPr>
      <w:hyperlink r:id="rId80" w:history="1">
        <w:r w:rsidR="00CE7BE2" w:rsidRPr="00CE7BE2">
          <w:rPr>
            <w:rStyle w:val="Hipervnculo"/>
          </w:rPr>
          <w:t>STS, Sala Primera, 1463/2025, de 21 de octubre de 2025</w:t>
        </w:r>
      </w:hyperlink>
      <w:r w:rsidR="00CE7BE2">
        <w:t>. “</w:t>
      </w:r>
      <w:r w:rsidR="00CE7BE2" w:rsidRPr="00CE7BE2">
        <w:t>Responsabilidad civil derivadas de la Ley de Ordenación de la Edificación. Prescripción de la acción. Solidaridad impropia. Daños continuados y permanentes. Acción contra los arquitectos ejercitada extemporáneamente</w:t>
      </w:r>
      <w:r w:rsidR="00CE7BE2">
        <w:t xml:space="preserve">”. </w:t>
      </w:r>
    </w:p>
    <w:p w14:paraId="29F6B10A" w14:textId="77777777" w:rsidR="00460131" w:rsidRDefault="00460131" w:rsidP="00460131">
      <w:pPr>
        <w:jc w:val="both"/>
      </w:pPr>
    </w:p>
    <w:p w14:paraId="46C3EFCB" w14:textId="2CB29CC1" w:rsidR="002E325B" w:rsidRDefault="002E325B" w:rsidP="00B655CE">
      <w:pPr>
        <w:spacing w:after="240"/>
        <w:jc w:val="both"/>
        <w:rPr>
          <w:b/>
          <w:bCs/>
        </w:rPr>
      </w:pPr>
      <w:r w:rsidRPr="002E325B">
        <w:rPr>
          <w:b/>
          <w:bCs/>
        </w:rPr>
        <w:t>E</w:t>
      </w:r>
      <w:r>
        <w:rPr>
          <w:b/>
          <w:bCs/>
        </w:rPr>
        <w:t>jecución hipotecaria. E</w:t>
      </w:r>
      <w:r w:rsidRPr="002E325B">
        <w:rPr>
          <w:b/>
          <w:bCs/>
        </w:rPr>
        <w:t xml:space="preserve">nriquecimiento injusto en adjudicación de inmueble </w:t>
      </w:r>
    </w:p>
    <w:p w14:paraId="5B345A33" w14:textId="0E73C412" w:rsidR="00DA1020" w:rsidRPr="00DA1020" w:rsidRDefault="00DA1020" w:rsidP="00B655CE">
      <w:pPr>
        <w:spacing w:after="240"/>
        <w:jc w:val="both"/>
      </w:pPr>
      <w:hyperlink r:id="rId81" w:history="1">
        <w:r w:rsidRPr="00DA1020">
          <w:rPr>
            <w:rStyle w:val="Hipervnculo"/>
          </w:rPr>
          <w:t>STS, Sala Primera, 1728/2025, de 26 de noviembre de 2025</w:t>
        </w:r>
      </w:hyperlink>
      <w:r>
        <w:t>. “</w:t>
      </w:r>
      <w:r w:rsidRPr="00DA1020">
        <w:t>Enriquecimiento sin causa. Requisitos. Especialidades para los supuestos de adjudicación al acreedor del inmueble hipotecado en pública subasta por un valor inferior al de tasación. Reiteración de jurisprudencia</w:t>
      </w:r>
      <w:r>
        <w:t xml:space="preserve">”. </w:t>
      </w:r>
    </w:p>
    <w:p w14:paraId="713131F2" w14:textId="0C7A9A4B" w:rsidR="002E325B" w:rsidRPr="00572B2C" w:rsidRDefault="002E325B" w:rsidP="00B655CE">
      <w:pPr>
        <w:spacing w:after="240"/>
        <w:jc w:val="both"/>
      </w:pPr>
      <w:hyperlink r:id="rId82" w:history="1">
        <w:r w:rsidRPr="002E325B">
          <w:rPr>
            <w:rStyle w:val="Hipervnculo"/>
          </w:rPr>
          <w:t>STS, Sala Primera, 1731/2025, de 26 de noviembre de 2025</w:t>
        </w:r>
      </w:hyperlink>
      <w:r>
        <w:t>. “</w:t>
      </w:r>
      <w:r w:rsidRPr="002E325B">
        <w:t>Enriquecimiento sin causa. Requisitos. Especialidades para los supuestos de adjudicación al acreedor del inmueble hipotecado en pública subasta por un valor inferior al de tasación</w:t>
      </w:r>
      <w:r>
        <w:t xml:space="preserve">”. </w:t>
      </w:r>
    </w:p>
    <w:p w14:paraId="5E7E22BD" w14:textId="48C8DF4F" w:rsidR="00451AF4" w:rsidRPr="009A2B29" w:rsidRDefault="00AB23A4" w:rsidP="009A2B29">
      <w:pPr>
        <w:spacing w:after="240"/>
        <w:jc w:val="center"/>
        <w:rPr>
          <w:b/>
          <w:bCs/>
          <w:sz w:val="28"/>
          <w:szCs w:val="28"/>
          <w:highlight w:val="yellow"/>
        </w:rPr>
      </w:pPr>
      <w:r>
        <w:rPr>
          <w:noProof/>
        </w:rPr>
        <w:lastRenderedPageBreak/>
        <w:pict w14:anchorId="26BA0E7D">
          <v:rect id="_x0000_i1026" alt="" style="width:425.2pt;height:.05pt;mso-width-percent:0;mso-height-percent:0;mso-width-percent:0;mso-height-percent:0" o:hralign="center" o:hrstd="t" o:hr="t" fillcolor="#a0a0a0" stroked="f"/>
        </w:pict>
      </w:r>
    </w:p>
    <w:p w14:paraId="46E7A2F4" w14:textId="1B655AFF" w:rsidR="004B3BE8" w:rsidRDefault="004B3BE8" w:rsidP="002C2DB9">
      <w:pPr>
        <w:ind w:right="-1"/>
        <w:jc w:val="both"/>
        <w:rPr>
          <w:bCs/>
          <w:color w:val="000000" w:themeColor="text1"/>
        </w:rPr>
      </w:pPr>
    </w:p>
    <w:p w14:paraId="55385FD4" w14:textId="77777777" w:rsidR="00821C18" w:rsidRDefault="00821C18" w:rsidP="002C2DB9">
      <w:pPr>
        <w:ind w:right="-1"/>
        <w:jc w:val="both"/>
        <w:rPr>
          <w:bCs/>
          <w:color w:val="000000" w:themeColor="text1"/>
        </w:rPr>
      </w:pPr>
    </w:p>
    <w:p w14:paraId="5C72696F" w14:textId="5004AE8B" w:rsidR="004B3BE8" w:rsidRDefault="004B3BE8" w:rsidP="004B3BE8">
      <w:pPr>
        <w:ind w:right="-1"/>
        <w:jc w:val="center"/>
        <w:rPr>
          <w:b/>
          <w:color w:val="000000" w:themeColor="text1"/>
          <w:sz w:val="28"/>
          <w:szCs w:val="28"/>
        </w:rPr>
      </w:pPr>
      <w:r>
        <w:rPr>
          <w:b/>
          <w:color w:val="000000" w:themeColor="text1"/>
          <w:sz w:val="28"/>
          <w:szCs w:val="28"/>
        </w:rPr>
        <w:t>DIRECCIÓN GENERAL DE SEGURIDAD JURÍDICA Y FE PÚBLICA</w:t>
      </w:r>
    </w:p>
    <w:p w14:paraId="5EA8D81F" w14:textId="34CF0CB2" w:rsidR="004C3B8A" w:rsidRDefault="004C3B8A" w:rsidP="004B3BE8">
      <w:pPr>
        <w:ind w:right="-1"/>
        <w:jc w:val="center"/>
        <w:rPr>
          <w:b/>
          <w:color w:val="000000" w:themeColor="text1"/>
          <w:sz w:val="28"/>
          <w:szCs w:val="28"/>
        </w:rPr>
      </w:pPr>
    </w:p>
    <w:p w14:paraId="0626E102" w14:textId="77777777" w:rsidR="001D5284" w:rsidRDefault="001D5284" w:rsidP="004B3BE8">
      <w:pPr>
        <w:ind w:right="-1"/>
        <w:jc w:val="center"/>
        <w:rPr>
          <w:b/>
          <w:color w:val="000000" w:themeColor="text1"/>
          <w:sz w:val="28"/>
          <w:szCs w:val="28"/>
        </w:rPr>
      </w:pPr>
    </w:p>
    <w:p w14:paraId="3BDA244C" w14:textId="4DC5F726" w:rsidR="004B3BE8" w:rsidRPr="001D5284" w:rsidRDefault="001D5284" w:rsidP="001D5284">
      <w:pPr>
        <w:ind w:right="-1"/>
        <w:jc w:val="both"/>
        <w:rPr>
          <w:bCs/>
          <w:color w:val="000000" w:themeColor="text1"/>
        </w:rPr>
      </w:pPr>
      <w:hyperlink r:id="rId83" w:history="1">
        <w:r w:rsidRPr="001D5284">
          <w:rPr>
            <w:rStyle w:val="Hipervnculo"/>
            <w:bCs/>
          </w:rPr>
          <w:t>Resolución de 9 de septiembre de 2025</w:t>
        </w:r>
      </w:hyperlink>
      <w:r w:rsidRPr="001D5284">
        <w:rPr>
          <w:bCs/>
          <w:color w:val="000000" w:themeColor="text1"/>
        </w:rPr>
        <w:t xml:space="preserve">, </w:t>
      </w:r>
      <w:r w:rsidRPr="001D5284">
        <w:rPr>
          <w:bCs/>
          <w:color w:val="000000" w:themeColor="text1"/>
        </w:rPr>
        <w:t>de la Dirección General de Seguridad Jurídica y Fe Pública, en el recurso interpuesto contra la nota de calificación extendida por el registrador de la propiedad de Zaragoza n.º 8, por la que se deniega la inscripción de determinada clausula financiera de comisión</w:t>
      </w:r>
      <w:r w:rsidRPr="001D5284">
        <w:rPr>
          <w:bCs/>
          <w:color w:val="000000" w:themeColor="text1"/>
        </w:rPr>
        <w:t xml:space="preserve"> (</w:t>
      </w:r>
      <w:hyperlink r:id="rId84" w:anchor="526-prestamo-hipotecario-denegacion-de-inscripcion-de-la-comision-por-reclamacion-de-cuotas-impagadas" w:history="1">
        <w:r w:rsidRPr="00B446AD">
          <w:rPr>
            <w:rStyle w:val="Hipervnculo"/>
            <w:bCs/>
          </w:rPr>
          <w:t>en web NN&amp;RR</w:t>
        </w:r>
      </w:hyperlink>
      <w:r w:rsidRPr="001D5284">
        <w:rPr>
          <w:bCs/>
          <w:color w:val="000000" w:themeColor="text1"/>
        </w:rPr>
        <w:t xml:space="preserve">). </w:t>
      </w:r>
    </w:p>
    <w:p w14:paraId="76F4C3C4" w14:textId="36B41B9B" w:rsidR="00F35858" w:rsidRDefault="00F35858" w:rsidP="004B3BE8">
      <w:pPr>
        <w:ind w:right="-1"/>
        <w:jc w:val="center"/>
        <w:rPr>
          <w:b/>
          <w:color w:val="000000" w:themeColor="text1"/>
          <w:sz w:val="16"/>
          <w:szCs w:val="16"/>
        </w:rPr>
      </w:pPr>
    </w:p>
    <w:p w14:paraId="3693EA7E" w14:textId="77777777" w:rsidR="001D5284" w:rsidRPr="00F35858" w:rsidRDefault="001D5284" w:rsidP="004B3BE8">
      <w:pPr>
        <w:ind w:right="-1"/>
        <w:jc w:val="center"/>
        <w:rPr>
          <w:b/>
          <w:color w:val="000000" w:themeColor="text1"/>
          <w:sz w:val="16"/>
          <w:szCs w:val="16"/>
        </w:rPr>
      </w:pPr>
    </w:p>
    <w:p w14:paraId="786A5322" w14:textId="77777777" w:rsidR="00F35858" w:rsidRDefault="00F35858" w:rsidP="00F35858">
      <w:pPr>
        <w:ind w:right="-1"/>
        <w:jc w:val="both"/>
        <w:rPr>
          <w:bCs/>
          <w:color w:val="000000" w:themeColor="text1"/>
        </w:rPr>
      </w:pPr>
    </w:p>
    <w:p w14:paraId="162DA0CE" w14:textId="77777777" w:rsidR="004C3B8A" w:rsidRDefault="004C3B8A" w:rsidP="004B3BE8">
      <w:pPr>
        <w:ind w:right="-1"/>
        <w:jc w:val="both"/>
        <w:rPr>
          <w:bCs/>
          <w:color w:val="000000" w:themeColor="text1"/>
        </w:rPr>
      </w:pPr>
    </w:p>
    <w:p w14:paraId="76F1BEB6" w14:textId="77777777" w:rsidR="004C3B8A" w:rsidRPr="004C3B8A" w:rsidRDefault="004C3B8A" w:rsidP="004B3BE8">
      <w:pPr>
        <w:ind w:right="-1"/>
        <w:jc w:val="both"/>
        <w:rPr>
          <w:bCs/>
          <w:color w:val="000000" w:themeColor="text1"/>
        </w:rPr>
      </w:pPr>
    </w:p>
    <w:p w14:paraId="250B8690" w14:textId="0E28BE5E" w:rsidR="00821C18" w:rsidRDefault="00AB23A4" w:rsidP="004B3BE8">
      <w:pPr>
        <w:ind w:right="-1"/>
        <w:jc w:val="both"/>
        <w:rPr>
          <w:bCs/>
          <w:color w:val="000000" w:themeColor="text1"/>
        </w:rPr>
      </w:pPr>
      <w:r>
        <w:rPr>
          <w:noProof/>
        </w:rPr>
        <w:pict w14:anchorId="230EE9B6">
          <v:rect id="_x0000_i1025" alt="" style="width:425.2pt;height:.05pt;mso-width-percent:0;mso-height-percent:0;mso-width-percent:0;mso-height-percent:0" o:hralign="center" o:hrstd="t" o:hr="t" fillcolor="#a0a0a0" stroked="f"/>
        </w:pict>
      </w:r>
    </w:p>
    <w:p w14:paraId="73BFF145" w14:textId="0E9D9BFC" w:rsidR="00821C18" w:rsidRPr="004B3BE8" w:rsidRDefault="00821C18" w:rsidP="004B3BE8">
      <w:pPr>
        <w:ind w:right="-1"/>
        <w:jc w:val="both"/>
        <w:rPr>
          <w:bCs/>
          <w:color w:val="000000" w:themeColor="text1"/>
        </w:rPr>
      </w:pPr>
      <w:r>
        <w:rPr>
          <w:bCs/>
          <w:color w:val="000000" w:themeColor="text1"/>
        </w:rPr>
        <w:t xml:space="preserve"> </w:t>
      </w:r>
    </w:p>
    <w:sectPr w:rsidR="00821C18" w:rsidRPr="004B3BE8" w:rsidSect="008348BF">
      <w:footerReference w:type="default" r:id="rId85"/>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DE5EB" w14:textId="77777777" w:rsidR="00AB23A4" w:rsidRDefault="00AB23A4" w:rsidP="000562B1">
      <w:r>
        <w:separator/>
      </w:r>
    </w:p>
  </w:endnote>
  <w:endnote w:type="continuationSeparator" w:id="0">
    <w:p w14:paraId="16CB0ECD" w14:textId="77777777" w:rsidR="00AB23A4" w:rsidRDefault="00AB23A4"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1B8BA" w14:textId="77777777" w:rsidR="00AB23A4" w:rsidRDefault="00AB23A4" w:rsidP="000562B1">
      <w:r>
        <w:separator/>
      </w:r>
    </w:p>
  </w:footnote>
  <w:footnote w:type="continuationSeparator" w:id="0">
    <w:p w14:paraId="778FC1BF" w14:textId="77777777" w:rsidR="00AB23A4" w:rsidRDefault="00AB23A4"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01C9C"/>
    <w:rsid w:val="00006585"/>
    <w:rsid w:val="0001261B"/>
    <w:rsid w:val="000132EC"/>
    <w:rsid w:val="000148EA"/>
    <w:rsid w:val="00020F4E"/>
    <w:rsid w:val="0002281F"/>
    <w:rsid w:val="00022DC0"/>
    <w:rsid w:val="00023371"/>
    <w:rsid w:val="00023D79"/>
    <w:rsid w:val="00025F28"/>
    <w:rsid w:val="000260EA"/>
    <w:rsid w:val="000261CD"/>
    <w:rsid w:val="00033A21"/>
    <w:rsid w:val="00033CB2"/>
    <w:rsid w:val="00036BBC"/>
    <w:rsid w:val="00036CB1"/>
    <w:rsid w:val="00037ECF"/>
    <w:rsid w:val="0004481A"/>
    <w:rsid w:val="00045895"/>
    <w:rsid w:val="0004700D"/>
    <w:rsid w:val="00047917"/>
    <w:rsid w:val="000503EC"/>
    <w:rsid w:val="000523A3"/>
    <w:rsid w:val="00054FB7"/>
    <w:rsid w:val="00055DCF"/>
    <w:rsid w:val="000562B1"/>
    <w:rsid w:val="00056D06"/>
    <w:rsid w:val="000630D2"/>
    <w:rsid w:val="00064ADC"/>
    <w:rsid w:val="0006715A"/>
    <w:rsid w:val="000749FA"/>
    <w:rsid w:val="00080E3E"/>
    <w:rsid w:val="000842D0"/>
    <w:rsid w:val="00087618"/>
    <w:rsid w:val="00091C1F"/>
    <w:rsid w:val="00092150"/>
    <w:rsid w:val="00092F2B"/>
    <w:rsid w:val="000A28D2"/>
    <w:rsid w:val="000B0A5D"/>
    <w:rsid w:val="000B5305"/>
    <w:rsid w:val="000C03B5"/>
    <w:rsid w:val="000C1C9A"/>
    <w:rsid w:val="000C29EB"/>
    <w:rsid w:val="000C5244"/>
    <w:rsid w:val="000D2B7E"/>
    <w:rsid w:val="000D30BF"/>
    <w:rsid w:val="000D7986"/>
    <w:rsid w:val="000E09B2"/>
    <w:rsid w:val="000E1594"/>
    <w:rsid w:val="000F1465"/>
    <w:rsid w:val="000F487E"/>
    <w:rsid w:val="000F7FE0"/>
    <w:rsid w:val="001003C3"/>
    <w:rsid w:val="00101146"/>
    <w:rsid w:val="001019C5"/>
    <w:rsid w:val="00101C22"/>
    <w:rsid w:val="00102EA3"/>
    <w:rsid w:val="00104F0A"/>
    <w:rsid w:val="001056D4"/>
    <w:rsid w:val="001174A9"/>
    <w:rsid w:val="001175FF"/>
    <w:rsid w:val="00120D0B"/>
    <w:rsid w:val="0012310A"/>
    <w:rsid w:val="001243F0"/>
    <w:rsid w:val="0012496D"/>
    <w:rsid w:val="001269ED"/>
    <w:rsid w:val="001315E9"/>
    <w:rsid w:val="001332B3"/>
    <w:rsid w:val="00133E4A"/>
    <w:rsid w:val="00134193"/>
    <w:rsid w:val="001342BF"/>
    <w:rsid w:val="001355D9"/>
    <w:rsid w:val="00137D74"/>
    <w:rsid w:val="001426E9"/>
    <w:rsid w:val="001427D2"/>
    <w:rsid w:val="00146B56"/>
    <w:rsid w:val="0015251B"/>
    <w:rsid w:val="00152B3F"/>
    <w:rsid w:val="0016024A"/>
    <w:rsid w:val="00161DEB"/>
    <w:rsid w:val="001630E8"/>
    <w:rsid w:val="00165179"/>
    <w:rsid w:val="001661B9"/>
    <w:rsid w:val="0017035A"/>
    <w:rsid w:val="0017254F"/>
    <w:rsid w:val="001745CC"/>
    <w:rsid w:val="00175C7E"/>
    <w:rsid w:val="00177205"/>
    <w:rsid w:val="00177AEC"/>
    <w:rsid w:val="00181687"/>
    <w:rsid w:val="001832F8"/>
    <w:rsid w:val="00193378"/>
    <w:rsid w:val="0019626A"/>
    <w:rsid w:val="00197F42"/>
    <w:rsid w:val="001A0218"/>
    <w:rsid w:val="001A34D0"/>
    <w:rsid w:val="001A5CEC"/>
    <w:rsid w:val="001A65B0"/>
    <w:rsid w:val="001B39D6"/>
    <w:rsid w:val="001B6469"/>
    <w:rsid w:val="001B66EC"/>
    <w:rsid w:val="001C29AF"/>
    <w:rsid w:val="001C3C1D"/>
    <w:rsid w:val="001C6BB5"/>
    <w:rsid w:val="001C7752"/>
    <w:rsid w:val="001D2A5A"/>
    <w:rsid w:val="001D5284"/>
    <w:rsid w:val="001D599B"/>
    <w:rsid w:val="001E467C"/>
    <w:rsid w:val="001E50D5"/>
    <w:rsid w:val="001E5EE6"/>
    <w:rsid w:val="001E705B"/>
    <w:rsid w:val="00205FBC"/>
    <w:rsid w:val="0021486E"/>
    <w:rsid w:val="00215B27"/>
    <w:rsid w:val="00217CE2"/>
    <w:rsid w:val="002216B5"/>
    <w:rsid w:val="0022401C"/>
    <w:rsid w:val="00226C2F"/>
    <w:rsid w:val="00230A51"/>
    <w:rsid w:val="002321F9"/>
    <w:rsid w:val="00234A10"/>
    <w:rsid w:val="00236E9B"/>
    <w:rsid w:val="0024550F"/>
    <w:rsid w:val="00245669"/>
    <w:rsid w:val="00250FE2"/>
    <w:rsid w:val="002523D3"/>
    <w:rsid w:val="00253626"/>
    <w:rsid w:val="00253F67"/>
    <w:rsid w:val="002578B0"/>
    <w:rsid w:val="002664A5"/>
    <w:rsid w:val="00274E63"/>
    <w:rsid w:val="00277E42"/>
    <w:rsid w:val="0028255D"/>
    <w:rsid w:val="00282C9D"/>
    <w:rsid w:val="002831C1"/>
    <w:rsid w:val="00291147"/>
    <w:rsid w:val="002920B4"/>
    <w:rsid w:val="0029296C"/>
    <w:rsid w:val="0029421E"/>
    <w:rsid w:val="0029550E"/>
    <w:rsid w:val="00295F80"/>
    <w:rsid w:val="002968D2"/>
    <w:rsid w:val="002A11EF"/>
    <w:rsid w:val="002A1C6A"/>
    <w:rsid w:val="002B1E17"/>
    <w:rsid w:val="002B2E72"/>
    <w:rsid w:val="002B3E1B"/>
    <w:rsid w:val="002B7051"/>
    <w:rsid w:val="002B7203"/>
    <w:rsid w:val="002C1D4A"/>
    <w:rsid w:val="002C2DB9"/>
    <w:rsid w:val="002C300B"/>
    <w:rsid w:val="002C3D5D"/>
    <w:rsid w:val="002D39CF"/>
    <w:rsid w:val="002E325B"/>
    <w:rsid w:val="002E4D27"/>
    <w:rsid w:val="003102CA"/>
    <w:rsid w:val="00311C89"/>
    <w:rsid w:val="0031312C"/>
    <w:rsid w:val="00320972"/>
    <w:rsid w:val="0032124C"/>
    <w:rsid w:val="00324CCA"/>
    <w:rsid w:val="00326C94"/>
    <w:rsid w:val="00330ED4"/>
    <w:rsid w:val="00331A7A"/>
    <w:rsid w:val="00332EB9"/>
    <w:rsid w:val="00333940"/>
    <w:rsid w:val="00335937"/>
    <w:rsid w:val="00335C17"/>
    <w:rsid w:val="00350904"/>
    <w:rsid w:val="00354663"/>
    <w:rsid w:val="00361AE5"/>
    <w:rsid w:val="00361DBD"/>
    <w:rsid w:val="003662F8"/>
    <w:rsid w:val="00371B60"/>
    <w:rsid w:val="00374843"/>
    <w:rsid w:val="00375149"/>
    <w:rsid w:val="0038090B"/>
    <w:rsid w:val="003814E9"/>
    <w:rsid w:val="00382342"/>
    <w:rsid w:val="003871CA"/>
    <w:rsid w:val="00390B60"/>
    <w:rsid w:val="00394B3C"/>
    <w:rsid w:val="0039501D"/>
    <w:rsid w:val="003A053C"/>
    <w:rsid w:val="003A75CE"/>
    <w:rsid w:val="003A7DD6"/>
    <w:rsid w:val="003B18F4"/>
    <w:rsid w:val="003B1DBA"/>
    <w:rsid w:val="003B4B7D"/>
    <w:rsid w:val="003B5E26"/>
    <w:rsid w:val="003B64E6"/>
    <w:rsid w:val="003B6A79"/>
    <w:rsid w:val="003C10C7"/>
    <w:rsid w:val="003C3202"/>
    <w:rsid w:val="003C4F44"/>
    <w:rsid w:val="003C7E66"/>
    <w:rsid w:val="003D1215"/>
    <w:rsid w:val="003D146F"/>
    <w:rsid w:val="003D1768"/>
    <w:rsid w:val="003D2EB7"/>
    <w:rsid w:val="003D4582"/>
    <w:rsid w:val="003D575B"/>
    <w:rsid w:val="003D5808"/>
    <w:rsid w:val="003E062E"/>
    <w:rsid w:val="003E0A54"/>
    <w:rsid w:val="003E0E19"/>
    <w:rsid w:val="003E66AA"/>
    <w:rsid w:val="003E79C6"/>
    <w:rsid w:val="003F3C4D"/>
    <w:rsid w:val="003F44BD"/>
    <w:rsid w:val="003F49BB"/>
    <w:rsid w:val="003F4BCA"/>
    <w:rsid w:val="003F5D08"/>
    <w:rsid w:val="003F5DB5"/>
    <w:rsid w:val="00401E34"/>
    <w:rsid w:val="00406207"/>
    <w:rsid w:val="00410FE1"/>
    <w:rsid w:val="004132F9"/>
    <w:rsid w:val="004154E4"/>
    <w:rsid w:val="004158D3"/>
    <w:rsid w:val="004165FA"/>
    <w:rsid w:val="00423257"/>
    <w:rsid w:val="00423FD0"/>
    <w:rsid w:val="00425F18"/>
    <w:rsid w:val="00426FB5"/>
    <w:rsid w:val="00427094"/>
    <w:rsid w:val="00432663"/>
    <w:rsid w:val="00432A9F"/>
    <w:rsid w:val="00440EC2"/>
    <w:rsid w:val="00445746"/>
    <w:rsid w:val="00445A7A"/>
    <w:rsid w:val="004501EC"/>
    <w:rsid w:val="00450241"/>
    <w:rsid w:val="00451AF4"/>
    <w:rsid w:val="0045575C"/>
    <w:rsid w:val="00460131"/>
    <w:rsid w:val="00460642"/>
    <w:rsid w:val="00460A2B"/>
    <w:rsid w:val="0046122C"/>
    <w:rsid w:val="0046521D"/>
    <w:rsid w:val="00466F15"/>
    <w:rsid w:val="00470BF9"/>
    <w:rsid w:val="00474518"/>
    <w:rsid w:val="00474CF6"/>
    <w:rsid w:val="00480480"/>
    <w:rsid w:val="0048273A"/>
    <w:rsid w:val="00493DA0"/>
    <w:rsid w:val="00495CD3"/>
    <w:rsid w:val="00495F36"/>
    <w:rsid w:val="004A1086"/>
    <w:rsid w:val="004A2D44"/>
    <w:rsid w:val="004A67EC"/>
    <w:rsid w:val="004B17F0"/>
    <w:rsid w:val="004B2857"/>
    <w:rsid w:val="004B3BE8"/>
    <w:rsid w:val="004C11CD"/>
    <w:rsid w:val="004C3B8A"/>
    <w:rsid w:val="004C42FE"/>
    <w:rsid w:val="004C499E"/>
    <w:rsid w:val="004C7740"/>
    <w:rsid w:val="004D0941"/>
    <w:rsid w:val="004D3353"/>
    <w:rsid w:val="004D4FDA"/>
    <w:rsid w:val="004D6D64"/>
    <w:rsid w:val="004D794A"/>
    <w:rsid w:val="004E2966"/>
    <w:rsid w:val="004F09FF"/>
    <w:rsid w:val="004F1964"/>
    <w:rsid w:val="004F22AE"/>
    <w:rsid w:val="004F32B8"/>
    <w:rsid w:val="004F443D"/>
    <w:rsid w:val="004F4ACF"/>
    <w:rsid w:val="004F749B"/>
    <w:rsid w:val="005017D3"/>
    <w:rsid w:val="005054E9"/>
    <w:rsid w:val="005058C6"/>
    <w:rsid w:val="0051297C"/>
    <w:rsid w:val="00514DB2"/>
    <w:rsid w:val="00517B2D"/>
    <w:rsid w:val="0052180D"/>
    <w:rsid w:val="0052340C"/>
    <w:rsid w:val="00537598"/>
    <w:rsid w:val="0055001F"/>
    <w:rsid w:val="0055152E"/>
    <w:rsid w:val="005524C4"/>
    <w:rsid w:val="005527B0"/>
    <w:rsid w:val="005527D4"/>
    <w:rsid w:val="00552F70"/>
    <w:rsid w:val="0055648D"/>
    <w:rsid w:val="005572BD"/>
    <w:rsid w:val="005575A8"/>
    <w:rsid w:val="00571521"/>
    <w:rsid w:val="00572B2C"/>
    <w:rsid w:val="00580AD6"/>
    <w:rsid w:val="00582008"/>
    <w:rsid w:val="00585901"/>
    <w:rsid w:val="00585ACA"/>
    <w:rsid w:val="005912A7"/>
    <w:rsid w:val="005939BE"/>
    <w:rsid w:val="00595041"/>
    <w:rsid w:val="005B57B6"/>
    <w:rsid w:val="005B6AE9"/>
    <w:rsid w:val="005B7019"/>
    <w:rsid w:val="005B7105"/>
    <w:rsid w:val="005C04C5"/>
    <w:rsid w:val="005C0A1D"/>
    <w:rsid w:val="005C2229"/>
    <w:rsid w:val="005C3EF5"/>
    <w:rsid w:val="005E322B"/>
    <w:rsid w:val="005E340F"/>
    <w:rsid w:val="005E3F4E"/>
    <w:rsid w:val="005F0DEC"/>
    <w:rsid w:val="005F1DFB"/>
    <w:rsid w:val="005F1ED9"/>
    <w:rsid w:val="005F3600"/>
    <w:rsid w:val="005F3622"/>
    <w:rsid w:val="005F3752"/>
    <w:rsid w:val="005F49E5"/>
    <w:rsid w:val="005F54B3"/>
    <w:rsid w:val="005F7187"/>
    <w:rsid w:val="00610E3B"/>
    <w:rsid w:val="0061376A"/>
    <w:rsid w:val="00613A6D"/>
    <w:rsid w:val="00617D90"/>
    <w:rsid w:val="00621A2B"/>
    <w:rsid w:val="006240C0"/>
    <w:rsid w:val="00625298"/>
    <w:rsid w:val="00626300"/>
    <w:rsid w:val="00630753"/>
    <w:rsid w:val="00631205"/>
    <w:rsid w:val="00633110"/>
    <w:rsid w:val="00633D7E"/>
    <w:rsid w:val="006342AA"/>
    <w:rsid w:val="006355F8"/>
    <w:rsid w:val="006412B7"/>
    <w:rsid w:val="00652A96"/>
    <w:rsid w:val="00653C35"/>
    <w:rsid w:val="00656A1A"/>
    <w:rsid w:val="00656CF1"/>
    <w:rsid w:val="00666C3C"/>
    <w:rsid w:val="00666C7B"/>
    <w:rsid w:val="00671FC1"/>
    <w:rsid w:val="006732D5"/>
    <w:rsid w:val="00673A7C"/>
    <w:rsid w:val="00686929"/>
    <w:rsid w:val="006A016D"/>
    <w:rsid w:val="006A2909"/>
    <w:rsid w:val="006A52C5"/>
    <w:rsid w:val="006A68C8"/>
    <w:rsid w:val="006B09DF"/>
    <w:rsid w:val="006B172C"/>
    <w:rsid w:val="006B54FE"/>
    <w:rsid w:val="006B63EC"/>
    <w:rsid w:val="006B6B86"/>
    <w:rsid w:val="006C0A0E"/>
    <w:rsid w:val="006C3083"/>
    <w:rsid w:val="006C60B0"/>
    <w:rsid w:val="006D40FF"/>
    <w:rsid w:val="006D500E"/>
    <w:rsid w:val="006D64C6"/>
    <w:rsid w:val="006E2037"/>
    <w:rsid w:val="006F0EA9"/>
    <w:rsid w:val="006F1548"/>
    <w:rsid w:val="006F1906"/>
    <w:rsid w:val="006F5993"/>
    <w:rsid w:val="006F5DF5"/>
    <w:rsid w:val="006F7400"/>
    <w:rsid w:val="007002AC"/>
    <w:rsid w:val="007027D5"/>
    <w:rsid w:val="00705FFE"/>
    <w:rsid w:val="00707164"/>
    <w:rsid w:val="00707BBB"/>
    <w:rsid w:val="00710790"/>
    <w:rsid w:val="00711297"/>
    <w:rsid w:val="00715756"/>
    <w:rsid w:val="00716BDF"/>
    <w:rsid w:val="00716C67"/>
    <w:rsid w:val="0071756E"/>
    <w:rsid w:val="00717DF7"/>
    <w:rsid w:val="00720DEF"/>
    <w:rsid w:val="0072347E"/>
    <w:rsid w:val="00723A17"/>
    <w:rsid w:val="007250AF"/>
    <w:rsid w:val="00726A56"/>
    <w:rsid w:val="00726EA9"/>
    <w:rsid w:val="0073215C"/>
    <w:rsid w:val="00743A28"/>
    <w:rsid w:val="00745159"/>
    <w:rsid w:val="00746864"/>
    <w:rsid w:val="00750159"/>
    <w:rsid w:val="00750189"/>
    <w:rsid w:val="00751E61"/>
    <w:rsid w:val="00761202"/>
    <w:rsid w:val="00766984"/>
    <w:rsid w:val="007727FF"/>
    <w:rsid w:val="00773D8D"/>
    <w:rsid w:val="007757FA"/>
    <w:rsid w:val="00777769"/>
    <w:rsid w:val="00777A36"/>
    <w:rsid w:val="00782E3C"/>
    <w:rsid w:val="007831A3"/>
    <w:rsid w:val="00784F6E"/>
    <w:rsid w:val="007876F2"/>
    <w:rsid w:val="00791B67"/>
    <w:rsid w:val="00792BD1"/>
    <w:rsid w:val="00796680"/>
    <w:rsid w:val="007A3A07"/>
    <w:rsid w:val="007A3FFB"/>
    <w:rsid w:val="007A7EB8"/>
    <w:rsid w:val="007B0C81"/>
    <w:rsid w:val="007B22DB"/>
    <w:rsid w:val="007B235C"/>
    <w:rsid w:val="007C21CB"/>
    <w:rsid w:val="007C2FE3"/>
    <w:rsid w:val="007C6552"/>
    <w:rsid w:val="007C7222"/>
    <w:rsid w:val="007C7C81"/>
    <w:rsid w:val="007D6201"/>
    <w:rsid w:val="007D7C6E"/>
    <w:rsid w:val="007E0FAA"/>
    <w:rsid w:val="007F1BA6"/>
    <w:rsid w:val="00802718"/>
    <w:rsid w:val="008047D0"/>
    <w:rsid w:val="00805312"/>
    <w:rsid w:val="008059F7"/>
    <w:rsid w:val="00806B2B"/>
    <w:rsid w:val="00815A4D"/>
    <w:rsid w:val="0081601A"/>
    <w:rsid w:val="00821C18"/>
    <w:rsid w:val="00823AEA"/>
    <w:rsid w:val="008251E3"/>
    <w:rsid w:val="00825E3F"/>
    <w:rsid w:val="008269EF"/>
    <w:rsid w:val="00827C04"/>
    <w:rsid w:val="008348BF"/>
    <w:rsid w:val="00841B55"/>
    <w:rsid w:val="00842B30"/>
    <w:rsid w:val="00846866"/>
    <w:rsid w:val="00847269"/>
    <w:rsid w:val="008502A5"/>
    <w:rsid w:val="00851A41"/>
    <w:rsid w:val="00852BC2"/>
    <w:rsid w:val="0085768E"/>
    <w:rsid w:val="008613A0"/>
    <w:rsid w:val="00861C62"/>
    <w:rsid w:val="00862FE9"/>
    <w:rsid w:val="00864A76"/>
    <w:rsid w:val="00864B11"/>
    <w:rsid w:val="00880188"/>
    <w:rsid w:val="008866B3"/>
    <w:rsid w:val="00891854"/>
    <w:rsid w:val="00891EF7"/>
    <w:rsid w:val="00892A47"/>
    <w:rsid w:val="00896B39"/>
    <w:rsid w:val="008A254E"/>
    <w:rsid w:val="008B032C"/>
    <w:rsid w:val="008B05FC"/>
    <w:rsid w:val="008B3BC5"/>
    <w:rsid w:val="008B5F7C"/>
    <w:rsid w:val="008C279F"/>
    <w:rsid w:val="008C42B1"/>
    <w:rsid w:val="008D2AC3"/>
    <w:rsid w:val="008D369D"/>
    <w:rsid w:val="008D423F"/>
    <w:rsid w:val="008D4ACD"/>
    <w:rsid w:val="008D6849"/>
    <w:rsid w:val="008E1C3A"/>
    <w:rsid w:val="008E2974"/>
    <w:rsid w:val="008E6492"/>
    <w:rsid w:val="008E7FE1"/>
    <w:rsid w:val="008F0C15"/>
    <w:rsid w:val="008F2744"/>
    <w:rsid w:val="008F2A25"/>
    <w:rsid w:val="008F3712"/>
    <w:rsid w:val="008F5D80"/>
    <w:rsid w:val="008F6058"/>
    <w:rsid w:val="008F7E17"/>
    <w:rsid w:val="00901BB9"/>
    <w:rsid w:val="0090408B"/>
    <w:rsid w:val="00904AD1"/>
    <w:rsid w:val="009059BB"/>
    <w:rsid w:val="0090638A"/>
    <w:rsid w:val="00913265"/>
    <w:rsid w:val="00914F9E"/>
    <w:rsid w:val="00915F2D"/>
    <w:rsid w:val="00916F83"/>
    <w:rsid w:val="009226D2"/>
    <w:rsid w:val="00923CBC"/>
    <w:rsid w:val="00927005"/>
    <w:rsid w:val="00930248"/>
    <w:rsid w:val="00931802"/>
    <w:rsid w:val="0093649B"/>
    <w:rsid w:val="00942F1E"/>
    <w:rsid w:val="009432D4"/>
    <w:rsid w:val="009443FB"/>
    <w:rsid w:val="00944EC3"/>
    <w:rsid w:val="009479F9"/>
    <w:rsid w:val="00952BF5"/>
    <w:rsid w:val="00964889"/>
    <w:rsid w:val="009728E7"/>
    <w:rsid w:val="00974521"/>
    <w:rsid w:val="00974842"/>
    <w:rsid w:val="00982BD1"/>
    <w:rsid w:val="009868A9"/>
    <w:rsid w:val="00992538"/>
    <w:rsid w:val="00992FE4"/>
    <w:rsid w:val="0099684C"/>
    <w:rsid w:val="0099775E"/>
    <w:rsid w:val="009A0FDF"/>
    <w:rsid w:val="009A2B29"/>
    <w:rsid w:val="009A3417"/>
    <w:rsid w:val="009A4659"/>
    <w:rsid w:val="009A4EB9"/>
    <w:rsid w:val="009B102D"/>
    <w:rsid w:val="009B105B"/>
    <w:rsid w:val="009B203B"/>
    <w:rsid w:val="009B29A8"/>
    <w:rsid w:val="009B2F45"/>
    <w:rsid w:val="009B7B00"/>
    <w:rsid w:val="009B7D1C"/>
    <w:rsid w:val="009C21C2"/>
    <w:rsid w:val="009C3A9F"/>
    <w:rsid w:val="009C6AF6"/>
    <w:rsid w:val="009D0E82"/>
    <w:rsid w:val="009D7CA7"/>
    <w:rsid w:val="009E6308"/>
    <w:rsid w:val="009E7373"/>
    <w:rsid w:val="009E7932"/>
    <w:rsid w:val="009E7F1B"/>
    <w:rsid w:val="009F6D54"/>
    <w:rsid w:val="009F7D57"/>
    <w:rsid w:val="00A00862"/>
    <w:rsid w:val="00A02EDB"/>
    <w:rsid w:val="00A0441B"/>
    <w:rsid w:val="00A10004"/>
    <w:rsid w:val="00A178D6"/>
    <w:rsid w:val="00A21DDE"/>
    <w:rsid w:val="00A3618A"/>
    <w:rsid w:val="00A41E9E"/>
    <w:rsid w:val="00A535EC"/>
    <w:rsid w:val="00A5491D"/>
    <w:rsid w:val="00A54BAF"/>
    <w:rsid w:val="00A61FD1"/>
    <w:rsid w:val="00A63896"/>
    <w:rsid w:val="00A63F8A"/>
    <w:rsid w:val="00A66B5E"/>
    <w:rsid w:val="00A716E7"/>
    <w:rsid w:val="00A74B3B"/>
    <w:rsid w:val="00A7569C"/>
    <w:rsid w:val="00A8324B"/>
    <w:rsid w:val="00A91B03"/>
    <w:rsid w:val="00A95CE0"/>
    <w:rsid w:val="00A970C5"/>
    <w:rsid w:val="00AA150A"/>
    <w:rsid w:val="00AA4CA8"/>
    <w:rsid w:val="00AB23A4"/>
    <w:rsid w:val="00AB31D0"/>
    <w:rsid w:val="00AC6F75"/>
    <w:rsid w:val="00AD11D1"/>
    <w:rsid w:val="00AD5FB9"/>
    <w:rsid w:val="00AE39AA"/>
    <w:rsid w:val="00AF138B"/>
    <w:rsid w:val="00AF371A"/>
    <w:rsid w:val="00AF4237"/>
    <w:rsid w:val="00AF4B65"/>
    <w:rsid w:val="00B00158"/>
    <w:rsid w:val="00B003A6"/>
    <w:rsid w:val="00B01124"/>
    <w:rsid w:val="00B03532"/>
    <w:rsid w:val="00B0403C"/>
    <w:rsid w:val="00B065EF"/>
    <w:rsid w:val="00B100A1"/>
    <w:rsid w:val="00B102CE"/>
    <w:rsid w:val="00B10541"/>
    <w:rsid w:val="00B1119A"/>
    <w:rsid w:val="00B14838"/>
    <w:rsid w:val="00B25732"/>
    <w:rsid w:val="00B2676E"/>
    <w:rsid w:val="00B270D8"/>
    <w:rsid w:val="00B32AD3"/>
    <w:rsid w:val="00B3342E"/>
    <w:rsid w:val="00B355FC"/>
    <w:rsid w:val="00B3601D"/>
    <w:rsid w:val="00B40032"/>
    <w:rsid w:val="00B41377"/>
    <w:rsid w:val="00B41899"/>
    <w:rsid w:val="00B42623"/>
    <w:rsid w:val="00B44604"/>
    <w:rsid w:val="00B446AD"/>
    <w:rsid w:val="00B46ED6"/>
    <w:rsid w:val="00B51238"/>
    <w:rsid w:val="00B51E48"/>
    <w:rsid w:val="00B532F6"/>
    <w:rsid w:val="00B55B74"/>
    <w:rsid w:val="00B56F8B"/>
    <w:rsid w:val="00B60EA5"/>
    <w:rsid w:val="00B655CE"/>
    <w:rsid w:val="00B670BA"/>
    <w:rsid w:val="00B71B6E"/>
    <w:rsid w:val="00B74082"/>
    <w:rsid w:val="00B74839"/>
    <w:rsid w:val="00B778A0"/>
    <w:rsid w:val="00B917BF"/>
    <w:rsid w:val="00B94B24"/>
    <w:rsid w:val="00BA563E"/>
    <w:rsid w:val="00BA5D21"/>
    <w:rsid w:val="00BB262E"/>
    <w:rsid w:val="00BB3A5B"/>
    <w:rsid w:val="00BC455E"/>
    <w:rsid w:val="00BC48D6"/>
    <w:rsid w:val="00BC7926"/>
    <w:rsid w:val="00BD092B"/>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07EEE"/>
    <w:rsid w:val="00C11CE9"/>
    <w:rsid w:val="00C12370"/>
    <w:rsid w:val="00C14C20"/>
    <w:rsid w:val="00C16506"/>
    <w:rsid w:val="00C172A2"/>
    <w:rsid w:val="00C2237F"/>
    <w:rsid w:val="00C23D6B"/>
    <w:rsid w:val="00C26685"/>
    <w:rsid w:val="00C27300"/>
    <w:rsid w:val="00C275BB"/>
    <w:rsid w:val="00C32AE8"/>
    <w:rsid w:val="00C37702"/>
    <w:rsid w:val="00C37DE5"/>
    <w:rsid w:val="00C418AB"/>
    <w:rsid w:val="00C41A52"/>
    <w:rsid w:val="00C426D9"/>
    <w:rsid w:val="00C44259"/>
    <w:rsid w:val="00C44460"/>
    <w:rsid w:val="00C455E0"/>
    <w:rsid w:val="00C45C39"/>
    <w:rsid w:val="00C476C0"/>
    <w:rsid w:val="00C47765"/>
    <w:rsid w:val="00C50480"/>
    <w:rsid w:val="00C51E9F"/>
    <w:rsid w:val="00C5425C"/>
    <w:rsid w:val="00C5496E"/>
    <w:rsid w:val="00C57D67"/>
    <w:rsid w:val="00C6473C"/>
    <w:rsid w:val="00C6535E"/>
    <w:rsid w:val="00C660D0"/>
    <w:rsid w:val="00C67BF4"/>
    <w:rsid w:val="00C70151"/>
    <w:rsid w:val="00C7021A"/>
    <w:rsid w:val="00C70BDE"/>
    <w:rsid w:val="00C73F06"/>
    <w:rsid w:val="00C755BB"/>
    <w:rsid w:val="00C76461"/>
    <w:rsid w:val="00C77C3C"/>
    <w:rsid w:val="00C84680"/>
    <w:rsid w:val="00C850E3"/>
    <w:rsid w:val="00C85983"/>
    <w:rsid w:val="00C87AA6"/>
    <w:rsid w:val="00C943B2"/>
    <w:rsid w:val="00C967BA"/>
    <w:rsid w:val="00C972C4"/>
    <w:rsid w:val="00C97402"/>
    <w:rsid w:val="00C97832"/>
    <w:rsid w:val="00CA2167"/>
    <w:rsid w:val="00CA6B57"/>
    <w:rsid w:val="00CA73CC"/>
    <w:rsid w:val="00CA7C2A"/>
    <w:rsid w:val="00CB0586"/>
    <w:rsid w:val="00CB0FB1"/>
    <w:rsid w:val="00CB1A93"/>
    <w:rsid w:val="00CB39E0"/>
    <w:rsid w:val="00CB6624"/>
    <w:rsid w:val="00CB6B3B"/>
    <w:rsid w:val="00CB7F0D"/>
    <w:rsid w:val="00CC503E"/>
    <w:rsid w:val="00CC7512"/>
    <w:rsid w:val="00CD1929"/>
    <w:rsid w:val="00CD3213"/>
    <w:rsid w:val="00CD66C6"/>
    <w:rsid w:val="00CE63DC"/>
    <w:rsid w:val="00CE70D4"/>
    <w:rsid w:val="00CE7BE2"/>
    <w:rsid w:val="00CF3866"/>
    <w:rsid w:val="00D03066"/>
    <w:rsid w:val="00D04B7B"/>
    <w:rsid w:val="00D10448"/>
    <w:rsid w:val="00D15501"/>
    <w:rsid w:val="00D22E2A"/>
    <w:rsid w:val="00D26B86"/>
    <w:rsid w:val="00D33275"/>
    <w:rsid w:val="00D332A9"/>
    <w:rsid w:val="00D34672"/>
    <w:rsid w:val="00D35C4A"/>
    <w:rsid w:val="00D364FB"/>
    <w:rsid w:val="00D36C84"/>
    <w:rsid w:val="00D37249"/>
    <w:rsid w:val="00D41835"/>
    <w:rsid w:val="00D42581"/>
    <w:rsid w:val="00D42EAD"/>
    <w:rsid w:val="00D43ECE"/>
    <w:rsid w:val="00D464E6"/>
    <w:rsid w:val="00D46DF1"/>
    <w:rsid w:val="00D47695"/>
    <w:rsid w:val="00D51BFF"/>
    <w:rsid w:val="00D51C35"/>
    <w:rsid w:val="00D637F0"/>
    <w:rsid w:val="00D65C32"/>
    <w:rsid w:val="00D730B6"/>
    <w:rsid w:val="00D74241"/>
    <w:rsid w:val="00D825DF"/>
    <w:rsid w:val="00D827B7"/>
    <w:rsid w:val="00D82DD4"/>
    <w:rsid w:val="00D835ED"/>
    <w:rsid w:val="00D838BF"/>
    <w:rsid w:val="00D864C6"/>
    <w:rsid w:val="00D86C9D"/>
    <w:rsid w:val="00D90A21"/>
    <w:rsid w:val="00DA1020"/>
    <w:rsid w:val="00DA30E6"/>
    <w:rsid w:val="00DA4C0E"/>
    <w:rsid w:val="00DA793D"/>
    <w:rsid w:val="00DB24F9"/>
    <w:rsid w:val="00DB3973"/>
    <w:rsid w:val="00DC14E7"/>
    <w:rsid w:val="00DC326F"/>
    <w:rsid w:val="00DD5D6D"/>
    <w:rsid w:val="00DD73EB"/>
    <w:rsid w:val="00DD7428"/>
    <w:rsid w:val="00DE196C"/>
    <w:rsid w:val="00DE69DB"/>
    <w:rsid w:val="00DE6AA5"/>
    <w:rsid w:val="00DF5469"/>
    <w:rsid w:val="00E005BD"/>
    <w:rsid w:val="00E01210"/>
    <w:rsid w:val="00E017A7"/>
    <w:rsid w:val="00E1167D"/>
    <w:rsid w:val="00E14F4D"/>
    <w:rsid w:val="00E26FAD"/>
    <w:rsid w:val="00E3031C"/>
    <w:rsid w:val="00E3186C"/>
    <w:rsid w:val="00E34339"/>
    <w:rsid w:val="00E35225"/>
    <w:rsid w:val="00E37172"/>
    <w:rsid w:val="00E417BF"/>
    <w:rsid w:val="00E41CFF"/>
    <w:rsid w:val="00E42D53"/>
    <w:rsid w:val="00E500AF"/>
    <w:rsid w:val="00E51E31"/>
    <w:rsid w:val="00E570EA"/>
    <w:rsid w:val="00E612C0"/>
    <w:rsid w:val="00E614AF"/>
    <w:rsid w:val="00E618E3"/>
    <w:rsid w:val="00E64E0E"/>
    <w:rsid w:val="00E66B8F"/>
    <w:rsid w:val="00E67C54"/>
    <w:rsid w:val="00E733D8"/>
    <w:rsid w:val="00E73D4B"/>
    <w:rsid w:val="00E743C1"/>
    <w:rsid w:val="00E74AD9"/>
    <w:rsid w:val="00E750F2"/>
    <w:rsid w:val="00E7533D"/>
    <w:rsid w:val="00E75615"/>
    <w:rsid w:val="00E75818"/>
    <w:rsid w:val="00E76D1E"/>
    <w:rsid w:val="00E77B8A"/>
    <w:rsid w:val="00E80417"/>
    <w:rsid w:val="00E81243"/>
    <w:rsid w:val="00E82D08"/>
    <w:rsid w:val="00E843AB"/>
    <w:rsid w:val="00E84781"/>
    <w:rsid w:val="00E86324"/>
    <w:rsid w:val="00E93BC5"/>
    <w:rsid w:val="00E947D1"/>
    <w:rsid w:val="00EA2756"/>
    <w:rsid w:val="00EA30BA"/>
    <w:rsid w:val="00EB2590"/>
    <w:rsid w:val="00EC0375"/>
    <w:rsid w:val="00EC1131"/>
    <w:rsid w:val="00EC25EC"/>
    <w:rsid w:val="00EC2CA3"/>
    <w:rsid w:val="00ED0DDE"/>
    <w:rsid w:val="00ED1B85"/>
    <w:rsid w:val="00ED39CC"/>
    <w:rsid w:val="00ED414B"/>
    <w:rsid w:val="00ED63FB"/>
    <w:rsid w:val="00EE05FD"/>
    <w:rsid w:val="00EE3418"/>
    <w:rsid w:val="00EE457D"/>
    <w:rsid w:val="00EE78CA"/>
    <w:rsid w:val="00EF0B8C"/>
    <w:rsid w:val="00EF0F88"/>
    <w:rsid w:val="00EF1BE0"/>
    <w:rsid w:val="00F01CAD"/>
    <w:rsid w:val="00F023AC"/>
    <w:rsid w:val="00F1056F"/>
    <w:rsid w:val="00F12096"/>
    <w:rsid w:val="00F2000E"/>
    <w:rsid w:val="00F2361C"/>
    <w:rsid w:val="00F267FE"/>
    <w:rsid w:val="00F314D1"/>
    <w:rsid w:val="00F334A1"/>
    <w:rsid w:val="00F35858"/>
    <w:rsid w:val="00F53917"/>
    <w:rsid w:val="00F5658C"/>
    <w:rsid w:val="00F60701"/>
    <w:rsid w:val="00F63687"/>
    <w:rsid w:val="00F706AC"/>
    <w:rsid w:val="00F7142B"/>
    <w:rsid w:val="00F722CD"/>
    <w:rsid w:val="00F732B7"/>
    <w:rsid w:val="00F767C8"/>
    <w:rsid w:val="00F817A4"/>
    <w:rsid w:val="00F827FD"/>
    <w:rsid w:val="00F864A8"/>
    <w:rsid w:val="00F90AAE"/>
    <w:rsid w:val="00F9146F"/>
    <w:rsid w:val="00F94598"/>
    <w:rsid w:val="00F9647C"/>
    <w:rsid w:val="00F9663B"/>
    <w:rsid w:val="00F96DCE"/>
    <w:rsid w:val="00FA31BA"/>
    <w:rsid w:val="00FA369D"/>
    <w:rsid w:val="00FA3DA2"/>
    <w:rsid w:val="00FA5B37"/>
    <w:rsid w:val="00FA6A80"/>
    <w:rsid w:val="00FA6DED"/>
    <w:rsid w:val="00FB58B2"/>
    <w:rsid w:val="00FC1DFB"/>
    <w:rsid w:val="00FC250F"/>
    <w:rsid w:val="00FD27A5"/>
    <w:rsid w:val="00FD2D7E"/>
    <w:rsid w:val="00FD3527"/>
    <w:rsid w:val="00FD4C76"/>
    <w:rsid w:val="00FD62D1"/>
    <w:rsid w:val="00FD6383"/>
    <w:rsid w:val="00FE1C16"/>
    <w:rsid w:val="00FE1D5C"/>
    <w:rsid w:val="00FE5F96"/>
    <w:rsid w:val="00FF006E"/>
    <w:rsid w:val="00FF40B5"/>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93940625">
      <w:bodyDiv w:val="1"/>
      <w:marLeft w:val="0"/>
      <w:marRight w:val="0"/>
      <w:marTop w:val="0"/>
      <w:marBottom w:val="0"/>
      <w:divBdr>
        <w:top w:val="none" w:sz="0" w:space="0" w:color="auto"/>
        <w:left w:val="none" w:sz="0" w:space="0" w:color="auto"/>
        <w:bottom w:val="none" w:sz="0" w:space="0" w:color="auto"/>
        <w:right w:val="none" w:sz="0" w:space="0" w:color="auto"/>
      </w:divBdr>
      <w:divsChild>
        <w:div w:id="1430078842">
          <w:marLeft w:val="0"/>
          <w:marRight w:val="0"/>
          <w:marTop w:val="0"/>
          <w:marBottom w:val="0"/>
          <w:divBdr>
            <w:top w:val="none" w:sz="0" w:space="0" w:color="auto"/>
            <w:left w:val="none" w:sz="0" w:space="0" w:color="auto"/>
            <w:bottom w:val="none" w:sz="0" w:space="0" w:color="auto"/>
            <w:right w:val="none" w:sz="0" w:space="0" w:color="auto"/>
          </w:divBdr>
          <w:divsChild>
            <w:div w:id="65299148">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52979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37564252">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150336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43345415">
      <w:bodyDiv w:val="1"/>
      <w:marLeft w:val="0"/>
      <w:marRight w:val="0"/>
      <w:marTop w:val="0"/>
      <w:marBottom w:val="0"/>
      <w:divBdr>
        <w:top w:val="none" w:sz="0" w:space="0" w:color="auto"/>
        <w:left w:val="none" w:sz="0" w:space="0" w:color="auto"/>
        <w:bottom w:val="none" w:sz="0" w:space="0" w:color="auto"/>
        <w:right w:val="none" w:sz="0" w:space="0" w:color="auto"/>
      </w:divBdr>
      <w:divsChild>
        <w:div w:id="642345372">
          <w:marLeft w:val="0"/>
          <w:marRight w:val="0"/>
          <w:marTop w:val="0"/>
          <w:marBottom w:val="0"/>
          <w:divBdr>
            <w:top w:val="none" w:sz="0" w:space="0" w:color="auto"/>
            <w:left w:val="none" w:sz="0" w:space="0" w:color="auto"/>
            <w:bottom w:val="none" w:sz="0" w:space="0" w:color="auto"/>
            <w:right w:val="none" w:sz="0" w:space="0" w:color="auto"/>
          </w:divBdr>
          <w:divsChild>
            <w:div w:id="1739471240">
              <w:marLeft w:val="0"/>
              <w:marRight w:val="0"/>
              <w:marTop w:val="0"/>
              <w:marBottom w:val="0"/>
              <w:divBdr>
                <w:top w:val="none" w:sz="0" w:space="0" w:color="auto"/>
                <w:left w:val="none" w:sz="0" w:space="0" w:color="auto"/>
                <w:bottom w:val="none" w:sz="0" w:space="0" w:color="auto"/>
                <w:right w:val="none" w:sz="0" w:space="0" w:color="auto"/>
              </w:divBdr>
              <w:divsChild>
                <w:div w:id="929704872">
                  <w:marLeft w:val="0"/>
                  <w:marRight w:val="0"/>
                  <w:marTop w:val="0"/>
                  <w:marBottom w:val="0"/>
                  <w:divBdr>
                    <w:top w:val="none" w:sz="0" w:space="0" w:color="auto"/>
                    <w:left w:val="none" w:sz="0" w:space="0" w:color="auto"/>
                    <w:bottom w:val="none" w:sz="0" w:space="0" w:color="auto"/>
                    <w:right w:val="none" w:sz="0" w:space="0" w:color="auto"/>
                  </w:divBdr>
                  <w:divsChild>
                    <w:div w:id="5942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89352561">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0257502">
      <w:bodyDiv w:val="1"/>
      <w:marLeft w:val="0"/>
      <w:marRight w:val="0"/>
      <w:marTop w:val="0"/>
      <w:marBottom w:val="0"/>
      <w:divBdr>
        <w:top w:val="none" w:sz="0" w:space="0" w:color="auto"/>
        <w:left w:val="none" w:sz="0" w:space="0" w:color="auto"/>
        <w:bottom w:val="none" w:sz="0" w:space="0" w:color="auto"/>
        <w:right w:val="none" w:sz="0" w:space="0" w:color="auto"/>
      </w:divBdr>
      <w:divsChild>
        <w:div w:id="6493121">
          <w:marLeft w:val="0"/>
          <w:marRight w:val="0"/>
          <w:marTop w:val="0"/>
          <w:marBottom w:val="0"/>
          <w:divBdr>
            <w:top w:val="none" w:sz="0" w:space="0" w:color="auto"/>
            <w:left w:val="none" w:sz="0" w:space="0" w:color="auto"/>
            <w:bottom w:val="none" w:sz="0" w:space="0" w:color="auto"/>
            <w:right w:val="none" w:sz="0" w:space="0" w:color="auto"/>
          </w:divBdr>
          <w:divsChild>
            <w:div w:id="953905844">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70613759">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51832890">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613df4d57ce4f978a0a8778d75e36f0d/20251229" TargetMode="External"/><Relationship Id="rId21" Type="http://schemas.openxmlformats.org/officeDocument/2006/relationships/hyperlink" Target="https://www.poderjudicial.es/search/AN/openDocument/14fbac6433318597a0a8778d75e36f0d/20251030" TargetMode="External"/><Relationship Id="rId42" Type="http://schemas.openxmlformats.org/officeDocument/2006/relationships/hyperlink" Target="https://www.poderjudicial.es/search/AN/openDocument/0991aa1d210cb0eea0a8778d75e36f0d/20251017" TargetMode="External"/><Relationship Id="rId47" Type="http://schemas.openxmlformats.org/officeDocument/2006/relationships/hyperlink" Target="https://www.poderjudicial.es/search/AN/openDocument/bb133e7287030478a0a8778d75e36f0d/20251113" TargetMode="External"/><Relationship Id="rId63" Type="http://schemas.openxmlformats.org/officeDocument/2006/relationships/hyperlink" Target="https://www.poderjudicial.es/search/AN/openDocument/be5b582b83605c94a0a8778d75e36f0d/20251204" TargetMode="External"/><Relationship Id="rId68" Type="http://schemas.openxmlformats.org/officeDocument/2006/relationships/hyperlink" Target="https://www.poderjudicial.es/search/AN/openDocument/9715bbb6dd98e5cca0a8778d75e36f0d/20251030" TargetMode="External"/><Relationship Id="rId84" Type="http://schemas.openxmlformats.org/officeDocument/2006/relationships/hyperlink" Target="https://www.notariosyregistradores.com/web/resoluciones/por-meses/resoluciones-diciembre-2025-direccion-general-de-seguridad-juridica-y-fe-publica/" TargetMode="External"/><Relationship Id="rId16" Type="http://schemas.openxmlformats.org/officeDocument/2006/relationships/hyperlink" Target="https://infocuria.curia.europa.eu/tabs/jurisprudence?lang=ES&amp;sort=DOC_DATE-ASC&amp;juridiction=C&amp;typedoc=ARRET&amp;matiere=CONS&amp;doc-date-start=2025-10-01&amp;doc-date-end=2026-01-01" TargetMode="External"/><Relationship Id="rId11" Type="http://schemas.openxmlformats.org/officeDocument/2006/relationships/hyperlink" Target="https://eur-lex.europa.eu/legal-content/ES/TXT/PDF/?uri=CELEX:62023CJ0143" TargetMode="External"/><Relationship Id="rId32" Type="http://schemas.openxmlformats.org/officeDocument/2006/relationships/hyperlink" Target="https://www.poderjudicial.es/search/AN/openDocument/f9e2e7fa2274a7aaa0a8778d75e36f0d/20251229" TargetMode="External"/><Relationship Id="rId37" Type="http://schemas.openxmlformats.org/officeDocument/2006/relationships/hyperlink" Target="https://www.poderjudicial.es/search/AN/openDocument/fb016d36660f1e86a0a8778d75e36f0d/20260108" TargetMode="External"/><Relationship Id="rId53" Type="http://schemas.openxmlformats.org/officeDocument/2006/relationships/hyperlink" Target="https://www.poderjudicial.es/search/AN/openDocument/2b2bba54dc6b654ca0a8778d75e36f0d/20251209" TargetMode="External"/><Relationship Id="rId58" Type="http://schemas.openxmlformats.org/officeDocument/2006/relationships/hyperlink" Target="https://www.poderjudicial.es/search/AN/openDocument/4224b265db6d32fca0a8778d75e36f0d/20251212" TargetMode="External"/><Relationship Id="rId74" Type="http://schemas.openxmlformats.org/officeDocument/2006/relationships/hyperlink" Target="https://www.poderjudicial.es/search/AN/openDocument/8e35c2ef1238e674a0a8778d75e36f0d/20251204" TargetMode="External"/><Relationship Id="rId79" Type="http://schemas.openxmlformats.org/officeDocument/2006/relationships/hyperlink" Target="https://www.poderjudicial.es/search/AN/openDocument/c10a57825d64d7f7a0a8778d75e36f0d/20251030" TargetMode="External"/><Relationship Id="rId5" Type="http://schemas.openxmlformats.org/officeDocument/2006/relationships/webSettings" Target="webSettings.xml"/><Relationship Id="rId19" Type="http://schemas.openxmlformats.org/officeDocument/2006/relationships/hyperlink" Target="https://www.poderjudicial.es/search/AN/openDocument/042a1c99c204b752a0a8778d75e36f0d/20251030" TargetMode="External"/><Relationship Id="rId14" Type="http://schemas.openxmlformats.org/officeDocument/2006/relationships/hyperlink" Target="https://eur-lex.europa.eu/legal-content/ES/TXT/PDF/?uri=CELEX:62024CJ0746" TargetMode="External"/><Relationship Id="rId22" Type="http://schemas.openxmlformats.org/officeDocument/2006/relationships/hyperlink" Target="https://www.poderjudicial.es/search/AN/openDocument/198ad61746b9bc14a0a8778d75e36f0d/20251030" TargetMode="External"/><Relationship Id="rId27" Type="http://schemas.openxmlformats.org/officeDocument/2006/relationships/hyperlink" Target="https://www.poderjudicial.es/search/AN/openDocument/6efe68446e532460a0a8778d75e36f0d/20260108" TargetMode="External"/><Relationship Id="rId30" Type="http://schemas.openxmlformats.org/officeDocument/2006/relationships/hyperlink" Target="https://www.poderjudicial.es/search/AN/openDocument/1170c0f8a826ca37a0a8778d75e36f0d/20251229" TargetMode="External"/><Relationship Id="rId35" Type="http://schemas.openxmlformats.org/officeDocument/2006/relationships/hyperlink" Target="https://www.poderjudicial.es/search/AN/openDocument/6271afb7519392a2a0a8778d75e36f0d/20251127" TargetMode="External"/><Relationship Id="rId43" Type="http://schemas.openxmlformats.org/officeDocument/2006/relationships/hyperlink" Target="https://www.poderjudicial.es/search/AN/openDocument/a853e4a8738c8e56a0a8778d75e36f0d/20251017" TargetMode="External"/><Relationship Id="rId48" Type="http://schemas.openxmlformats.org/officeDocument/2006/relationships/hyperlink" Target="https://www.poderjudicial.es/search/AN/openDocument/b608250cb35c3d46a0a8778d75e36f0d/20251127" TargetMode="External"/><Relationship Id="rId56" Type="http://schemas.openxmlformats.org/officeDocument/2006/relationships/hyperlink" Target="https://www.poderjudicial.es/search/AN/openDocument/0723a08ece9f4476a0a8778d75e36f0d/20251204" TargetMode="External"/><Relationship Id="rId64" Type="http://schemas.openxmlformats.org/officeDocument/2006/relationships/hyperlink" Target="https://www.poderjudicial.es/search/AN/openDocument/7257e477c471e0f4a0a8778d75e36f0d/20251205" TargetMode="External"/><Relationship Id="rId69" Type="http://schemas.openxmlformats.org/officeDocument/2006/relationships/hyperlink" Target="https://www.poderjudicial.es/search/AN/openDocument/8e04ad7a3e688635a0a8778d75e36f0d/20251107" TargetMode="External"/><Relationship Id="rId77" Type="http://schemas.openxmlformats.org/officeDocument/2006/relationships/hyperlink" Target="https://www.poderjudicial.es/search/AN/openDocument/a27c45518d6ea8d8a0a8778d75e36f0d/20251218" TargetMode="External"/><Relationship Id="rId8" Type="http://schemas.openxmlformats.org/officeDocument/2006/relationships/image" Target="media/image1.png"/><Relationship Id="rId51" Type="http://schemas.openxmlformats.org/officeDocument/2006/relationships/hyperlink" Target="https://www.poderjudicial.es/search/AN/openDocument/056a9124ffdd0043a0a8778d75e36f0d/20251113" TargetMode="External"/><Relationship Id="rId72" Type="http://schemas.openxmlformats.org/officeDocument/2006/relationships/hyperlink" Target="https://www.poderjudicial.es/search/AN/openDocument/3e0573ba36be95fba0a8778d75e36f0d/20251107" TargetMode="External"/><Relationship Id="rId80" Type="http://schemas.openxmlformats.org/officeDocument/2006/relationships/hyperlink" Target="https://www.poderjudicial.es/search/AN/openDocument/dd3de1c7acb95d7fa0a8778d75e36f0d/20251030"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ur-lex.europa.eu/legal-content/ES/TXT/PDF/?uri=CELEX:62024CJ0197" TargetMode="External"/><Relationship Id="rId17" Type="http://schemas.openxmlformats.org/officeDocument/2006/relationships/hyperlink" Target="https://infocuria.curia.europa.eu/tabs/jurisprudence?lang=ES&amp;sort=DOC_DATE-ASC&amp;juridiction=C&amp;typedoc=ARRET&amp;matiere=CONS&amp;doc-date-start=2025-10-01&amp;doc-date-end=2026-01-01" TargetMode="External"/><Relationship Id="rId25" Type="http://schemas.openxmlformats.org/officeDocument/2006/relationships/hyperlink" Target="https://www.poderjudicial.es/search/AN/openDocument/a72e4c8aee1fd99ca0a8778d75e36f0d/20251204" TargetMode="External"/><Relationship Id="rId33" Type="http://schemas.openxmlformats.org/officeDocument/2006/relationships/hyperlink" Target="https://www.poderjudicial.es/search/AN/openDocument/d12a29802fb5e37ea0a8778d75e36f0d/20260108" TargetMode="External"/><Relationship Id="rId38" Type="http://schemas.openxmlformats.org/officeDocument/2006/relationships/hyperlink" Target="https://www.poderjudicial.es/search/AN/openDocument/585a8a11ddab3b76a0a8778d75e36f0d/20260108" TargetMode="External"/><Relationship Id="rId46" Type="http://schemas.openxmlformats.org/officeDocument/2006/relationships/hyperlink" Target="https://www.poderjudicial.es/search/AN/openDocument/ed402a5931c68a3ca0a8778d75e36f0d/20251106" TargetMode="External"/><Relationship Id="rId59" Type="http://schemas.openxmlformats.org/officeDocument/2006/relationships/hyperlink" Target="https://www.poderjudicial.es/search/AN/openDocument/9b30245806d07e0ea0a8778d75e36f0d/20251212" TargetMode="External"/><Relationship Id="rId67" Type="http://schemas.openxmlformats.org/officeDocument/2006/relationships/hyperlink" Target="https://www.poderjudicial.es/search/AN/openDocument/17226828233c0bcaa0a8778d75e36f0d/20251030" TargetMode="External"/><Relationship Id="rId20" Type="http://schemas.openxmlformats.org/officeDocument/2006/relationships/hyperlink" Target="https://www.poderjudicial.es/search/AN/openDocument/205ae83952d09742a0a8778d75e36f0d/20251030" TargetMode="External"/><Relationship Id="rId41" Type="http://schemas.openxmlformats.org/officeDocument/2006/relationships/hyperlink" Target="https://www.poderjudicial.es/search/AN/openDocument/f4c32d68d13cf0a9a0a8778d75e36f0d/20251017" TargetMode="External"/><Relationship Id="rId54" Type="http://schemas.openxmlformats.org/officeDocument/2006/relationships/hyperlink" Target="https://www.poderjudicial.es/search/AN/openDocument/d51f28affc9dfad5a0a8778d75e36f0d/20260108" TargetMode="External"/><Relationship Id="rId62" Type="http://schemas.openxmlformats.org/officeDocument/2006/relationships/hyperlink" Target="https://www.poderjudicial.es/search/AN/openDocument/c91e2abaeeb517e7a0a8778d75e36f0d/20251204" TargetMode="External"/><Relationship Id="rId70" Type="http://schemas.openxmlformats.org/officeDocument/2006/relationships/hyperlink" Target="https://www.poderjudicial.es/search/AN/openDocument/db31e31097789af5a0a8778d75e36f0d/20251107" TargetMode="External"/><Relationship Id="rId75" Type="http://schemas.openxmlformats.org/officeDocument/2006/relationships/hyperlink" Target="https://www.poderjudicial.es/search/AN/openDocument/958abaa7775cd34aa0a8778d75e36f0d/20251205" TargetMode="External"/><Relationship Id="rId83" Type="http://schemas.openxmlformats.org/officeDocument/2006/relationships/hyperlink" Target="https://www.boe.es/buscar/doc.php?id=BOE-A-2025-2534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focuria.curia.europa.eu/tabs/jurisprudence?lang=ES&amp;sort=DOC_DATE-ASC&amp;juridiction=C&amp;typedoc=ARRET&amp;matiere=CONS&amp;doc-date-start=2025-10-01&amp;doc-date-end=2026-01-01" TargetMode="External"/><Relationship Id="rId23" Type="http://schemas.openxmlformats.org/officeDocument/2006/relationships/hyperlink" Target="https://www.poderjudicial.es/search/AN/openDocument/85339058373f395ea0a8778d75e36f0d/20251106" TargetMode="External"/><Relationship Id="rId28" Type="http://schemas.openxmlformats.org/officeDocument/2006/relationships/hyperlink" Target="https://www.poderjudicial.es/search/AN/openDocument/5e88cf694d3e2d3ca0a8778d75e36f0d/20251120" TargetMode="External"/><Relationship Id="rId36" Type="http://schemas.openxmlformats.org/officeDocument/2006/relationships/hyperlink" Target="https://www.poderjudicial.es/search/AN/openDocument/9628b007aebc59cfa0a8778d75e36f0d/20251211" TargetMode="External"/><Relationship Id="rId49" Type="http://schemas.openxmlformats.org/officeDocument/2006/relationships/hyperlink" Target="https://www.poderjudicial.es/search/AN/openDocument/8e0edc562dbbb9eca0a8778d75e36f0d/20251205" TargetMode="External"/><Relationship Id="rId57" Type="http://schemas.openxmlformats.org/officeDocument/2006/relationships/hyperlink" Target="https://www.poderjudicial.es/search/AN/openDocument/d99a97a354085c1ba0a8778d75e36f0d/20251212" TargetMode="External"/><Relationship Id="rId10" Type="http://schemas.openxmlformats.org/officeDocument/2006/relationships/hyperlink" Target="https://eur-lex.europa.eu/legal-content/ES/TXT/PDF/?uri=CELEX:62024CJ0469" TargetMode="External"/><Relationship Id="rId31" Type="http://schemas.openxmlformats.org/officeDocument/2006/relationships/hyperlink" Target="https://www.poderjudicial.es/search/AN/openDocument/49facb9e14587d97a0a8778d75e36f0d/20251229" TargetMode="External"/><Relationship Id="rId44" Type="http://schemas.openxmlformats.org/officeDocument/2006/relationships/hyperlink" Target="https://www.poderjudicial.es/search/AN/openDocument/d971e85a396332fda0a8778d75e36f0d/20251024" TargetMode="External"/><Relationship Id="rId52" Type="http://schemas.openxmlformats.org/officeDocument/2006/relationships/hyperlink" Target="https://www.poderjudicial.es/search/AN/openDocument/ef86f8b311c3d67ca0a8778d75e36f0d/20251113" TargetMode="External"/><Relationship Id="rId60" Type="http://schemas.openxmlformats.org/officeDocument/2006/relationships/hyperlink" Target="https://www.poderjudicial.es/search/AN/openDocument/6705640236bb629fa0a8778d75e36f0d/20251205" TargetMode="External"/><Relationship Id="rId65" Type="http://schemas.openxmlformats.org/officeDocument/2006/relationships/hyperlink" Target="https://www.poderjudicial.es/search/AN/openDocument/bbe2ea06d6743a92a0a8778d75e36f0d/20251204" TargetMode="External"/><Relationship Id="rId73" Type="http://schemas.openxmlformats.org/officeDocument/2006/relationships/hyperlink" Target="https://www.poderjudicial.es/search/AN/openDocument/ff2743b1b513325fa0a8778d75e36f0d/20251107" TargetMode="External"/><Relationship Id="rId78" Type="http://schemas.openxmlformats.org/officeDocument/2006/relationships/hyperlink" Target="https://www.poderjudicial.es/search/AN/openDocument/b2fa3f2716a1e43ba0a8778d75e36f0d/20251017" TargetMode="External"/><Relationship Id="rId81" Type="http://schemas.openxmlformats.org/officeDocument/2006/relationships/hyperlink" Target="https://www.poderjudicial.es/search/AN/openDocument/473f3a60e92b07c7a0a8778d75e36f0d/20251211"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r-lex.europa.eu/legal-content/ES/TXT/PDF/?uri=CELEX:62024CJ0080" TargetMode="External"/><Relationship Id="rId13" Type="http://schemas.openxmlformats.org/officeDocument/2006/relationships/hyperlink" Target="https://eur-lex.europa.eu/legal-content/ES/TXT/PDF/?uri=CELEX:62024CJ0509" TargetMode="External"/><Relationship Id="rId18" Type="http://schemas.openxmlformats.org/officeDocument/2006/relationships/hyperlink" Target="https://www.poderjudicial.es/search/AN/openDocument/c49c10161804c317a0a8778d75e36f0d/20240229" TargetMode="External"/><Relationship Id="rId39" Type="http://schemas.openxmlformats.org/officeDocument/2006/relationships/hyperlink" Target="https://www.poderjudicial.es/search/AN/openDocument/ff415d56bf856139a0a8778d75e36f0d/20251127" TargetMode="External"/><Relationship Id="rId34" Type="http://schemas.openxmlformats.org/officeDocument/2006/relationships/hyperlink" Target="https://www.poderjudicial.es/search/AN/openDocument/7185625a9f66a243a0a8778d75e36f0d/20251017" TargetMode="External"/><Relationship Id="rId50" Type="http://schemas.openxmlformats.org/officeDocument/2006/relationships/hyperlink" Target="https://www.poderjudicial.es/search/AN/openDocument/da63ae83091fb8fea0a8778d75e36f0d/20251205" TargetMode="External"/><Relationship Id="rId55" Type="http://schemas.openxmlformats.org/officeDocument/2006/relationships/hyperlink" Target="https://www.poderjudicial.es/search/AN/openDocument/a9f41a7f8c74d1dda0a8778d75e36f0d/20251120" TargetMode="External"/><Relationship Id="rId76" Type="http://schemas.openxmlformats.org/officeDocument/2006/relationships/hyperlink" Target="https://www.poderjudicial.es/search/AN/openDocument/ed61e9c0fad38259a0a8778d75e36f0d/20251204" TargetMode="External"/><Relationship Id="rId7" Type="http://schemas.openxmlformats.org/officeDocument/2006/relationships/endnotes" Target="endnotes.xml"/><Relationship Id="rId71" Type="http://schemas.openxmlformats.org/officeDocument/2006/relationships/hyperlink" Target="https://www.poderjudicial.es/search/AN/openDocument/e92a2f88e4981775a0a8778d75e36f0d/20251229" TargetMode="External"/><Relationship Id="rId2" Type="http://schemas.openxmlformats.org/officeDocument/2006/relationships/numbering" Target="numbering.xml"/><Relationship Id="rId29" Type="http://schemas.openxmlformats.org/officeDocument/2006/relationships/hyperlink" Target="https://www.poderjudicial.es/search/AN/openDocument/64871e04118718e4a0a8778d75e36f0d/20251127" TargetMode="External"/><Relationship Id="rId24" Type="http://schemas.openxmlformats.org/officeDocument/2006/relationships/hyperlink" Target="https://www.poderjudicial.es/search/AN/openDocument/88d32ab65154b8c7a0a8778d75e36f0d/20251120" TargetMode="External"/><Relationship Id="rId40" Type="http://schemas.openxmlformats.org/officeDocument/2006/relationships/hyperlink" Target="https://www.poderjudicial.es/search/AN/openDocument/9bb993156e3be4c8a0a8778d75e36f0d/20251127" TargetMode="External"/><Relationship Id="rId45" Type="http://schemas.openxmlformats.org/officeDocument/2006/relationships/hyperlink" Target="https://www.poderjudicial.es/search/AN/openDocument/4469d97c8f486063a0a8778d75e36f0d/20251024" TargetMode="External"/><Relationship Id="rId66" Type="http://schemas.openxmlformats.org/officeDocument/2006/relationships/hyperlink" Target="https://www.poderjudicial.es/search/AN/openDocument/eed44ef40a6d051ba0a8778d75e36f0d/20251211" TargetMode="External"/><Relationship Id="rId87" Type="http://schemas.openxmlformats.org/officeDocument/2006/relationships/theme" Target="theme/theme1.xml"/><Relationship Id="rId61" Type="http://schemas.openxmlformats.org/officeDocument/2006/relationships/hyperlink" Target="https://www.poderjudicial.es/search/AN/openDocument/045da5f021da71e4a0a8778d75e36f0d/20251127" TargetMode="External"/><Relationship Id="rId82" Type="http://schemas.openxmlformats.org/officeDocument/2006/relationships/hyperlink" Target="https://www.poderjudicial.es/search/AN/openDocument/1088d05df2b38d07a0a8778d75e36f0d/2025121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11</Pages>
  <Words>5196</Words>
  <Characters>28579</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JESUS BASTANTE GONZALEZ</dc:creator>
  <cp:lastModifiedBy>LUCIA MORENO GARCIA</cp:lastModifiedBy>
  <cp:revision>91</cp:revision>
  <cp:lastPrinted>2021-04-08T11:14:00Z</cp:lastPrinted>
  <dcterms:created xsi:type="dcterms:W3CDTF">2025-01-20T10:17:00Z</dcterms:created>
  <dcterms:modified xsi:type="dcterms:W3CDTF">2026-01-22T20:23:00Z</dcterms:modified>
</cp:coreProperties>
</file>