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5E329" w14:textId="77777777" w:rsidR="00656A1A" w:rsidRDefault="00DA30E6" w:rsidP="00656A1A">
      <w:pPr>
        <w:spacing w:beforeLines="100" w:before="240" w:afterLines="100" w:after="24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66432" behindDoc="1" locked="0" layoutInCell="1" allowOverlap="1" wp14:anchorId="471A90E6" wp14:editId="6135A164">
            <wp:simplePos x="0" y="0"/>
            <wp:positionH relativeFrom="column">
              <wp:posOffset>-1080135</wp:posOffset>
            </wp:positionH>
            <wp:positionV relativeFrom="paragraph">
              <wp:posOffset>-899795</wp:posOffset>
            </wp:positionV>
            <wp:extent cx="7560860" cy="10708052"/>
            <wp:effectExtent l="0" t="0" r="2540" b="0"/>
            <wp:wrapNone/>
            <wp:docPr id="2" name="Imagen 2" descr="C:\Users\Jesus\Downloads\Red and Grayscale Corporate Company Annual Report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sus\Downloads\Red and Grayscale Corporate Company Annual Report (7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88" cy="1071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86F4B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5E524A17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15F136E4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61D376D5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0882B774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19C48A1A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23F2BA53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31E2C271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D715D" wp14:editId="2472D62D">
                <wp:simplePos x="0" y="0"/>
                <wp:positionH relativeFrom="column">
                  <wp:posOffset>-697998</wp:posOffset>
                </wp:positionH>
                <wp:positionV relativeFrom="paragraph">
                  <wp:posOffset>76427</wp:posOffset>
                </wp:positionV>
                <wp:extent cx="6236970" cy="5117911"/>
                <wp:effectExtent l="0" t="0" r="0" b="698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970" cy="51179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36CF4" w14:textId="5FDF9F01" w:rsidR="00827C04" w:rsidRDefault="00960584">
                            <w:pPr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Enero</w:t>
                            </w:r>
                            <w:r w:rsidR="00A64D45"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Marzo 2026</w:t>
                            </w:r>
                          </w:p>
                          <w:p w14:paraId="2EB7BD8F" w14:textId="77777777" w:rsidR="00827C04" w:rsidRPr="00D37249" w:rsidRDefault="00827C04">
                            <w:pPr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9EFE686" w14:textId="77777777" w:rsidR="00827C04" w:rsidRPr="00D37249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D37249"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t>INFORME</w:t>
                            </w:r>
                          </w:p>
                          <w:p w14:paraId="636B78C5" w14:textId="77777777" w:rsidR="00827C04" w:rsidRPr="005F1DFB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6"/>
                                <w:szCs w:val="36"/>
                              </w:rPr>
                              <w:t>DERECHO Y CONSUMO (BIBLIOGRAFÍ</w:t>
                            </w:r>
                            <w:r w:rsidRPr="005F1DFB">
                              <w:rPr>
                                <w:rFonts w:ascii="Segoe UI" w:hAnsi="Segoe UI" w:cs="Segoe UI"/>
                                <w:b/>
                                <w:sz w:val="36"/>
                                <w:szCs w:val="36"/>
                              </w:rPr>
                              <w:t>A)</w:t>
                            </w:r>
                          </w:p>
                          <w:p w14:paraId="2D051275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36A1D3C4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945E80E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9E469D5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1ABCD6E4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598C9961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1E5130E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4C18BA61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6BB30137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4D4293FD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E34383D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045E4226" w14:textId="77777777" w:rsidR="00827C04" w:rsidRPr="00EE05FD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 w:rsidRPr="00EE05FD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 xml:space="preserve">Víctor Bastante </w:t>
                            </w:r>
                            <w:proofErr w:type="spellStart"/>
                            <w:r w:rsidRPr="00EE05FD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>Granell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F1C51F2" w14:textId="1051A3DC" w:rsidR="00827C04" w:rsidRPr="00EE05FD" w:rsidRDefault="00F475F0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>Profesor</w:t>
                            </w:r>
                            <w:r w:rsidR="0068726D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 xml:space="preserve"> Titular de Universidad</w:t>
                            </w:r>
                            <w:r w:rsidR="00827C04" w:rsidRPr="00EE05FD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C8075D8" w14:textId="77777777" w:rsidR="00827C04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 w:rsidRPr="00EE05FD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>Universidad de Almería.</w:t>
                            </w:r>
                          </w:p>
                          <w:p w14:paraId="1735E3DF" w14:textId="77777777" w:rsidR="00827C04" w:rsidRPr="003F49BB" w:rsidRDefault="00827C04" w:rsidP="005F1D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i/>
                                <w:sz w:val="20"/>
                                <w:szCs w:val="20"/>
                              </w:rPr>
                            </w:pPr>
                            <w:r w:rsidRPr="003F49BB">
                              <w:rPr>
                                <w:rFonts w:ascii="Segoe UI" w:hAnsi="Segoe UI" w:cs="Segoe UI"/>
                                <w:i/>
                                <w:sz w:val="20"/>
                                <w:szCs w:val="20"/>
                              </w:rPr>
                              <w:t>vbg415@ual.es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54.95pt;margin-top:6pt;width:491.1pt;height:40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" filled="f" stroked="f" strokeweight=".5pt">
                <v:textbox>
                  <w:txbxContent>
                    <w:p w14:paraId="4D436CF4" w14:textId="5FDF9F01" w:rsidR="00827C04" w:rsidRDefault="00960584">
                      <w:pPr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  <w:t>Enero</w:t>
                      </w:r>
                      <w:r w:rsidR="00A64D45"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  <w:t>Marzo 2026</w:t>
                      </w:r>
                    </w:p>
                    <w:p w14:paraId="2EB7BD8F" w14:textId="77777777" w:rsidR="00827C04" w:rsidRPr="00D37249" w:rsidRDefault="00827C04">
                      <w:pPr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9EFE686" w14:textId="77777777" w:rsidR="00827C04" w:rsidRPr="00D37249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  <w:sz w:val="96"/>
                          <w:szCs w:val="96"/>
                        </w:rPr>
                      </w:pPr>
                      <w:r w:rsidRPr="00D37249">
                        <w:rPr>
                          <w:rFonts w:ascii="Segoe UI" w:hAnsi="Segoe UI" w:cs="Segoe UI"/>
                          <w:b/>
                          <w:color w:val="FFFFFF" w:themeColor="background1"/>
                          <w:sz w:val="96"/>
                          <w:szCs w:val="96"/>
                        </w:rPr>
                        <w:t>INFORME</w:t>
                      </w:r>
                    </w:p>
                    <w:p w14:paraId="636B78C5" w14:textId="77777777" w:rsidR="00827C04" w:rsidRPr="005F1DFB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6"/>
                          <w:szCs w:val="36"/>
                        </w:rPr>
                        <w:t>DERECHO Y CONSUMO (BIBLIOGRAFÍ</w:t>
                      </w:r>
                      <w:r w:rsidRPr="005F1DFB">
                        <w:rPr>
                          <w:rFonts w:ascii="Segoe UI" w:hAnsi="Segoe UI" w:cs="Segoe UI"/>
                          <w:b/>
                          <w:sz w:val="36"/>
                          <w:szCs w:val="36"/>
                        </w:rPr>
                        <w:t>A)</w:t>
                      </w:r>
                    </w:p>
                    <w:p w14:paraId="2D051275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36A1D3C4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945E80E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09E469D5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1ABCD6E4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598C9961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01E5130E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4C18BA61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6BB30137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4D4293FD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  <w:color w:val="FFFFFF" w:themeColor="background1"/>
                        </w:rPr>
                      </w:pPr>
                    </w:p>
                    <w:p w14:paraId="0E34383D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045E4226" w14:textId="77777777" w:rsidR="00827C04" w:rsidRPr="00EE05FD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 w:rsidRPr="00EE05FD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 xml:space="preserve">Víctor Bastante </w:t>
                      </w:r>
                      <w:proofErr w:type="spellStart"/>
                      <w:r w:rsidRPr="00EE05FD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>Granell</w:t>
                      </w:r>
                      <w:proofErr w:type="spellEnd"/>
                      <w:r>
                        <w:rPr>
                          <w:rFonts w:ascii="Segoe UI" w:hAnsi="Segoe UI" w:cs="Segoe UI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F1C51F2" w14:textId="1051A3DC" w:rsidR="00827C04" w:rsidRPr="00EE05FD" w:rsidRDefault="00F475F0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>
                        <w:rPr>
                          <w:rFonts w:ascii="Segoe UI" w:hAnsi="Segoe UI" w:cs="Segoe UI"/>
                          <w:sz w:val="20"/>
                          <w:szCs w:val="20"/>
                        </w:rPr>
                        <w:t>Profesor</w:t>
                      </w:r>
                      <w:r w:rsidR="0068726D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 xml:space="preserve"> Titular de Universidad</w:t>
                      </w:r>
                      <w:r w:rsidR="00827C04" w:rsidRPr="00EE05FD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C8075D8" w14:textId="77777777" w:rsidR="00827C04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 w:rsidRPr="00EE05FD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>Universidad de Almería.</w:t>
                      </w:r>
                    </w:p>
                    <w:p w14:paraId="1735E3DF" w14:textId="77777777" w:rsidR="00827C04" w:rsidRPr="003F49BB" w:rsidRDefault="00827C04" w:rsidP="005F1DFB">
                      <w:pPr>
                        <w:spacing w:after="0" w:line="240" w:lineRule="auto"/>
                        <w:rPr>
                          <w:rFonts w:ascii="Segoe UI" w:hAnsi="Segoe UI" w:cs="Segoe UI"/>
                          <w:i/>
                          <w:sz w:val="20"/>
                          <w:szCs w:val="20"/>
                        </w:rPr>
                      </w:pPr>
                      <w:r w:rsidRPr="003F49BB">
                        <w:rPr>
                          <w:rFonts w:ascii="Segoe UI" w:hAnsi="Segoe UI" w:cs="Segoe UI"/>
                          <w:i/>
                          <w:sz w:val="20"/>
                          <w:szCs w:val="20"/>
                        </w:rPr>
                        <w:t>vbg415@ual.es</w:t>
                      </w:r>
                    </w:p>
                  </w:txbxContent>
                </v:textbox>
              </v:shape>
            </w:pict>
          </mc:Fallback>
        </mc:AlternateContent>
      </w:r>
    </w:p>
    <w:p w14:paraId="634A3D0B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3214C097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612D226B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1B8E3A3D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3A5D080F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1E0AEF62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248E4477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00E5561C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79253195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22EC10ED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55521369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48BF8FA4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77F66103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41F4B982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647D8F29" w14:textId="77777777" w:rsidR="00D37249" w:rsidRDefault="00D37249" w:rsidP="00656A1A">
      <w:pPr>
        <w:spacing w:beforeLines="100" w:before="240" w:afterLines="100" w:after="240"/>
        <w:jc w:val="center"/>
        <w:rPr>
          <w:noProof/>
          <w:lang w:eastAsia="es-ES"/>
        </w:rPr>
      </w:pPr>
    </w:p>
    <w:p w14:paraId="3FE9F70E" w14:textId="77777777" w:rsidR="00D37249" w:rsidRDefault="005F0DEC" w:rsidP="00656A1A">
      <w:pPr>
        <w:spacing w:beforeLines="100" w:before="240" w:afterLines="100" w:after="240"/>
        <w:jc w:val="center"/>
        <w:rPr>
          <w:noProof/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8F4A92" wp14:editId="682CB527">
                <wp:simplePos x="0" y="0"/>
                <wp:positionH relativeFrom="column">
                  <wp:posOffset>5288354</wp:posOffset>
                </wp:positionH>
                <wp:positionV relativeFrom="paragraph">
                  <wp:posOffset>504175</wp:posOffset>
                </wp:positionV>
                <wp:extent cx="1190360" cy="786396"/>
                <wp:effectExtent l="0" t="0" r="0" b="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360" cy="786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130AB" w14:textId="77777777" w:rsidR="00827C04" w:rsidRPr="005F0DEC" w:rsidRDefault="00827C04">
                            <w:pPr>
                              <w:rPr>
                                <w:rFonts w:ascii="Monotype Corsiva" w:hAnsi="Monotype Corsiv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5F0DEC">
                              <w:rPr>
                                <w:rFonts w:ascii="Monotype Corsiva" w:hAnsi="Monotype Corsiv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NyR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Cuadro de texto" o:spid="_x0000_s1027" type="#_x0000_t202" style="position:absolute;left:0;text-align:left;margin-left:416.4pt;margin-top:39.7pt;width:93.75pt;height:6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" filled="f" stroked="f" strokeweight=".5pt">
                <v:textbox>
                  <w:txbxContent>
                    <w:p w14:paraId="320130AB" w14:textId="77777777" w:rsidR="00827C04" w:rsidRPr="005F0DEC" w:rsidRDefault="00827C04">
                      <w:pPr>
                        <w:rPr>
                          <w:rFonts w:ascii="Monotype Corsiva" w:hAnsi="Monotype Corsiva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proofErr w:type="spellStart"/>
                      <w:r w:rsidRPr="005F0DEC">
                        <w:rPr>
                          <w:rFonts w:ascii="Monotype Corsiva" w:hAnsi="Monotype Corsiva"/>
                          <w:b/>
                          <w:color w:val="FFFFFF" w:themeColor="background1"/>
                          <w:sz w:val="72"/>
                          <w:szCs w:val="72"/>
                        </w:rPr>
                        <w:t>NyR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DB7A1CA" w14:textId="77777777" w:rsidR="00C660D0" w:rsidRDefault="000562B1" w:rsidP="00226C2F">
      <w:pPr>
        <w:spacing w:after="0" w:line="240" w:lineRule="auto"/>
        <w:jc w:val="center"/>
        <w:rPr>
          <w:rFonts w:cstheme="minorHAnsi"/>
          <w:b/>
          <w:color w:val="FFFFFF" w:themeColor="background1"/>
          <w:sz w:val="32"/>
          <w:szCs w:val="32"/>
        </w:rPr>
      </w:pPr>
      <w:r w:rsidRPr="00226C2F">
        <w:rPr>
          <w:rFonts w:cstheme="minorHAnsi"/>
          <w:b/>
          <w:noProof/>
          <w:color w:val="FFFFFF" w:themeColor="background1"/>
          <w:sz w:val="32"/>
          <w:szCs w:val="32"/>
          <w:lang w:eastAsia="es-ES"/>
        </w:rPr>
        <w:lastRenderedPageBreak/>
        <w:drawing>
          <wp:anchor distT="0" distB="0" distL="114300" distR="114300" simplePos="0" relativeHeight="251662336" behindDoc="1" locked="0" layoutInCell="1" allowOverlap="1" wp14:anchorId="162E8B83" wp14:editId="652F5693">
            <wp:simplePos x="0" y="0"/>
            <wp:positionH relativeFrom="column">
              <wp:posOffset>-1000125</wp:posOffset>
            </wp:positionH>
            <wp:positionV relativeFrom="paragraph">
              <wp:posOffset>-889000</wp:posOffset>
            </wp:positionV>
            <wp:extent cx="7549116" cy="9803218"/>
            <wp:effectExtent l="0" t="0" r="0" b="7620"/>
            <wp:wrapNone/>
            <wp:docPr id="7" name="Imagen 7" descr="C:\Users\Jesus\Downloads\Red and Grayscale Corporate Company Annual Report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esus\Downloads\Red and Grayscale Corporate Company Annual Report (5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116" cy="980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C2F">
        <w:rPr>
          <w:rFonts w:cstheme="minorHAnsi"/>
          <w:b/>
          <w:noProof/>
          <w:color w:val="FFFFFF" w:themeColor="background1"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A495B1" wp14:editId="280F7CF2">
                <wp:simplePos x="0" y="0"/>
                <wp:positionH relativeFrom="column">
                  <wp:posOffset>1120775</wp:posOffset>
                </wp:positionH>
                <wp:positionV relativeFrom="paragraph">
                  <wp:posOffset>-218307</wp:posOffset>
                </wp:positionV>
                <wp:extent cx="3466213" cy="1073889"/>
                <wp:effectExtent l="0" t="0" r="0" b="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6213" cy="1073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98AFD" w14:textId="77777777" w:rsidR="00827C04" w:rsidRPr="00226C2F" w:rsidRDefault="00827C04" w:rsidP="00226C2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I</w:t>
                            </w:r>
                            <w:r w:rsidRPr="00226C2F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NFORME</w:t>
                            </w:r>
                          </w:p>
                          <w:p w14:paraId="7A65D15E" w14:textId="77777777" w:rsidR="00827C04" w:rsidRPr="00226C2F" w:rsidRDefault="00827C04" w:rsidP="00226C2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DERECHO Y CONSUMO </w:t>
                            </w:r>
                            <w:r w:rsidRPr="00226C2F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(BIBLIOGRAFÍA)</w:t>
                            </w:r>
                          </w:p>
                          <w:p w14:paraId="2F1DEB9A" w14:textId="77777777" w:rsidR="00827C04" w:rsidRPr="005F0DEC" w:rsidRDefault="00827C04" w:rsidP="00226C2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31D940F1" w14:textId="30B8AE6E" w:rsidR="00827C04" w:rsidRDefault="00960584" w:rsidP="00567AAA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Enero</w:t>
                            </w:r>
                            <w:r w:rsidR="00EE43D9">
                              <w:rPr>
                                <w:rFonts w:cstheme="min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Marzo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 Cuadro de texto" o:spid="_x0000_s1028" type="#_x0000_t202" style="position:absolute;left:0;text-align:left;margin-left:88.25pt;margin-top:-17.2pt;width:272.95pt;height:8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" filled="f" stroked="f" strokeweight=".5pt">
                <v:textbox>
                  <w:txbxContent>
                    <w:p w14:paraId="22498AFD" w14:textId="77777777" w:rsidR="00827C04" w:rsidRPr="00226C2F" w:rsidRDefault="00827C04" w:rsidP="00226C2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>I</w:t>
                      </w:r>
                      <w:r w:rsidRPr="00226C2F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>NFORME</w:t>
                      </w:r>
                    </w:p>
                    <w:p w14:paraId="7A65D15E" w14:textId="77777777" w:rsidR="00827C04" w:rsidRPr="00226C2F" w:rsidRDefault="00827C04" w:rsidP="00226C2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DERECHO Y CONSUMO </w:t>
                      </w:r>
                      <w:r w:rsidRPr="00226C2F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(BIBLIOGRAFÍA)</w:t>
                      </w:r>
                    </w:p>
                    <w:p w14:paraId="2F1DEB9A" w14:textId="77777777" w:rsidR="00827C04" w:rsidRPr="005F0DEC" w:rsidRDefault="00827C04" w:rsidP="00226C2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31D940F1" w14:textId="30B8AE6E" w:rsidR="00827C04" w:rsidRDefault="00960584" w:rsidP="00567AAA">
                      <w:pPr>
                        <w:jc w:val="center"/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20"/>
                          <w:szCs w:val="20"/>
                        </w:rPr>
                        <w:t>Enero</w:t>
                      </w:r>
                      <w:r w:rsidR="00EE43D9">
                        <w:rPr>
                          <w:rFonts w:cstheme="minorHAnsi"/>
                          <w:b/>
                          <w:color w:val="FFFFFF" w:themeColor="background1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20"/>
                          <w:szCs w:val="20"/>
                        </w:rPr>
                        <w:t>Marzo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58C683B8" w14:textId="77777777" w:rsidR="00226C2F" w:rsidRDefault="00226C2F" w:rsidP="00226C2F">
      <w:pPr>
        <w:spacing w:after="0" w:line="240" w:lineRule="auto"/>
        <w:jc w:val="center"/>
        <w:rPr>
          <w:rFonts w:cstheme="minorHAnsi"/>
          <w:b/>
          <w:color w:val="FFFFFF" w:themeColor="background1"/>
          <w:sz w:val="32"/>
          <w:szCs w:val="32"/>
        </w:rPr>
      </w:pPr>
    </w:p>
    <w:p w14:paraId="52B812AB" w14:textId="77777777" w:rsidR="00226C2F" w:rsidRDefault="00226C2F" w:rsidP="00226C2F">
      <w:pPr>
        <w:spacing w:after="0" w:line="240" w:lineRule="auto"/>
        <w:jc w:val="center"/>
        <w:rPr>
          <w:rFonts w:cstheme="minorHAnsi"/>
          <w:b/>
          <w:color w:val="FFFFFF" w:themeColor="background1"/>
          <w:sz w:val="32"/>
          <w:szCs w:val="32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391AFD" wp14:editId="2ACD5C44">
                <wp:simplePos x="0" y="0"/>
                <wp:positionH relativeFrom="column">
                  <wp:posOffset>4331335</wp:posOffset>
                </wp:positionH>
                <wp:positionV relativeFrom="paragraph">
                  <wp:posOffset>71297</wp:posOffset>
                </wp:positionV>
                <wp:extent cx="659130" cy="477520"/>
                <wp:effectExtent l="0" t="0" r="0" b="0"/>
                <wp:wrapNone/>
                <wp:docPr id="12" name="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" cy="477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DC319D" w14:textId="77777777" w:rsidR="00827C04" w:rsidRPr="00226C2F" w:rsidRDefault="00827C04" w:rsidP="00226C2F">
                            <w:pPr>
                              <w:rPr>
                                <w:rFonts w:ascii="Monotype Corsiva" w:hAnsi="Monotype Corsiv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226C2F">
                              <w:rPr>
                                <w:rFonts w:ascii="Monotype Corsiva" w:hAnsi="Monotype Corsiv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NyR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 Cuadro de texto" o:spid="_x0000_s1029" type="#_x0000_t202" style="position:absolute;left:0;text-align:left;margin-left:341.05pt;margin-top:5.6pt;width:51.9pt;height:3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" filled="f" stroked="f" strokeweight=".5pt">
                <v:textbox>
                  <w:txbxContent>
                    <w:p w14:paraId="04DC319D" w14:textId="77777777" w:rsidR="00827C04" w:rsidRPr="00226C2F" w:rsidRDefault="00827C04" w:rsidP="00226C2F">
                      <w:pPr>
                        <w:rPr>
                          <w:rFonts w:ascii="Monotype Corsiva" w:hAnsi="Monotype Corsiva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proofErr w:type="spellStart"/>
                      <w:r w:rsidRPr="00226C2F">
                        <w:rPr>
                          <w:rFonts w:ascii="Monotype Corsiva" w:hAnsi="Monotype Corsiva"/>
                          <w:b/>
                          <w:color w:val="FFFFFF" w:themeColor="background1"/>
                          <w:sz w:val="32"/>
                          <w:szCs w:val="32"/>
                        </w:rPr>
                        <w:t>NyR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AB10861" w14:textId="77777777" w:rsidR="00226C2F" w:rsidRDefault="00226C2F" w:rsidP="00226C2F">
      <w:pPr>
        <w:spacing w:after="0" w:line="240" w:lineRule="auto"/>
        <w:jc w:val="center"/>
        <w:rPr>
          <w:rFonts w:cstheme="minorHAnsi"/>
          <w:b/>
          <w:color w:val="FFFFFF" w:themeColor="background1"/>
          <w:sz w:val="32"/>
          <w:szCs w:val="32"/>
        </w:rPr>
      </w:pPr>
    </w:p>
    <w:p w14:paraId="749B5E68" w14:textId="77777777" w:rsidR="00226C2F" w:rsidRPr="00226C2F" w:rsidRDefault="00226C2F" w:rsidP="00226C2F">
      <w:pPr>
        <w:spacing w:after="0" w:line="240" w:lineRule="auto"/>
        <w:jc w:val="center"/>
        <w:rPr>
          <w:rFonts w:cstheme="minorHAnsi"/>
          <w:b/>
          <w:color w:val="FFFFFF" w:themeColor="background1"/>
          <w:sz w:val="20"/>
          <w:szCs w:val="20"/>
        </w:rPr>
      </w:pPr>
    </w:p>
    <w:p w14:paraId="6CDDB35B" w14:textId="77777777" w:rsidR="00960584" w:rsidRDefault="00960584" w:rsidP="00960584">
      <w:pPr>
        <w:pStyle w:val="NormalWeb"/>
        <w:spacing w:before="0" w:beforeAutospacing="0" w:after="120" w:afterAutospacing="0"/>
        <w:jc w:val="both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7CB33BB7" w14:textId="5519F978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Achón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Bruñén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María José, "Alegación de cláusulas abusivas por personas jurídicas o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profesionalescasos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en que pueden ostentar la condición de consumidores",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Práctica de tribunales: revista de derecho procesal civil y mercantil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177, 2025.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306DB3D" w14:textId="57498E63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Araque García, Alejandro, "Omisión de deberes precontractuales de información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: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presupuestos y remedios",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jurídica Universidad Autónoma de Madrid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52, 2025, págs. 113-140.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9155B19" w14:textId="4FDD4256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Armijo Pliego, Ana, "Segunda oportunidad y crédito público al albur de las sentencias del Tribunal Supremo. STS, Sala Civil, 264, 259, 260, 261, 262 y 263 de 18 de febrero de 2026",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Mercantil y Concursal: revista digital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67,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354A0CF" w14:textId="7646D067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Asensio-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Wandosell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Fominaya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Carlos José, "¿Deben los acreedores perdonar las deudas a sus deudores? A vueltas con la exoneración del pasivo insatisfecho",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jurídica Universidad Autónoma de Madrid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52, 2025, págs. 141-168.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0A9DDB2" w14:textId="15B60697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Ávila Fajardo, Paola Andrea, "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Greenwashingsu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impacto en el derecho de marcas, derecho de consumo y responsabilidad corporativa",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la propiedad inmaterial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39, 2025, págs. 185-213.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FAACDDB" w14:textId="03279C69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Bellver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Ana y Castañón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Garcia-Alix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Elvira, "¿Puede ampliarse por la vía interpretativa lo que la ley concursal ha querido tasar en cuanto a la buena fe del deudor?",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10910,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6A83363" w14:textId="21A81B8C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Berrocal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Lanzarot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Ana Isabel, "La protección del consumidor ante la contratación de microcréditos o créditos rápidos, préstamos personales y créditos o tarjetas "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revolving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" como instrumentos alternativos de financiación",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Crítica de Derecho Inmobiliario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Año nº 100, Nº 812, 2025, págs. 3145-3211.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DC814EF" w14:textId="49359491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Bouzas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González, Celia y Zurita, Candela, "Por fin ve la luz la Ley de Servicios de Atención a la Clientela",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jurídica Aranzadi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1024, 2025.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FD808F6" w14:textId="27914CD4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de Trinidad Ramos, Juan, "Los límites del pacto de anatocismo en el contrato de préstamo hipotecario concertado con el consumidor",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civil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2,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DDCB430" w14:textId="4F875D5E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del Olmo del Olmo, José Antonio, "Animales de compañía en vuelo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seres sensibles tratados como maletas: un paso atrás en la Justicia europea",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10876,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6F961CA" w14:textId="20DFF993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Domínguez Padilla, Carlos, "La ley aplicable en la responsabilidad extracontractual derivada de sistemas de inteligencia artificial en el marco jurídico europeo",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Anuario Español de Derecho Internacional Privado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25, 2025, págs. 291-305.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8295FBF" w14:textId="4B76368C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Dueñas Martínez, Juan, "¿Ha dejado la fuerza mayor de ser una causa de exoneración para las compañías aéreas?",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Crítica de Derecho Inmobiliario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Año nº 101, Nº 813, 2026, págs. 473-500.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64AE24E" w14:textId="75EE3C2C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Encabo de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Lizaur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Carolina, "La consolidación del IRPH como una cláusula potencialmente válida. Del pleito masa al caso concreto. SSTS de pleno 1590 y 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1591/2025, de 11 de noviembre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10861,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1D87B7E" w14:textId="4B5311CD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Fernández-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Fígares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Morales, María José, "El control judicial de oficio de las cláusulas abusivas",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civil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3,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9064A3E" w14:textId="5A756123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Fierro Rodríguez, Diego, "Cuestiones prácticas que surgen tras la celebración de una subasta y la adjudicación de un inmueble hasta el lanzamiento e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n los casos de vulnerabilidad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Práctica de tribunales: revista de derecho procesal civil y mercantil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178,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15B1294" w14:textId="1B9FCC3B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lastRenderedPageBreak/>
        <w:t xml:space="preserve">Gutiérrez Jerez, Luis Javier, "Algunas reflexiones sobre la función notarial en relación con su intervención en la ejecución hipotecaria a través de la venta extrajudicial",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Cuadernos de derecho privado: CDP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13, 2025, págs. 87-113.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DE49162" w14:textId="5C6AC6FA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Hernández García, Mariana, "La prescripción de la cláusula suelo y de los efectos restitutorios",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10879,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4AA195F" w14:textId="076052F8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Madrid Parra, Agustín, "El qué y el cómo de los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criptovalores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La Ley mercantil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131 (enero),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5C9C10E6" w14:textId="155BA806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Martín Gómez, Iván, "Una revisión de la problemática del tratamiento del crédito público en la exoneración del pasivo insatisfecho de la persona natural",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jurídica de Castilla y León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65, 2025, págs. 141-173.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A413B04" w14:textId="78499CEF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Martínez Espín, Pascual, "La primera STS sobre la Ley 43/2007inversión en árboles y fracaso de la oferta de restitución",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CESCO de Derecho de Consumo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57, 2026, págs. 1-15.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3820522" w14:textId="3B1663DA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Méndez Serrano, María del Mar, "Sobre la imprescriptibilidad de la acción de restitución de los gastos </w:t>
      </w:r>
      <w:proofErr w:type="spellStart"/>
      <w:proofErr w:type="gram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hipotecarios¿</w:t>
      </w:r>
      <w:proofErr w:type="gram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Una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cuestión zanjada o una cualidad sobrevenida?",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civil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2,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E0BCCC9" w14:textId="2438AE12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Miranda Serrano, Luis María, "Reformas de la Ley de Competencia Desleal en materia de protección de consumidores y prácticas digitales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: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valoración y tendencias de política legislativa",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CESCO de Derecho de Consumo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57, 2026, págs. 27-79.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5BBEFEA" w14:textId="039BC6FB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Moreno Liso, Lourdes, "El transporte aéreo de los animales de compañía en la Unión Europea",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La Ley Unión Europea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número 142, 2025.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45EFED5A" w14:textId="0A2D4A80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Orduña Moreno, Francisco Javier y Sánchez García, Jesús, "Sobre el control de transparencia del crédito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revolving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y el límite temporal del principio de efectividad del TJUE",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10902,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20716D97" w14:textId="068FD6A3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Orduña Moreno, Francisco Javier y Sánchez García, Jesús, "Sobre el control de transparencia del crédito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revolving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y el límite temporal del principio de efectividad del TJUE",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10907,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A85EFCE" w14:textId="5729DF4A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Otero Crespo, Marta, "Colectivos vulnerables y vivienda. Especial referencia a la protección de las personas con discapacidad",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de Derecho Civil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Vol. 12, Nº. 4, 2025, págs. 93-129.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F4D8349" w14:textId="300862DF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Palomar Olmeda, Alberto, "La tensión entre la publicidad y las reservas de información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: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un camino por construir",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jurídica Aranzadi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1025,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BB24C02" w14:textId="3C5F61F9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Paredes Pérez, José Ignacio, "El concepto de “la otra parte contratante” en la aplicación de las reglas de competencia judicial internacional en materia de contratos celebrados por consumidores",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Anuario Español de Derecho Internacional Privado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25, 2025, págs. 57-89.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221A9CF4" w14:textId="1DC5EF07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Puelles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Valencia, José María, "La exoneración del pasivo insatisfecho del deudor persona física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interpretación de los arts. 489.1.5º y 487.1.2º TRLC tras la STJUE de 7/11/2024 y las SSTS de 18/2/2026",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10895,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2040744" w14:textId="4D6F9C02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Puelles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Valencia, José María, "El nuevo paradigma de la exoneración del pasivo insatisfecho tras la guía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judiciallo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que cambia en la práctica del abogado",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10911,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F97B89C" w14:textId="4DC0E8F8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Rodríguez Álvarez, Ana, "MASC y reclamación extrajudicial en materia de seguros. Comentario al AAP Zaragoza 148/2025, de 5 de noviembre",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General de Derecho Procesal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68,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A920AB9" w14:textId="7CB64FAD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Ruiz Alonso, Gustavo Antonio, "La prescripción trienal en los contratos civiles de suministro: análisis de la STS 1514/2025, de 29 de octubre",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10902,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FB20AB6" w14:textId="36F3FB7D" w:rsid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Sáez Álvarez, Paula, "“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Loot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boxes” y compras dentro del juego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: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regulación, riesgos y protección de los menores en el mercado digital",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Anuario de la Facultad de Derecho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18, 2025, págs. 71-100.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4CC5DC27" w14:textId="18AC933D" w:rsidR="00C6692C" w:rsidRPr="00960584" w:rsidRDefault="00C6692C" w:rsidP="00C6692C">
      <w:pPr>
        <w:pStyle w:val="NormalWeb"/>
        <w:numPr>
          <w:ilvl w:val="0"/>
          <w:numId w:val="25"/>
        </w:numPr>
        <w:spacing w:before="0" w:beforeAutospacing="0" w:after="120" w:afterAutospacing="0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C6692C">
        <w:rPr>
          <w:rFonts w:asciiTheme="minorHAnsi" w:hAnsiTheme="minorHAnsi" w:cstheme="minorHAnsi"/>
          <w:color w:val="1F1F1F"/>
          <w:sz w:val="20"/>
          <w:szCs w:val="20"/>
        </w:rPr>
        <w:t xml:space="preserve">Sánchez García, Jesús, "Sobre el control de transparencia del crédito </w:t>
      </w:r>
      <w:proofErr w:type="spellStart"/>
      <w:r w:rsidRPr="00C6692C">
        <w:rPr>
          <w:rFonts w:asciiTheme="minorHAnsi" w:hAnsiTheme="minorHAnsi" w:cstheme="minorHAnsi"/>
          <w:color w:val="1F1F1F"/>
          <w:sz w:val="20"/>
          <w:szCs w:val="20"/>
        </w:rPr>
        <w:t>revolving</w:t>
      </w:r>
      <w:proofErr w:type="spellEnd"/>
      <w:r w:rsidRPr="00C6692C">
        <w:rPr>
          <w:rFonts w:asciiTheme="minorHAnsi" w:hAnsiTheme="minorHAnsi" w:cstheme="minorHAnsi"/>
          <w:color w:val="1F1F1F"/>
          <w:sz w:val="20"/>
          <w:szCs w:val="20"/>
        </w:rPr>
        <w:t xml:space="preserve"> y el límite temporal del principio de efectividad del TJUE", </w:t>
      </w:r>
      <w:r w:rsidRPr="00C6692C">
        <w:rPr>
          <w:rFonts w:asciiTheme="minorHAnsi" w:hAnsiTheme="minorHAnsi" w:cstheme="minorHAnsi"/>
          <w:i/>
          <w:color w:val="1F1F1F"/>
          <w:sz w:val="20"/>
          <w:szCs w:val="20"/>
        </w:rPr>
        <w:t xml:space="preserve">Revista de Derecho </w:t>
      </w:r>
      <w:proofErr w:type="spellStart"/>
      <w:r w:rsidRPr="00C6692C">
        <w:rPr>
          <w:rFonts w:asciiTheme="minorHAnsi" w:hAnsiTheme="minorHAnsi" w:cstheme="minorHAnsi"/>
          <w:i/>
          <w:color w:val="1F1F1F"/>
          <w:sz w:val="20"/>
          <w:szCs w:val="20"/>
        </w:rPr>
        <w:t>vLex</w:t>
      </w:r>
      <w:proofErr w:type="spellEnd"/>
      <w:r>
        <w:rPr>
          <w:rFonts w:asciiTheme="minorHAnsi" w:hAnsiTheme="minorHAnsi" w:cstheme="minorHAnsi"/>
          <w:color w:val="1F1F1F"/>
          <w:sz w:val="20"/>
          <w:szCs w:val="20"/>
        </w:rPr>
        <w:t>, Nº</w:t>
      </w:r>
      <w:r w:rsidRPr="00C6692C">
        <w:rPr>
          <w:rFonts w:asciiTheme="minorHAnsi" w:hAnsiTheme="minorHAnsi" w:cstheme="minorHAnsi"/>
          <w:color w:val="1F1F1F"/>
          <w:sz w:val="20"/>
          <w:szCs w:val="20"/>
        </w:rPr>
        <w:t>. 260, 2026.</w:t>
      </w:r>
    </w:p>
    <w:p w14:paraId="1C51C81A" w14:textId="0B293F8D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lastRenderedPageBreak/>
        <w:t xml:space="preserve">Sainz de Vicuña, Bárbara y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Veiga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Maseda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José Juan, "Crónica de Consumo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.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Nuevos deberes para los servicios de reclamaciones en virtud de la nueva ley de Servicios de Atención a la Clientela",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La Ley mercantil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131 (enero),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08765B26" w14:textId="14606335" w:rsidR="00960584" w:rsidRPr="00960584" w:rsidRDefault="00C6692C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Sánchez R</w:t>
      </w:r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uiz de Valdivia, Inmaculada, "</w:t>
      </w:r>
      <w:proofErr w:type="spellStart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Hipervulnerabilidad</w:t>
      </w:r>
      <w:proofErr w:type="spellEnd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de las personas mayores tras la transformación digital (también) del sector bancario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automatización (crédito </w:t>
      </w:r>
      <w:proofErr w:type="spellStart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scoring</w:t>
      </w:r>
      <w:proofErr w:type="spellEnd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), </w:t>
      </w:r>
      <w:proofErr w:type="spellStart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datificación</w:t>
      </w:r>
      <w:proofErr w:type="spellEnd"/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y daños por productos inteligentes defectuosos a personas vulnerables", </w:t>
      </w:r>
      <w:r w:rsidR="00960584"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Crítica de Derecho Inmobiliario</w:t>
      </w:r>
      <w:r w:rsidR="00960584"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Año nº 100, Nº 812, 2025, págs. 3999-4048.</w:t>
      </w:r>
      <w:r w:rsidR="00960584"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3F938224" w14:textId="50CAB25B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Santilari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Barnach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Manel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"Protección de datos personales e inteligencia artificial: una aproximación al uso de sistemas de inteligencia artific</w:t>
      </w:r>
      <w:r w:rsidR="00C6692C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i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al que conllevan el tratamiento de datos personales",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Comunicaciones en propiedad industrial y derecho de la competencia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106 (septiembre/diciembre), 2025, págs. 109-128.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8F487E8" w14:textId="6BD77A95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Suárez Sedano, Alejandra, "Novedades de la LO 1/2025 en la protección del consumidor frente a cláusulas abusivas en contratos de préstamo o crédito hipotecario",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general de legislación y jurisprudencia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3, 2025, págs. 399-423.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80E872D" w14:textId="0F95407B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Tapia Hermida, Alberto Javier, "El caso INTEL. Reducción de la multa por abuso de posición dominante",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10864,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064B684" w14:textId="0B14996F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Tapia Hermida, Alberto Javier, "Servicios digitales, derechos fundamentales y protección de los consumidores: el caso Amazon</w:t>
      </w:r>
      <w:r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(STG 19 noviembre 2025, as. T-367I23: Amazon EU I Comisión)",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La Ley Unión Europea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número 142, 2025.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12BAD8D2" w14:textId="7CAABC6B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Tapia Hermida, Alberto Javier, "En busca del «punto de equilibrio» de la transparencia en los contratos de crédito inmobiliario referenciados a un tipo de interés variable regulado. Sentencia del TJUE de 12 de febrero de 2026 (asunto C-471/24 | PKO BP)",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Diario La Ley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10895,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251CB53A" w14:textId="3D0B5081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Venchiarutti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Angelo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"Sobre la responsabilidad única europea derivada de una infracción del Reglamento General de Protección de Datos a la luz de la experiencia italiana",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Cuadernos de derecho privado: CDP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13, 2025, págs. 114-134.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596129BE" w14:textId="761C339C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Zaballos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Zurilla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, María, "¿Redefiniendo la legitimación de las asociaciones de consumidores y usuarios?",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Revista CESCO de Derecho de Consumo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Nº. 57, 2026, págs. 16-26.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7F8B3649" w14:textId="32F4E434" w:rsidR="00960584" w:rsidRPr="00960584" w:rsidRDefault="00960584" w:rsidP="00960584">
      <w:pPr>
        <w:pStyle w:val="NormalWeb"/>
        <w:numPr>
          <w:ilvl w:val="0"/>
          <w:numId w:val="25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color w:val="1F1F1F"/>
          <w:sz w:val="20"/>
          <w:szCs w:val="20"/>
        </w:rPr>
      </w:pP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Zorraquino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Rico,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Assumpta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y Fanjul González, Pedro, "Competencia desleal y protección de datos </w:t>
      </w:r>
      <w:proofErr w:type="spellStart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personalesla</w:t>
      </w:r>
      <w:proofErr w:type="spellEnd"/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 xml:space="preserve"> indemnización millonaria de Meta a la prensa digital española", </w:t>
      </w:r>
      <w:r w:rsidRPr="00960584">
        <w:rPr>
          <w:rFonts w:asciiTheme="minorHAnsi" w:hAnsiTheme="minorHAnsi" w:cstheme="minorHAnsi"/>
          <w:i/>
          <w:iCs/>
          <w:color w:val="1F1F1F"/>
          <w:sz w:val="20"/>
          <w:szCs w:val="20"/>
          <w:bdr w:val="none" w:sz="0" w:space="0" w:color="auto" w:frame="1"/>
        </w:rPr>
        <w:t>Actualidad jurídica Aranzadi</w:t>
      </w:r>
      <w:r w:rsidRPr="00960584">
        <w:rPr>
          <w:rFonts w:asciiTheme="minorHAnsi" w:hAnsiTheme="minorHAnsi" w:cstheme="minorHAnsi"/>
          <w:color w:val="1F1F1F"/>
          <w:sz w:val="20"/>
          <w:szCs w:val="20"/>
          <w:bdr w:val="none" w:sz="0" w:space="0" w:color="auto" w:frame="1"/>
        </w:rPr>
        <w:t>, Nº 1025, 2026.</w:t>
      </w:r>
      <w:r w:rsidRPr="00960584">
        <w:rPr>
          <w:rFonts w:asciiTheme="minorHAnsi" w:hAnsiTheme="minorHAnsi" w:cstheme="minorHAnsi"/>
          <w:color w:val="1F1F1F"/>
          <w:sz w:val="20"/>
          <w:szCs w:val="20"/>
        </w:rPr>
        <w:t xml:space="preserve"> </w:t>
      </w:r>
    </w:p>
    <w:p w14:paraId="678EA9ED" w14:textId="24D4384F" w:rsidR="00D0064B" w:rsidRPr="00960584" w:rsidRDefault="00D0064B" w:rsidP="00960584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14:paraId="6719E900" w14:textId="77777777" w:rsidR="00D0064B" w:rsidRPr="00960584" w:rsidRDefault="00D0064B" w:rsidP="00960584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</w:p>
    <w:p w14:paraId="680C8129" w14:textId="77777777" w:rsidR="00D0064B" w:rsidRPr="00960584" w:rsidRDefault="00D0064B" w:rsidP="00960584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</w:p>
    <w:p w14:paraId="42C3EBC5" w14:textId="77777777" w:rsidR="00D0064B" w:rsidRPr="005E4B9B" w:rsidRDefault="00D0064B" w:rsidP="00EE43D9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</w:p>
    <w:p w14:paraId="7138B14A" w14:textId="77777777" w:rsidR="00D0064B" w:rsidRPr="005E4B9B" w:rsidRDefault="00D0064B" w:rsidP="005E4B9B">
      <w:pPr>
        <w:spacing w:before="60" w:after="0" w:line="240" w:lineRule="auto"/>
        <w:jc w:val="center"/>
        <w:rPr>
          <w:rFonts w:cstheme="minorHAnsi"/>
          <w:sz w:val="20"/>
          <w:szCs w:val="20"/>
        </w:rPr>
      </w:pPr>
    </w:p>
    <w:p w14:paraId="26F66416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556A71BD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6F9A4004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0B96C9ED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048E7C9E" w14:textId="2A2A4EA3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694F5B30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246A3D92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1AC8CA8E" w14:textId="77777777" w:rsidR="00D0064B" w:rsidRDefault="00D0064B" w:rsidP="005E4B9B">
      <w:pPr>
        <w:spacing w:before="60" w:after="0" w:line="240" w:lineRule="auto"/>
        <w:jc w:val="center"/>
        <w:rPr>
          <w:sz w:val="16"/>
          <w:szCs w:val="16"/>
        </w:rPr>
      </w:pPr>
    </w:p>
    <w:p w14:paraId="0DA438CC" w14:textId="77777777" w:rsidR="00D0064B" w:rsidRDefault="00D0064B" w:rsidP="006E70EB">
      <w:pPr>
        <w:rPr>
          <w:sz w:val="16"/>
          <w:szCs w:val="16"/>
        </w:rPr>
      </w:pPr>
      <w:bookmarkStart w:id="0" w:name="_GoBack"/>
      <w:bookmarkEnd w:id="0"/>
    </w:p>
    <w:p w14:paraId="5E8A8622" w14:textId="77777777" w:rsidR="00A82B3C" w:rsidRDefault="00A82B3C" w:rsidP="00960584">
      <w:pPr>
        <w:rPr>
          <w:sz w:val="16"/>
          <w:szCs w:val="16"/>
        </w:rPr>
      </w:pPr>
    </w:p>
    <w:p w14:paraId="694BBF7A" w14:textId="77777777" w:rsidR="00D0064B" w:rsidRDefault="00D0064B" w:rsidP="001563A1">
      <w:pPr>
        <w:jc w:val="center"/>
        <w:rPr>
          <w:sz w:val="16"/>
          <w:szCs w:val="16"/>
        </w:rPr>
      </w:pPr>
    </w:p>
    <w:p w14:paraId="73DED83D" w14:textId="551A8FA4" w:rsidR="003F49BB" w:rsidRPr="001563A1" w:rsidRDefault="003F49BB" w:rsidP="001563A1">
      <w:pPr>
        <w:jc w:val="center"/>
        <w:rPr>
          <w:sz w:val="20"/>
          <w:szCs w:val="20"/>
        </w:rPr>
      </w:pPr>
      <w:r w:rsidRPr="001563A1">
        <w:rPr>
          <w:sz w:val="16"/>
          <w:szCs w:val="16"/>
        </w:rPr>
        <w:t>Si algún autor, profesional o investigador conoce la publicación de algún trabajo sobre Derecho y consumo, puede facilitarnos la referencia para publicarlo dentro del presente informe, en el periodo correspondiente.</w:t>
      </w:r>
    </w:p>
    <w:sectPr w:rsidR="003F49BB" w:rsidRPr="001563A1" w:rsidSect="000562B1">
      <w:footerReference w:type="default" r:id="rId11"/>
      <w:pgSz w:w="11906" w:h="16838"/>
      <w:pgMar w:top="1417" w:right="1701" w:bottom="1417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3CAF9" w14:textId="77777777" w:rsidR="00985A22" w:rsidRDefault="00985A22" w:rsidP="000562B1">
      <w:pPr>
        <w:spacing w:after="0" w:line="240" w:lineRule="auto"/>
      </w:pPr>
      <w:r>
        <w:separator/>
      </w:r>
    </w:p>
  </w:endnote>
  <w:endnote w:type="continuationSeparator" w:id="0">
    <w:p w14:paraId="4C73ACE3" w14:textId="77777777" w:rsidR="00985A22" w:rsidRDefault="00985A22" w:rsidP="0005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1363187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63290595" w14:textId="77777777" w:rsidR="00827C04" w:rsidRPr="000562B1" w:rsidRDefault="00827C04">
        <w:pPr>
          <w:pStyle w:val="Piedepgina"/>
          <w:jc w:val="right"/>
          <w:rPr>
            <w:rFonts w:cstheme="minorHAnsi"/>
          </w:rPr>
        </w:pPr>
        <w:r w:rsidRPr="000562B1">
          <w:rPr>
            <w:rFonts w:cstheme="minorHAnsi"/>
          </w:rPr>
          <w:fldChar w:fldCharType="begin"/>
        </w:r>
        <w:r w:rsidRPr="000562B1">
          <w:rPr>
            <w:rFonts w:cstheme="minorHAnsi"/>
          </w:rPr>
          <w:instrText>PAGE   \* MERGEFORMAT</w:instrText>
        </w:r>
        <w:r w:rsidRPr="000562B1">
          <w:rPr>
            <w:rFonts w:cstheme="minorHAnsi"/>
          </w:rPr>
          <w:fldChar w:fldCharType="separate"/>
        </w:r>
        <w:r w:rsidR="00586250">
          <w:rPr>
            <w:rFonts w:cstheme="minorHAnsi"/>
            <w:noProof/>
          </w:rPr>
          <w:t>0</w:t>
        </w:r>
        <w:r w:rsidRPr="000562B1">
          <w:rPr>
            <w:rFonts w:cstheme="minorHAnsi"/>
          </w:rPr>
          <w:fldChar w:fldCharType="end"/>
        </w:r>
      </w:p>
    </w:sdtContent>
  </w:sdt>
  <w:p w14:paraId="37C823B9" w14:textId="77777777" w:rsidR="00827C04" w:rsidRDefault="00827C0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3E87E" w14:textId="77777777" w:rsidR="00985A22" w:rsidRDefault="00985A22" w:rsidP="000562B1">
      <w:pPr>
        <w:spacing w:after="0" w:line="240" w:lineRule="auto"/>
      </w:pPr>
      <w:r>
        <w:separator/>
      </w:r>
    </w:p>
  </w:footnote>
  <w:footnote w:type="continuationSeparator" w:id="0">
    <w:p w14:paraId="60ADE0A6" w14:textId="77777777" w:rsidR="00985A22" w:rsidRDefault="00985A22" w:rsidP="00056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1A95"/>
    <w:multiLevelType w:val="hybridMultilevel"/>
    <w:tmpl w:val="ABFC5612"/>
    <w:lvl w:ilvl="0" w:tplc="DF70683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32ECE"/>
    <w:multiLevelType w:val="hybridMultilevel"/>
    <w:tmpl w:val="BE9875CE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315AE"/>
    <w:multiLevelType w:val="hybridMultilevel"/>
    <w:tmpl w:val="F6222D90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C4B3C"/>
    <w:multiLevelType w:val="hybridMultilevel"/>
    <w:tmpl w:val="19FC5322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47798"/>
    <w:multiLevelType w:val="hybridMultilevel"/>
    <w:tmpl w:val="932C875A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168FF"/>
    <w:multiLevelType w:val="hybridMultilevel"/>
    <w:tmpl w:val="73B66A82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CB0E10"/>
    <w:multiLevelType w:val="hybridMultilevel"/>
    <w:tmpl w:val="46386646"/>
    <w:lvl w:ilvl="0" w:tplc="45FE9F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4397483"/>
    <w:multiLevelType w:val="hybridMultilevel"/>
    <w:tmpl w:val="2014F256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131114"/>
    <w:multiLevelType w:val="multilevel"/>
    <w:tmpl w:val="BF2E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A75E7F"/>
    <w:multiLevelType w:val="hybridMultilevel"/>
    <w:tmpl w:val="08249B3E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C54DE8"/>
    <w:multiLevelType w:val="hybridMultilevel"/>
    <w:tmpl w:val="12665926"/>
    <w:lvl w:ilvl="0" w:tplc="45FE9F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97049AB"/>
    <w:multiLevelType w:val="hybridMultilevel"/>
    <w:tmpl w:val="ACC69B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252C9E"/>
    <w:multiLevelType w:val="multilevel"/>
    <w:tmpl w:val="CE2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075B9"/>
    <w:multiLevelType w:val="hybridMultilevel"/>
    <w:tmpl w:val="55201CAE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7979DC"/>
    <w:multiLevelType w:val="hybridMultilevel"/>
    <w:tmpl w:val="8944788E"/>
    <w:lvl w:ilvl="0" w:tplc="45FE9F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5481EEE"/>
    <w:multiLevelType w:val="hybridMultilevel"/>
    <w:tmpl w:val="80E67DCA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7842B5"/>
    <w:multiLevelType w:val="hybridMultilevel"/>
    <w:tmpl w:val="206C2F82"/>
    <w:lvl w:ilvl="0" w:tplc="45FE9F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8995F83"/>
    <w:multiLevelType w:val="hybridMultilevel"/>
    <w:tmpl w:val="CB32DB9E"/>
    <w:lvl w:ilvl="0" w:tplc="1D1411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D3CBB"/>
    <w:multiLevelType w:val="hybridMultilevel"/>
    <w:tmpl w:val="2CECB366"/>
    <w:lvl w:ilvl="0" w:tplc="45FE9F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286FDE"/>
    <w:multiLevelType w:val="hybridMultilevel"/>
    <w:tmpl w:val="CCA45F98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2C31BE"/>
    <w:multiLevelType w:val="hybridMultilevel"/>
    <w:tmpl w:val="2716F1F6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C651F6"/>
    <w:multiLevelType w:val="hybridMultilevel"/>
    <w:tmpl w:val="373EAE10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F4221C"/>
    <w:multiLevelType w:val="hybridMultilevel"/>
    <w:tmpl w:val="AB76505C"/>
    <w:lvl w:ilvl="0" w:tplc="45FE9F5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713A1A64"/>
    <w:multiLevelType w:val="hybridMultilevel"/>
    <w:tmpl w:val="370E71BC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CB4682"/>
    <w:multiLevelType w:val="hybridMultilevel"/>
    <w:tmpl w:val="F922407E"/>
    <w:lvl w:ilvl="0" w:tplc="45FE9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3"/>
  </w:num>
  <w:num w:numId="4">
    <w:abstractNumId w:val="13"/>
  </w:num>
  <w:num w:numId="5">
    <w:abstractNumId w:val="7"/>
  </w:num>
  <w:num w:numId="6">
    <w:abstractNumId w:val="9"/>
  </w:num>
  <w:num w:numId="7">
    <w:abstractNumId w:val="17"/>
  </w:num>
  <w:num w:numId="8">
    <w:abstractNumId w:val="10"/>
  </w:num>
  <w:num w:numId="9">
    <w:abstractNumId w:val="6"/>
  </w:num>
  <w:num w:numId="10">
    <w:abstractNumId w:val="22"/>
  </w:num>
  <w:num w:numId="11">
    <w:abstractNumId w:val="21"/>
  </w:num>
  <w:num w:numId="12">
    <w:abstractNumId w:val="15"/>
  </w:num>
  <w:num w:numId="13">
    <w:abstractNumId w:val="4"/>
  </w:num>
  <w:num w:numId="14">
    <w:abstractNumId w:val="3"/>
  </w:num>
  <w:num w:numId="15">
    <w:abstractNumId w:val="1"/>
  </w:num>
  <w:num w:numId="16">
    <w:abstractNumId w:val="20"/>
  </w:num>
  <w:num w:numId="17">
    <w:abstractNumId w:val="19"/>
  </w:num>
  <w:num w:numId="18">
    <w:abstractNumId w:val="18"/>
  </w:num>
  <w:num w:numId="19">
    <w:abstractNumId w:val="5"/>
  </w:num>
  <w:num w:numId="20">
    <w:abstractNumId w:val="12"/>
  </w:num>
  <w:num w:numId="21">
    <w:abstractNumId w:val="14"/>
  </w:num>
  <w:num w:numId="22">
    <w:abstractNumId w:val="0"/>
  </w:num>
  <w:num w:numId="23">
    <w:abstractNumId w:val="8"/>
  </w:num>
  <w:num w:numId="24">
    <w:abstractNumId w:val="1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8D6"/>
    <w:rsid w:val="0000710E"/>
    <w:rsid w:val="00020F4E"/>
    <w:rsid w:val="000562B1"/>
    <w:rsid w:val="00070B82"/>
    <w:rsid w:val="00087883"/>
    <w:rsid w:val="000931BB"/>
    <w:rsid w:val="000E55A3"/>
    <w:rsid w:val="0012310A"/>
    <w:rsid w:val="001342BF"/>
    <w:rsid w:val="001563A1"/>
    <w:rsid w:val="0017035A"/>
    <w:rsid w:val="00181687"/>
    <w:rsid w:val="001A3DC8"/>
    <w:rsid w:val="001B39D6"/>
    <w:rsid w:val="001E467C"/>
    <w:rsid w:val="00226C2F"/>
    <w:rsid w:val="002321F9"/>
    <w:rsid w:val="00237E7A"/>
    <w:rsid w:val="0024425F"/>
    <w:rsid w:val="002920B4"/>
    <w:rsid w:val="002C3D5D"/>
    <w:rsid w:val="00300DEB"/>
    <w:rsid w:val="00311051"/>
    <w:rsid w:val="00326C94"/>
    <w:rsid w:val="00353898"/>
    <w:rsid w:val="003559D9"/>
    <w:rsid w:val="003662F8"/>
    <w:rsid w:val="003A1A16"/>
    <w:rsid w:val="003C5AFC"/>
    <w:rsid w:val="003C79EE"/>
    <w:rsid w:val="003C7E66"/>
    <w:rsid w:val="003E66AA"/>
    <w:rsid w:val="003F49BB"/>
    <w:rsid w:val="003F4BCA"/>
    <w:rsid w:val="00410FE1"/>
    <w:rsid w:val="004158D3"/>
    <w:rsid w:val="00467E42"/>
    <w:rsid w:val="00474518"/>
    <w:rsid w:val="004A2F0A"/>
    <w:rsid w:val="004C5AA1"/>
    <w:rsid w:val="004D2AB4"/>
    <w:rsid w:val="004D794A"/>
    <w:rsid w:val="0051297C"/>
    <w:rsid w:val="00520087"/>
    <w:rsid w:val="00534CB9"/>
    <w:rsid w:val="005524C4"/>
    <w:rsid w:val="005527B0"/>
    <w:rsid w:val="00565641"/>
    <w:rsid w:val="00567AAA"/>
    <w:rsid w:val="00586250"/>
    <w:rsid w:val="005A2247"/>
    <w:rsid w:val="005B7019"/>
    <w:rsid w:val="005B75C3"/>
    <w:rsid w:val="005E340F"/>
    <w:rsid w:val="005E4B9B"/>
    <w:rsid w:val="005F0DEC"/>
    <w:rsid w:val="005F1DFB"/>
    <w:rsid w:val="005F3752"/>
    <w:rsid w:val="006306D2"/>
    <w:rsid w:val="00633110"/>
    <w:rsid w:val="00656A1A"/>
    <w:rsid w:val="00673A7C"/>
    <w:rsid w:val="0068726D"/>
    <w:rsid w:val="006B172C"/>
    <w:rsid w:val="006E70EB"/>
    <w:rsid w:val="007834BC"/>
    <w:rsid w:val="007C2FE3"/>
    <w:rsid w:val="00816AAB"/>
    <w:rsid w:val="008251E3"/>
    <w:rsid w:val="00827C04"/>
    <w:rsid w:val="00846866"/>
    <w:rsid w:val="008526D6"/>
    <w:rsid w:val="008723E5"/>
    <w:rsid w:val="008940C0"/>
    <w:rsid w:val="008C03E8"/>
    <w:rsid w:val="008D2AC3"/>
    <w:rsid w:val="008D6849"/>
    <w:rsid w:val="008F19D1"/>
    <w:rsid w:val="00903C3D"/>
    <w:rsid w:val="00916F83"/>
    <w:rsid w:val="00923CBC"/>
    <w:rsid w:val="00924BE0"/>
    <w:rsid w:val="0093649B"/>
    <w:rsid w:val="009432D4"/>
    <w:rsid w:val="00952BF5"/>
    <w:rsid w:val="00960584"/>
    <w:rsid w:val="0096235F"/>
    <w:rsid w:val="00967AA6"/>
    <w:rsid w:val="00985A22"/>
    <w:rsid w:val="009C07E8"/>
    <w:rsid w:val="009E399E"/>
    <w:rsid w:val="009E5613"/>
    <w:rsid w:val="009E7932"/>
    <w:rsid w:val="009F2002"/>
    <w:rsid w:val="00A00862"/>
    <w:rsid w:val="00A02CFB"/>
    <w:rsid w:val="00A030AD"/>
    <w:rsid w:val="00A145E4"/>
    <w:rsid w:val="00A15646"/>
    <w:rsid w:val="00A178D6"/>
    <w:rsid w:val="00A21DDE"/>
    <w:rsid w:val="00A4243B"/>
    <w:rsid w:val="00A4262A"/>
    <w:rsid w:val="00A535EC"/>
    <w:rsid w:val="00A64D45"/>
    <w:rsid w:val="00A82B3C"/>
    <w:rsid w:val="00A95CE0"/>
    <w:rsid w:val="00AA7735"/>
    <w:rsid w:val="00AB05F9"/>
    <w:rsid w:val="00B00158"/>
    <w:rsid w:val="00B03532"/>
    <w:rsid w:val="00B065EF"/>
    <w:rsid w:val="00B40032"/>
    <w:rsid w:val="00B42623"/>
    <w:rsid w:val="00B436F4"/>
    <w:rsid w:val="00B44604"/>
    <w:rsid w:val="00B55B74"/>
    <w:rsid w:val="00B917BF"/>
    <w:rsid w:val="00BC41DA"/>
    <w:rsid w:val="00BE3615"/>
    <w:rsid w:val="00C341CE"/>
    <w:rsid w:val="00C41A52"/>
    <w:rsid w:val="00C45C39"/>
    <w:rsid w:val="00C660D0"/>
    <w:rsid w:val="00C6692C"/>
    <w:rsid w:val="00C67BF4"/>
    <w:rsid w:val="00C67C8B"/>
    <w:rsid w:val="00C73ED8"/>
    <w:rsid w:val="00C943B2"/>
    <w:rsid w:val="00C97832"/>
    <w:rsid w:val="00CA4ED2"/>
    <w:rsid w:val="00CA6AA7"/>
    <w:rsid w:val="00CB0586"/>
    <w:rsid w:val="00CB6EFD"/>
    <w:rsid w:val="00CE63DC"/>
    <w:rsid w:val="00D0064B"/>
    <w:rsid w:val="00D364FB"/>
    <w:rsid w:val="00D37249"/>
    <w:rsid w:val="00D426B6"/>
    <w:rsid w:val="00D827B7"/>
    <w:rsid w:val="00DA30E6"/>
    <w:rsid w:val="00DB719B"/>
    <w:rsid w:val="00DC326F"/>
    <w:rsid w:val="00E37172"/>
    <w:rsid w:val="00E53C19"/>
    <w:rsid w:val="00E618E3"/>
    <w:rsid w:val="00E71D3F"/>
    <w:rsid w:val="00E7533D"/>
    <w:rsid w:val="00E83E52"/>
    <w:rsid w:val="00E843AB"/>
    <w:rsid w:val="00E86324"/>
    <w:rsid w:val="00E97DFD"/>
    <w:rsid w:val="00EB4F15"/>
    <w:rsid w:val="00EE05FD"/>
    <w:rsid w:val="00EE43D9"/>
    <w:rsid w:val="00EF0B72"/>
    <w:rsid w:val="00F11F92"/>
    <w:rsid w:val="00F475F0"/>
    <w:rsid w:val="00F8300F"/>
    <w:rsid w:val="00FA6DED"/>
    <w:rsid w:val="00FD1E51"/>
    <w:rsid w:val="00FD741E"/>
    <w:rsid w:val="00FF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F9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36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6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60D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56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62B1"/>
  </w:style>
  <w:style w:type="paragraph" w:styleId="Piedepgina">
    <w:name w:val="footer"/>
    <w:basedOn w:val="Normal"/>
    <w:link w:val="PiedepginaCar"/>
    <w:uiPriority w:val="99"/>
    <w:unhideWhenUsed/>
    <w:rsid w:val="00056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62B1"/>
  </w:style>
  <w:style w:type="paragraph" w:styleId="NormalWeb">
    <w:name w:val="Normal (Web)"/>
    <w:basedOn w:val="Normal"/>
    <w:uiPriority w:val="99"/>
    <w:unhideWhenUsed/>
    <w:rsid w:val="005E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36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6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60D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56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62B1"/>
  </w:style>
  <w:style w:type="paragraph" w:styleId="Piedepgina">
    <w:name w:val="footer"/>
    <w:basedOn w:val="Normal"/>
    <w:link w:val="PiedepginaCar"/>
    <w:uiPriority w:val="99"/>
    <w:unhideWhenUsed/>
    <w:rsid w:val="00056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62B1"/>
  </w:style>
  <w:style w:type="paragraph" w:styleId="NormalWeb">
    <w:name w:val="Normal (Web)"/>
    <w:basedOn w:val="Normal"/>
    <w:uiPriority w:val="99"/>
    <w:unhideWhenUsed/>
    <w:rsid w:val="005E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70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1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3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44FB4-03A9-424B-AFF9-5B7B3B54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1461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BASTANTE GONZALEZ</dc:creator>
  <cp:lastModifiedBy>JESUS BASTANTE GONZALEZ</cp:lastModifiedBy>
  <cp:revision>7</cp:revision>
  <cp:lastPrinted>2026-07-31T08:43:00Z</cp:lastPrinted>
  <dcterms:created xsi:type="dcterms:W3CDTF">2026-07-31T08:31:00Z</dcterms:created>
  <dcterms:modified xsi:type="dcterms:W3CDTF">2026-07-31T08:45:00Z</dcterms:modified>
</cp:coreProperties>
</file>